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June 2,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June 2, 2026, American Tower Corporation (the “Company”) sent a notice of partial redemption for €250,000,000 of its outstanding €600,000,000 aggregate principal amount 4.125% senior unsecured notes due 2027 (the “4.125% Notes”).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In accordance with the redemption provisions of the 4.125% Notes and the Indenture, dated as of June 1, 2022 (the “Base Indenture”), as supplemented by the Supplemental Indenture No. 2, dated as of May 16, 2023 (“Supplemental Indenture No. 2” and, together with the Base Indenture, the “4.125% Indenture”) among the Company, U.S. Bank Trust Company, National Association, as trustee, and</w:t>
      </w:r>
      <w:r>
        <w:rPr>
          <w:color w:val="000000"/>
        </w:rPr>
        <w:t xml:space="preserve"> </w:t>
      </w:r>
      <w:r>
        <w:rPr>
          <w:rFonts w:ascii="Times New Roman;serif" w:hAnsi="Times New Roman;serif"/>
          <w:b w:val="false"/>
          <w:color w:val="000000"/>
          <w:sz w:val="22"/>
        </w:rPr>
        <w:t>U.S. Bank Europe DAC, UK Branch (f/k/a Elavon Financial Services DAC, UK Branch), as paying agent, the 4.125% Notes will be redeemed at a price equal to the principal amount of the 4.125% Notes to be redeemed then outstanding plus a make-whole premium calculated pursuant to the terms of the 4.125% Indenture, together with accrued and unpaid interest, if any, up to, but excluding, the redemption date, which has been set for June 18, 2026. Upon completion of the redemption, €350,000,000 of the 4.125% Notes will remain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9841" w:type="dxa"/>
        <w:jc w:val="center"/>
        <w:tblInd w:w="0" w:type="dxa"/>
        <w:tblLayout w:type="fixed"/>
        <w:tblCellMar>
          <w:top w:w="28" w:type="dxa"/>
          <w:left w:w="28" w:type="dxa"/>
          <w:bottom w:w="28" w:type="dxa"/>
          <w:right w:w="28" w:type="dxa"/>
        </w:tblCellMar>
      </w:tblPr>
      <w:tblGrid>
        <w:gridCol w:w="222"/>
        <w:gridCol w:w="196"/>
        <w:gridCol w:w="197"/>
        <w:gridCol w:w="439"/>
        <w:gridCol w:w="439"/>
        <w:gridCol w:w="441"/>
        <w:gridCol w:w="601"/>
        <w:gridCol w:w="601"/>
        <w:gridCol w:w="601"/>
        <w:gridCol w:w="1778"/>
        <w:gridCol w:w="1778"/>
        <w:gridCol w:w="254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2, 2026</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19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3645</Characters>
  <CharactersWithSpaces>4257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