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26217d424b5.htm"/>
        <w:bookmarkStart w:id="1" w:name="ksd926217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333-265348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relates to an effective registration statement under the Securities Act of 1933, as amended, but is not complete and may be changed. </w:t>
      </w:r>
    </w:p>
    <w:p>
      <w:pPr>
        <w:pStyle w:val="TextBody"/>
        <w:bidi w:val="0"/>
        <w:spacing w:before="0" w:after="0"/>
        <w:ind w:left="760" w:right="760" w:hanging="0"/>
        <w:jc w:val="left"/>
        <w:rPr/>
      </w:pPr>
      <w:r>
        <w:rPr/>
        <w:t> </w:t>
      </w:r>
    </w:p>
    <w:p>
      <w:pPr>
        <w:pStyle w:val="TextBody"/>
        <w:bidi w:val="0"/>
        <w:spacing w:before="0" w:after="0"/>
        <w:ind w:left="760" w:right="760" w:hanging="0"/>
        <w:jc w:val="center"/>
        <w:rPr>
          <w:rFonts w:ascii="Times New Roman" w:hAnsi="Times New Roman"/>
          <w:b/>
          <w:color w:val="FF4338"/>
          <w:sz w:val="18"/>
        </w:rPr>
      </w:pPr>
      <w:r>
        <w:rPr>
          <w:rFonts w:ascii="Times New Roman" w:hAnsi="Times New Roman"/>
          <w:b/>
          <w:color w:val="FF4338"/>
          <w:sz w:val="18"/>
        </w:rPr>
        <w:t xml:space="preserve">SUBJECT TO COMPLETION, DATED MAY 21, 2025. </w:t>
      </w:r>
    </w:p>
    <w:p>
      <w:pPr>
        <w:pStyle w:val="TextBody"/>
        <w:bidi w:val="0"/>
        <w:spacing w:before="120" w:after="0"/>
        <w:ind w:left="760" w:right="760" w:hanging="0"/>
        <w:jc w:val="center"/>
        <w:rPr>
          <w:rFonts w:ascii="Times New Roman" w:hAnsi="Times New Roman"/>
          <w:b/>
          <w:sz w:val="18"/>
        </w:rPr>
      </w:pPr>
      <w:r>
        <w:rPr>
          <w:rFonts w:ascii="Times New Roman" w:hAnsi="Times New Roman"/>
          <w:b/>
          <w:sz w:val="18"/>
        </w:rPr>
        <w:t xml:space="preserve">PROSPECTUS SUPPLEMENT TO </w:t>
      </w:r>
    </w:p>
    <w:p>
      <w:pPr>
        <w:pStyle w:val="TextBody"/>
        <w:bidi w:val="0"/>
        <w:spacing w:before="0" w:after="0"/>
        <w:ind w:left="760" w:right="760" w:hanging="0"/>
        <w:jc w:val="center"/>
        <w:rPr>
          <w:rFonts w:ascii="Times New Roman" w:hAnsi="Times New Roman"/>
          <w:b/>
          <w:sz w:val="18"/>
        </w:rPr>
      </w:pPr>
      <w:r>
        <w:rPr>
          <w:rFonts w:ascii="Times New Roman" w:hAnsi="Times New Roman"/>
          <w:b/>
          <w:sz w:val="18"/>
        </w:rPr>
        <w:t xml:space="preserve">PROSPECTUS DATED JUNE 1, 2022 </w:t>
      </w:r>
    </w:p>
    <w:p>
      <w:pPr>
        <w:pStyle w:val="TextBody"/>
        <w:bidi w:val="0"/>
        <w:spacing w:before="0" w:after="0"/>
        <w:ind w:left="760" w:right="760" w:hanging="0"/>
        <w:jc w:val="left"/>
        <w:rPr/>
      </w:pPr>
      <w:r>
        <w:rPr/>
        <w:t> </w:t>
      </w:r>
    </w:p>
    <w:p>
      <w:pPr>
        <w:pStyle w:val="TextBody"/>
        <w:bidi w:val="0"/>
        <w:spacing w:before="120" w:after="0"/>
        <w:ind w:left="760" w:right="760" w:hanging="0"/>
        <w:jc w:val="center"/>
        <w:rPr>
          <w:rFonts w:ascii="Times New Roman" w:hAnsi="Times New Roman"/>
          <w:b/>
          <w:sz w:val="32"/>
        </w:rPr>
      </w:pPr>
      <w:r>
        <w:rPr>
          <w:rFonts w:ascii="Times New Roman" w:hAnsi="Times New Roman"/>
          <w:b/>
          <w:sz w:val="32"/>
        </w:rPr>
        <w:t xml:space="preserve">    </w:t>
      </w:r>
    </w:p>
    <w:p>
      <w:pPr>
        <w:pStyle w:val="TextBody"/>
        <w:bidi w:val="0"/>
        <w:spacing w:before="0" w:after="0"/>
        <w:ind w:left="760" w:right="760" w:hanging="0"/>
        <w:jc w:val="left"/>
        <w:rPr/>
      </w:pPr>
      <w:r>
        <w:rPr/>
        <w:t>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163957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9570" cy="838200"/>
                    </a:xfrm>
                    <a:prstGeom prst="rect">
                      <a:avLst/>
                    </a:prstGeom>
                  </pic:spPr>
                </pic:pic>
              </a:graphicData>
            </a:graphic>
          </wp:inline>
        </w:drawing>
      </w:r>
      <w:r>
        <w:rPr/>
        <w:t xml:space="preserve"> </w:t>
      </w:r>
    </w:p>
    <w:p>
      <w:pPr>
        <w:pStyle w:val="TextBody"/>
        <w:bidi w:val="0"/>
        <w:spacing w:before="120" w:after="0"/>
        <w:ind w:left="760" w:right="760" w:hanging="0"/>
        <w:jc w:val="center"/>
        <w:rPr>
          <w:rFonts w:ascii="Times New Roman" w:hAnsi="Times New Roman"/>
          <w:b/>
          <w:sz w:val="48"/>
        </w:rPr>
      </w:pPr>
      <w:r>
        <w:rPr>
          <w:rFonts w:ascii="Times New Roman" w:hAnsi="Times New Roman"/>
          <w:b/>
          <w:sz w:val="48"/>
        </w:rPr>
        <w:t xml:space="preserve">American Tower Corporation </w:t>
      </w:r>
    </w:p>
    <w:p>
      <w:pPr>
        <w:pStyle w:val="TextBody"/>
        <w:bidi w:val="0"/>
        <w:spacing w:before="120" w:after="0"/>
        <w:ind w:left="760" w:right="760" w:hanging="0"/>
        <w:jc w:val="center"/>
        <w:rPr>
          <w:rFonts w:ascii="Times New Roman" w:hAnsi="Times New Roman"/>
          <w:b/>
          <w:sz w:val="26"/>
        </w:rPr>
      </w:pPr>
      <w:r>
        <w:rPr>
          <w:rFonts w:ascii="Times New Roman" w:hAnsi="Times New Roman"/>
          <w:b/>
          <w:sz w:val="26"/>
        </w:rPr>
        <w:t xml:space="preserve">    % Senior Notes due 2032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are offering     of  % Senior Notes due 2032 (the notes). We will pay cash interest on the notes on May 30 of each year, beginning on May 30, 2026. The notes will mature on May 30, 2032.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The notes will be general, unsecured obligations of American Tower Corporation and will rank equally in right of payment with all other senior unsecured debt obligations of American Tower Corporation. The notes will be structurally subordinated to all existing and future indebtedness and other obligations of our subsidiaries.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may redeem the notes at any time and from time to time, in whole or in part, in cash at the applicable redemption prices described under the heading Description of NotesOptional Redemption. In addition, we may redeem the notes at any time in whole, but not in part, in cash at a redemption price of 100% of the principal amount, together with accrued and unpaid interest on the notes to, but not including, the date fixed for redemption at our option in the event of certain developments affecting U.S. taxation as described under Description of NotesRedemption for Tax Reasons.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intend to apply to list the notes on the New York Stock Exchange (the NYSE). The listing application will be subject to approval by the NYSE. We currently expect trading in the notes on the NYSE to begin within 30 days after the initial issuance of the notes. If such a listing is obtained, we have no obligation to maintain it, and we may delist the notes at any time. Currently, there is no public market for the notes.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left"/>
        <w:rPr/>
      </w:pPr>
      <w:r>
        <w:rPr>
          <w:rFonts w:ascii="Times New Roman" w:hAnsi="Times New Roman"/>
          <w:b/>
          <w:sz w:val="22"/>
        </w:rPr>
        <w:t>Investing in the notes involves risks. See </w:t>
      </w:r>
      <w:hyperlink w:anchor="suprom926217_5">
        <w:r>
          <w:rPr>
            <w:rStyle w:val="InternetLink"/>
            <w:rFonts w:ascii="Times New Roman" w:hAnsi="Times New Roman"/>
            <w:b/>
            <w:sz w:val="22"/>
          </w:rPr>
          <w:t>Risk Factors</w:t>
        </w:r>
      </w:hyperlink>
      <w:r>
        <w:rPr>
          <w:rFonts w:ascii="Times New Roman" w:hAnsi="Times New Roman"/>
          <w:b/>
          <w:sz w:val="22"/>
        </w:rPr>
        <w:t xml:space="preserve"> beginning on page S-6 and those described as risk factors in Part I, Item 1A of our Annual Report on Form 10-K for the year ended December 31, 2024 (the 2024 Annual Report) incorporated herein by reference.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0" w:after="0"/>
        <w:ind w:left="760" w:right="760" w:hanging="0"/>
        <w:jc w:val="left"/>
        <w:rPr/>
      </w:pPr>
      <w:r>
        <w:rPr/>
        <w:t> </w:t>
      </w:r>
    </w:p>
    <w:tbl>
      <w:tblPr>
        <w:tblW w:w="4200" w:type="pct"/>
        <w:jc w:val="center"/>
        <w:tblInd w:w="0" w:type="dxa"/>
        <w:tblLayout w:type="fixed"/>
        <w:tblCellMar>
          <w:top w:w="0" w:type="dxa"/>
          <w:left w:w="0" w:type="dxa"/>
          <w:bottom w:w="0" w:type="dxa"/>
          <w:right w:w="0" w:type="dxa"/>
        </w:tblCellMar>
      </w:tblPr>
      <w:tblGrid>
        <w:gridCol w:w="843"/>
        <w:gridCol w:w="230"/>
        <w:gridCol w:w="139"/>
        <w:gridCol w:w="1722"/>
        <w:gridCol w:w="324"/>
        <w:gridCol w:w="153"/>
        <w:gridCol w:w="125"/>
        <w:gridCol w:w="1538"/>
        <w:gridCol w:w="323"/>
        <w:gridCol w:w="154"/>
        <w:gridCol w:w="201"/>
        <w:gridCol w:w="2493"/>
        <w:gridCol w:w="327"/>
      </w:tblGrid>
      <w:tr>
        <w:trPr/>
        <w:tc>
          <w:tcPr>
            <w:tcW w:w="84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84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 Offering</w:t>
              <w:br/>
              <w:t>Price(1)</w:t>
            </w:r>
          </w:p>
        </w:tc>
        <w:tc>
          <w:tcPr>
            <w:tcW w:w="32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 American</w:t>
              <w:br/>
              <w:t>Tower Corporation</w:t>
            </w:r>
          </w:p>
        </w:tc>
        <w:tc>
          <w:tcPr>
            <w:tcW w:w="327" w:type="dxa"/>
            <w:tcBorders/>
            <w:vAlign w:val="bottom"/>
          </w:tcPr>
          <w:p>
            <w:pPr>
              <w:pStyle w:val="TableContents"/>
              <w:bidi w:val="0"/>
              <w:spacing w:before="0" w:after="283"/>
              <w:jc w:val="left"/>
              <w:rPr/>
            </w:pPr>
            <w:r>
              <w:rPr/>
              <w:t> </w:t>
            </w:r>
          </w:p>
        </w:tc>
      </w:tr>
      <w:tr>
        <w:trPr/>
        <w:tc>
          <w:tcPr>
            <w:tcW w:w="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23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1722"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w:t>
            </w:r>
          </w:p>
        </w:tc>
        <w:tc>
          <w:tcPr>
            <w:tcW w:w="1538"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2493"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bl>
    <w:p>
      <w:pPr>
        <w:pStyle w:val="TextBody"/>
        <w:bidi w:val="0"/>
        <w:spacing w:lineRule="atLeast" w:line="160" w:before="0" w:after="40"/>
        <w:ind w:left="760" w:right="760" w:hanging="0"/>
        <w:jc w:val="left"/>
        <w:rPr>
          <w:bdr w:val="single" w:sz="2" w:space="1" w:color="000000"/>
        </w:rPr>
      </w:pPr>
      <w:r>
        <w:rPr>
          <w:bdr w:val="single" w:sz="2" w:space="1" w:color="000000"/>
        </w:rPr>
        <w:t> </w:t>
      </w:r>
    </w:p>
    <w:tbl>
      <w:tblPr>
        <w:tblW w:w="5000" w:type="pct"/>
        <w:jc w:val="left"/>
        <w:tblInd w:w="7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 2025, if settlement occurs after that date. </w:t>
            </w:r>
          </w:p>
        </w:tc>
      </w:tr>
    </w:tbl>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The underwriters expect to deliver the notes in book-entry form only through the facilities of Clearstream Banking, S.A. (Clearstream), and Euroclear Bank S.A./N.V. (the Euroclear Operator), as operator of the Euroclear System (Euroclear), against payment on    , 2025, which is the sixth business day following the date of this prospectus supplement (this settlement cycle being referred to as T+6). Under Rule 15c6-1 of the Securities Exchange Act of 1934, as amended (the Exchange Act), trades in the secondary market generally are required to settle in one business day, unless the parties to the trade expressly agree otherwise. Accordingly, purchasers who wish to trade the notes more than one business day prior to their date of delivery will be required, by virtue of the fact that the notes initially will settle in T+6, to specify an alternate settlement cycle at the time of any such trade to prevent a failed settlement and should consult their own advisors.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center"/>
        <w:rPr>
          <w:rFonts w:ascii="Times New Roman" w:hAnsi="Times New Roman"/>
          <w:b/>
          <w:i/>
          <w:sz w:val="18"/>
        </w:rPr>
      </w:pPr>
      <w:r>
        <w:rPr>
          <w:rFonts w:ascii="Times New Roman" w:hAnsi="Times New Roman"/>
          <w:b/>
          <w:i/>
          <w:sz w:val="18"/>
        </w:rPr>
        <w:t xml:space="preserve">Joint Book-Running Managers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1282"/>
        <w:gridCol w:w="100"/>
        <w:gridCol w:w="1834"/>
        <w:gridCol w:w="100"/>
        <w:gridCol w:w="1079"/>
        <w:gridCol w:w="100"/>
        <w:gridCol w:w="1566"/>
        <w:gridCol w:w="100"/>
        <w:gridCol w:w="2793"/>
        <w:gridCol w:w="99"/>
        <w:gridCol w:w="1152"/>
      </w:tblGrid>
      <w:tr>
        <w:trPr/>
        <w:tc>
          <w:tcPr>
            <w:tcW w:w="128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c>
          <w:tcPr>
            <w:tcW w:w="1179" w:type="dxa"/>
            <w:gridSpan w:val="2"/>
            <w:tcBorders/>
            <w:vAlign w:val="center"/>
          </w:tcPr>
          <w:p>
            <w:pPr>
              <w:pStyle w:val="TableContents"/>
              <w:bidi w:val="0"/>
              <w:spacing w:before="0" w:after="283"/>
              <w:jc w:val="left"/>
              <w:rPr>
                <w:sz w:val="4"/>
                <w:szCs w:val="4"/>
              </w:rPr>
            </w:pPr>
            <w:r>
              <w:rPr>
                <w:sz w:val="4"/>
                <w:szCs w:val="4"/>
              </w:rPr>
            </w:r>
          </w:p>
        </w:tc>
        <w:tc>
          <w:tcPr>
            <w:tcW w:w="1666" w:type="dxa"/>
            <w:gridSpan w:val="2"/>
            <w:tcBorders/>
            <w:vAlign w:val="center"/>
          </w:tcPr>
          <w:p>
            <w:pPr>
              <w:pStyle w:val="TableContents"/>
              <w:bidi w:val="0"/>
              <w:spacing w:before="0" w:after="283"/>
              <w:jc w:val="left"/>
              <w:rPr>
                <w:sz w:val="4"/>
                <w:szCs w:val="4"/>
              </w:rPr>
            </w:pPr>
            <w:r>
              <w:rPr>
                <w:sz w:val="4"/>
                <w:szCs w:val="4"/>
              </w:rPr>
            </w:r>
          </w:p>
        </w:tc>
        <w:tc>
          <w:tcPr>
            <w:tcW w:w="2893" w:type="dxa"/>
            <w:gridSpan w:val="2"/>
            <w:tcBorders/>
            <w:vAlign w:val="center"/>
          </w:tcPr>
          <w:p>
            <w:pPr>
              <w:pStyle w:val="TableContents"/>
              <w:bidi w:val="0"/>
              <w:spacing w:before="0" w:after="283"/>
              <w:jc w:val="left"/>
              <w:rPr>
                <w:sz w:val="4"/>
                <w:szCs w:val="4"/>
              </w:rPr>
            </w:pPr>
            <w:r>
              <w:rPr>
                <w:sz w:val="4"/>
                <w:szCs w:val="4"/>
              </w:rPr>
            </w:r>
          </w:p>
        </w:tc>
        <w:tc>
          <w:tcPr>
            <w:tcW w:w="1251"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0"/>
              <w:jc w:val="left"/>
              <w:rPr>
                <w:rFonts w:ascii="Times New Roman" w:hAnsi="Times New Roman"/>
                <w:b/>
                <w:sz w:val="28"/>
              </w:rPr>
            </w:pPr>
            <w:r>
              <w:rPr>
                <w:rFonts w:ascii="Times New Roman" w:hAnsi="Times New Roman"/>
                <w:b/>
                <w:sz w:val="28"/>
              </w:rPr>
              <w:t>Barclays</w:t>
            </w:r>
          </w:p>
        </w:tc>
        <w:tc>
          <w:tcPr>
            <w:tcW w:w="100"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0"/>
              <w:jc w:val="center"/>
              <w:rPr>
                <w:rFonts w:ascii="Times New Roman" w:hAnsi="Times New Roman"/>
                <w:b/>
                <w:sz w:val="28"/>
              </w:rPr>
            </w:pPr>
            <w:r>
              <w:rPr>
                <w:rFonts w:ascii="Times New Roman" w:hAnsi="Times New Roman"/>
                <w:b/>
                <w:sz w:val="28"/>
              </w:rPr>
              <w:t>Citigroup</w:t>
            </w:r>
          </w:p>
        </w:tc>
        <w:tc>
          <w:tcPr>
            <w:tcW w:w="100" w:type="dxa"/>
            <w:tcBorders/>
            <w:vAlign w:val="bottom"/>
          </w:tcPr>
          <w:p>
            <w:pPr>
              <w:pStyle w:val="TableContents"/>
              <w:bidi w:val="0"/>
              <w:spacing w:before="0" w:after="283"/>
              <w:jc w:val="left"/>
              <w:rPr/>
            </w:pPr>
            <w:r>
              <w:rPr/>
              <w:t> </w:t>
            </w:r>
          </w:p>
        </w:tc>
        <w:tc>
          <w:tcPr>
            <w:tcW w:w="1079" w:type="dxa"/>
            <w:tcBorders/>
          </w:tcPr>
          <w:p>
            <w:pPr>
              <w:pStyle w:val="TableContents"/>
              <w:bidi w:val="0"/>
              <w:spacing w:before="0" w:after="20"/>
              <w:jc w:val="center"/>
              <w:rPr>
                <w:rFonts w:ascii="Times New Roman" w:hAnsi="Times New Roman"/>
                <w:b/>
                <w:sz w:val="28"/>
              </w:rPr>
            </w:pPr>
            <w:r>
              <w:rPr>
                <w:rFonts w:ascii="Times New Roman" w:hAnsi="Times New Roman"/>
                <w:b/>
                <w:sz w:val="28"/>
              </w:rPr>
              <w:t>ING</w:t>
            </w:r>
          </w:p>
        </w:tc>
        <w:tc>
          <w:tcPr>
            <w:tcW w:w="100" w:type="dxa"/>
            <w:tcBorders/>
            <w:vAlign w:val="bottom"/>
          </w:tcPr>
          <w:p>
            <w:pPr>
              <w:pStyle w:val="TableContents"/>
              <w:bidi w:val="0"/>
              <w:spacing w:before="0" w:after="283"/>
              <w:jc w:val="left"/>
              <w:rPr/>
            </w:pPr>
            <w:r>
              <w:rPr/>
              <w:t> </w:t>
            </w:r>
          </w:p>
        </w:tc>
        <w:tc>
          <w:tcPr>
            <w:tcW w:w="1566" w:type="dxa"/>
            <w:tcBorders/>
          </w:tcPr>
          <w:p>
            <w:pPr>
              <w:pStyle w:val="TableContents"/>
              <w:bidi w:val="0"/>
              <w:spacing w:before="0" w:after="283"/>
              <w:jc w:val="center"/>
              <w:rPr>
                <w:b/>
              </w:rPr>
            </w:pPr>
            <w:r>
              <w:rPr>
                <w:b/>
              </w:rPr>
              <w:t>Mizuho</w:t>
            </w:r>
          </w:p>
        </w:tc>
        <w:tc>
          <w:tcPr>
            <w:tcW w:w="100" w:type="dxa"/>
            <w:tcBorders/>
            <w:vAlign w:val="bottom"/>
          </w:tcPr>
          <w:p>
            <w:pPr>
              <w:pStyle w:val="TableContents"/>
              <w:bidi w:val="0"/>
              <w:spacing w:before="0" w:after="283"/>
              <w:jc w:val="left"/>
              <w:rPr/>
            </w:pPr>
            <w:r>
              <w:rPr/>
              <w:t> </w:t>
            </w:r>
          </w:p>
        </w:tc>
        <w:tc>
          <w:tcPr>
            <w:tcW w:w="2793" w:type="dxa"/>
            <w:tcBorders/>
          </w:tcPr>
          <w:p>
            <w:pPr>
              <w:pStyle w:val="TableContents"/>
              <w:bidi w:val="0"/>
              <w:spacing w:before="0" w:after="20"/>
              <w:jc w:val="center"/>
              <w:rPr>
                <w:rFonts w:ascii="Times New Roman" w:hAnsi="Times New Roman"/>
                <w:b/>
                <w:sz w:val="28"/>
              </w:rPr>
            </w:pPr>
            <w:r>
              <w:rPr>
                <w:rFonts w:ascii="Times New Roman" w:hAnsi="Times New Roman"/>
                <w:b/>
                <w:sz w:val="28"/>
              </w:rPr>
              <w:t>Morgan Stanley</w:t>
            </w:r>
          </w:p>
        </w:tc>
        <w:tc>
          <w:tcPr>
            <w:tcW w:w="99" w:type="dxa"/>
            <w:tcBorders/>
            <w:vAlign w:val="bottom"/>
          </w:tcPr>
          <w:p>
            <w:pPr>
              <w:pStyle w:val="TableContents"/>
              <w:bidi w:val="0"/>
              <w:spacing w:before="0" w:after="283"/>
              <w:jc w:val="left"/>
              <w:rPr/>
            </w:pPr>
            <w:r>
              <w:rPr/>
              <w:t> </w:t>
            </w:r>
          </w:p>
        </w:tc>
        <w:tc>
          <w:tcPr>
            <w:tcW w:w="1152" w:type="dxa"/>
            <w:tcBorders/>
          </w:tcPr>
          <w:p>
            <w:pPr>
              <w:pStyle w:val="TableContents"/>
              <w:bidi w:val="0"/>
              <w:spacing w:before="0" w:after="20"/>
              <w:jc w:val="right"/>
              <w:rPr>
                <w:rFonts w:ascii="Times New Roman" w:hAnsi="Times New Roman"/>
                <w:b/>
                <w:sz w:val="28"/>
              </w:rPr>
            </w:pPr>
            <w:r>
              <w:rPr>
                <w:rFonts w:ascii="Times New Roman" w:hAnsi="Times New Roman"/>
                <w:b/>
                <w:sz w:val="28"/>
              </w:rPr>
              <w:t>SMBC</w:t>
            </w:r>
          </w:p>
        </w:tc>
      </w:tr>
    </w:tbl>
    <w:p>
      <w:pPr>
        <w:pStyle w:val="TextBody"/>
        <w:bidi w:val="0"/>
        <w:spacing w:before="120" w:after="0"/>
        <w:ind w:left="760" w:right="760" w:hanging="0"/>
        <w:jc w:val="center"/>
        <w:rPr>
          <w:rFonts w:ascii="Times New Roman" w:hAnsi="Times New Roman"/>
          <w:b/>
          <w:sz w:val="20"/>
        </w:rPr>
      </w:pPr>
      <w:r>
        <w:rPr>
          <w:rFonts w:ascii="Times New Roman" w:hAnsi="Times New Roman"/>
          <w:b/>
          <w:sz w:val="20"/>
        </w:rPr>
        <w:t xml:space="preserve">The date of this prospectus supplement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2">
              <w:r>
                <w:rPr>
                  <w:rStyle w:val="InternetLink"/>
                  <w:rFonts w:ascii="Times New Roman" w:hAnsi="Times New Roman"/>
                  <w:sz w:val="20"/>
                </w:rPr>
                <w:t>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3">
              <w:r>
                <w:rPr>
                  <w:rStyle w:val="InternetLink"/>
                  <w:rFonts w:ascii="Times New Roman" w:hAnsi="Times New Roman"/>
                  <w:sz w:val="20"/>
                </w:rPr>
                <w:t>Market and Industry Data</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4">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7">
              <w:r>
                <w:rPr>
                  <w:rStyle w:val="InternetLink"/>
                  <w:rFonts w:ascii="Times New Roman" w:hAnsi="Times New Roman"/>
                  <w:sz w:val="20"/>
                </w:rPr>
                <w:t>Currency Conversion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8">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9">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0">
              <w:r>
                <w:rPr>
                  <w:rStyle w:val="InternetLink"/>
                  <w:rFonts w:ascii="Times New Roman" w:hAnsi="Times New Roman"/>
                  <w:sz w:val="20"/>
                </w:rPr>
                <w:t>Material U.S. Federal Income Tax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1">
              <w:r>
                <w:rPr>
                  <w:rStyle w:val="InternetLink"/>
                  <w:rFonts w:ascii="Times New Roman" w:hAnsi="Times New Roman"/>
                  <w:sz w:val="20"/>
                </w:rPr>
                <w:t>Certain European Union Tax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2">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3">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4">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rom926217_15">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oc926217_1">
              <w:r>
                <w:rPr>
                  <w:rStyle w:val="InternetLink"/>
                  <w:rFonts w:ascii="Times New Roman" w:hAnsi="Times New Roman"/>
                  <w:sz w:val="20"/>
                </w:rPr>
                <w:t xml:space="preserve">About This Prospectus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2">
              <w:r>
                <w:rPr>
                  <w:rStyle w:val="InternetLink"/>
                  <w:rFonts w:ascii="Times New Roman" w:hAnsi="Times New Roman"/>
                  <w:sz w:val="20"/>
                </w:rPr>
                <w:t xml:space="preserve">Note Regarding Forward-Looking Statements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3">
              <w:r>
                <w:rPr>
                  <w:rStyle w:val="InternetLink"/>
                  <w:rFonts w:ascii="Times New Roman" w:hAnsi="Times New Roman"/>
                  <w:sz w:val="20"/>
                </w:rPr>
                <w:t xml:space="preserve">American Tower Corporation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4">
              <w:r>
                <w:rPr>
                  <w:rStyle w:val="InternetLink"/>
                  <w:rFonts w:ascii="Times New Roman" w:hAnsi="Times New Roman"/>
                  <w:sz w:val="20"/>
                </w:rPr>
                <w:t xml:space="preserve">Risk Factors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5">
              <w:r>
                <w:rPr>
                  <w:rStyle w:val="InternetLink"/>
                  <w:rFonts w:ascii="Times New Roman" w:hAnsi="Times New Roman"/>
                  <w:sz w:val="20"/>
                </w:rPr>
                <w:t xml:space="preserve">Use of Proceeds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6">
              <w:r>
                <w:rPr>
                  <w:rStyle w:val="InternetLink"/>
                  <w:rFonts w:ascii="Times New Roman" w:hAnsi="Times New Roman"/>
                  <w:sz w:val="20"/>
                </w:rPr>
                <w:t xml:space="preserve">Description of Securities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7">
              <w:r>
                <w:rPr>
                  <w:rStyle w:val="InternetLink"/>
                  <w:rFonts w:ascii="Times New Roman" w:hAnsi="Times New Roman"/>
                  <w:sz w:val="20"/>
                </w:rPr>
                <w:t xml:space="preserve">Description of Common Stock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8">
              <w:r>
                <w:rPr>
                  <w:rStyle w:val="InternetLink"/>
                  <w:rFonts w:ascii="Times New Roman" w:hAnsi="Times New Roman"/>
                  <w:sz w:val="20"/>
                </w:rPr>
                <w:t xml:space="preserve">Description of Preferred Stock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9">
              <w:r>
                <w:rPr>
                  <w:rStyle w:val="InternetLink"/>
                  <w:rFonts w:ascii="Times New Roman" w:hAnsi="Times New Roman"/>
                  <w:sz w:val="20"/>
                </w:rPr>
                <w:t xml:space="preserve">Description of Debt Securities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0">
              <w:r>
                <w:rPr>
                  <w:rStyle w:val="InternetLink"/>
                  <w:rFonts w:ascii="Times New Roman" w:hAnsi="Times New Roman"/>
                  <w:sz w:val="20"/>
                </w:rPr>
                <w:t xml:space="preserve">Description of Guarantees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1">
              <w:r>
                <w:rPr>
                  <w:rStyle w:val="InternetLink"/>
                  <w:rFonts w:ascii="Times New Roman" w:hAnsi="Times New Roman"/>
                  <w:sz w:val="20"/>
                </w:rPr>
                <w:t xml:space="preserve">Description of Depositary Shares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2">
              <w:r>
                <w:rPr>
                  <w:rStyle w:val="InternetLink"/>
                  <w:rFonts w:ascii="Times New Roman" w:hAnsi="Times New Roman"/>
                  <w:sz w:val="20"/>
                </w:rPr>
                <w:t xml:space="preserve">Description of Warrants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3">
              <w:r>
                <w:rPr>
                  <w:rStyle w:val="InternetLink"/>
                  <w:rFonts w:ascii="Times New Roman" w:hAnsi="Times New Roman"/>
                  <w:sz w:val="20"/>
                </w:rPr>
                <w:t xml:space="preserve">Description of Purchase Contracts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4">
              <w:r>
                <w:rPr>
                  <w:rStyle w:val="InternetLink"/>
                  <w:rFonts w:ascii="Times New Roman" w:hAnsi="Times New Roman"/>
                  <w:sz w:val="20"/>
                </w:rPr>
                <w:t xml:space="preserve">Description of Units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5">
              <w:r>
                <w:rPr>
                  <w:rStyle w:val="InternetLink"/>
                  <w:rFonts w:ascii="Times New Roman" w:hAnsi="Times New Roman"/>
                  <w:sz w:val="20"/>
                </w:rPr>
                <w:t xml:space="preserve">Legal Ownership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7">
              <w:r>
                <w:rPr>
                  <w:rStyle w:val="InternetLink"/>
                  <w:rFonts w:ascii="Times New Roman" w:hAnsi="Times New Roman"/>
                  <w:sz w:val="20"/>
                </w:rPr>
                <w:t xml:space="preserve">Material U.S. Federal Income Tax Considerations Related to Our Qualification and Taxation as a REIT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8">
              <w:r>
                <w:rPr>
                  <w:rStyle w:val="InternetLink"/>
                  <w:rFonts w:ascii="Times New Roman" w:hAnsi="Times New Roman"/>
                  <w:sz w:val="20"/>
                </w:rPr>
                <w:t xml:space="preserve">Material U.S. Federal Income Tax Considerations Relevant to Holders of Our Stock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20">
              <w:r>
                <w:rPr>
                  <w:rStyle w:val="InternetLink"/>
                  <w:rFonts w:ascii="Times New Roman" w:hAnsi="Times New Roman"/>
                  <w:sz w:val="20"/>
                </w:rPr>
                <w:t xml:space="preserve">Validity of the Securities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21">
              <w:r>
                <w:rPr>
                  <w:rStyle w:val="InternetLink"/>
                  <w:rFonts w:ascii="Times New Roman" w:hAnsi="Times New Roman"/>
                  <w:sz w:val="20"/>
                </w:rPr>
                <w:t xml:space="preserve">Experts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926217_22">
              <w:r>
                <w:rPr>
                  <w:rStyle w:val="InternetLink"/>
                  <w:rFonts w:ascii="Times New Roman" w:hAnsi="Times New Roman"/>
                  <w:sz w:val="20"/>
                </w:rPr>
                <w:t xml:space="preserve">Where You Can Find More Information </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supplement and the accompanying prospectus. We have not, and the underwriters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supplement or the accompanying prospectus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rom926217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supplement and the accompanying prospectus to $ and U.S. dollars are to the currency of the United States. References in this prospectus supplement to  and euros are to the currency of the member states of the European Monetary Union that have adopted or that adopt the single currency in accordance with the treaty establishing the European Community, as amended by the Treaty on European Union. The financial information presented in this prospectus supplement and the accompanying prospectus has been prepared in accordance with generally accepted accounting principles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BARCLAYS BANK PLC (THE STABILIZING MANAGER) (OR PERSONS ACTING ON ITS BEHALF) MAY OVER ALLOT NOTES OR EFFECT TRANSACTIONS WITH A VIEW TO SUPPORTING THE MARKET PRICE OF THE NOTES DURING THE STABILIZATION PERIOD AT A LEVEL HIGHER THAN THAT WHICH MIGHT OTHERWISE PREVAIL. HOWEVER, STABILIZATION ACTION MAY NOT NECESSARILY OCCUR. ANY STABILIZATION ACTION MAY BEGIN ON OR AFTER THE DATE ON WHICH ADEQUATE PUBLIC DISCLOSURE OF THE TERMS OF THE OFFER OF THE RELEVANT NOTES IS MADE AND, IF BEGUN, MAY BE ENDED AT ANY TIME, BUT IT MUST END NO LATER THAN 30 DAYS AFTER THE DATE ON WHICH THE COMPANY RECEIVED THE PROCEEDS OF THE ISSUE, OR NO LATER THAN 60 DAYS AFTER THE DATE OF ALLOTMENT OF THE RELEVANT NOTES WHICHEVER IS THE EARLIER. ANY STABILIZATION ACTION OR OVER ALLOTMENT MUST BE CONDUCTED BY THE STABILIZING MANAGER (OR PERSONS ACTING ON ITS BEHALF) IN ACCORDANCE WITH ALL APPLICABLE LAWS AND RULES AND WILL BE UNDERTAKEN AT THE OFFICES OF THE STABILIZING MANAGER (OR PERSONS ACTING ON ITS BEHALF) AND ON THE NEW YORK STOCK EXCHANGE.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 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MiFID II professionals/ECPs-only  Manufacturer target market (MiFID II product governance) is eligible counterparties and professional clients only (all distribution channels).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240" w:after="0"/>
        <w:jc w:val="left"/>
        <w:rPr>
          <w:rFonts w:ascii="Times New Roman" w:hAnsi="Times New Roman"/>
          <w:sz w:val="20"/>
        </w:rPr>
      </w:pPr>
      <w:r>
        <w:rPr>
          <w:rFonts w:ascii="Times New Roman" w:hAnsi="Times New Roman"/>
          <w:b/>
          <w:sz w:val="20"/>
        </w:rPr>
        <w:t>Prohibition of Sales to UK Retail Investors:</w:t>
      </w:r>
      <w:r>
        <w:rPr>
          <w:rFonts w:ascii="Times New Roman" w:hAnsi="Times New Roman"/>
          <w:sz w:val="20"/>
        </w:rPr>
        <w:t xml:space="preserve"> 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assimilated law by virtue of the European Union (Withdrawal) Act 2018 (as amended, and together with any statutory instruments made in exercise of the powers conferred by such Act, the EUWA); (ii) a customer within the meaning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assimilated law by virtue of the EUWA; or (iii) not a qualified investor as defined in Article 2(e) of Regulation (EU) 2017/1129 as it forms part of assimilated law by virtue of the EUWA. Consequently, no key information document required by Regulation (EU) No 1286/2014 as it forms part of assimilated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United Kingdom MiFIR professionals/ECPs-only  Manufacturer target market (FCA Handbook Product Intervention and Product Governance Sourcebook (the UK MiFIR Product Governance Rules)) is eligible counterparties and professional clients only (all distribution channels). Any distributor should take into consideration the manufacturers target market assessment; however, a distributor subject to UK MiFIR Product Governance Rules is responsible for undertaking its own target market assessment in respect of the notes (by either adopting or refining the manufacturers target market assessment) and determining appropriate distribution channels.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offered globally for sale only in those jurisdictions in the United States, Canada, Europe, Asia and elsewhere where it is lawful to make such offers. The distribution of this prospectus supplement and the accompanying prospectus and the offering or sale of the notes in some jurisdictions may be restricted by law. Persons outside the United States who receive this prospectus supplement and the accompanying prospectus should inform themselves about and observe any applicable restrictions. This prospectus supplement and the accompanying prospectus may not be used for or in connection with an offer or solicitation by any person in any jurisdiction in which that offer or solicitation is not authorized or to any person to whom it is unlawful to make that offer or solicitation. See UnderwritingSelling Restrictions. </w:t>
      </w:r>
    </w:p>
    <w:p>
      <w:pPr>
        <w:pStyle w:val="TextBody"/>
        <w:bidi w:val="0"/>
        <w:spacing w:before="480" w:after="0"/>
        <w:jc w:val="center"/>
        <w:rPr>
          <w:rFonts w:ascii="Times New Roman" w:hAnsi="Times New Roman"/>
          <w:b/>
          <w:sz w:val="20"/>
        </w:rPr>
      </w:pPr>
      <w:bookmarkStart w:id="4" w:name="suprom926217_2"/>
      <w:bookmarkEnd w:id="4"/>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the creditworthiness and financial strength of our customers, the effects of consolidation among companies in our industry and among our customers and other competitive and financial pressures, our ability to maintain or increase our market share, our plans to fund our future liquidity needs, the expected impacts of strategic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partnerships on our business, our expectations for the closing of signed agreements and the expected impacts of such agreements on our business, our substantial leverage and debt service obligations, our future financing transactions, our future operating results, the level of future expenditures by companies in this industry and other trends in this industry,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natural disasters and similar events and technology failures, including cybersecurity and data privacy incidents. These statements are based on our managements beliefs and assumptions, which in turn are based on currently available information. These assumptions could prove inaccurate. See Risk Factors. These forward-looking statements may be found in this prospectus supplement and the accompanying prospectus generally as well as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keep in mind that any forward-looking statement we make in this prospectus supplement, the accompanying prospectus,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this prospectus supplement, in the accompanying prospectus and the documents incorporated by reference, may cause actual results to differ materially from those indicated by our forward- looking statements. We have no duty, and do not intend, to update or revise the forward-looking statements we make in this prospectus supplement, the accompanying prospectus, the documents incorporated by reference or elsewhere, except as may be required by law. In light of these risks and uncertainties, you should keep in mind that the future events or circumstances described in any forward-looking statement we make in this prospectus supplement, the accompanying prospectus, the documents incorporated by reference or elsewhere might not occur. </w:t>
      </w:r>
    </w:p>
    <w:p>
      <w:pPr>
        <w:pStyle w:val="TextBody"/>
        <w:bidi w:val="0"/>
        <w:spacing w:before="480" w:after="0"/>
        <w:jc w:val="center"/>
        <w:rPr>
          <w:rFonts w:ascii="Times New Roman" w:hAnsi="Times New Roman"/>
          <w:b/>
          <w:sz w:val="20"/>
        </w:rPr>
      </w:pPr>
      <w:bookmarkStart w:id="5" w:name="suprom926217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estimates regarding market data, which are based on our internal estimates, independent industry publications, reports by market research firms and/or other published independent sources. In each case, we believe these estimates are reasonable. However,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data. As a result, you should be aware that market data set forth in this prospectus supplement, accompanying prospectus or the documents incorporated by reference or elsewhere, and estimates and beliefs based on such data, may not be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rom926217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may not contain all the information that may be important to you. You should read this entire prospectus supplement, the accompanying prospectus and those documents incorporated by reference into the prospectus supplement and the accompanying prospectus, including the risk factors and the financial statements and related notes, before making an investment decision. Unless otherwise indicated or the context otherwise requires, references to we, us, our and American Tower refer to American Tower Corporation and its predecessor, as applicable, and its consolidated subsidiaries, in each case, as the context requires. References herein to our common stock refer to our common stock and the Class A common stock of our predecessor, as applicable.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American Tower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As of March 31, 2025, our portfolio included over 149,000 communications sites across the globe and 30 data center facilities across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operates as a REIT for U.S. federal income tax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Bangladesh, Brazil, Burkina Faso, Canada, Chile, Colombia, Costa Rica, France, Germany, Ghana, Kenya, Mexico, Niger, Nigeria, Paraguay, Peru, the Philippines, South Africa, Spain and Uganda.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116 Huntington Avenue,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American Tower Corporation,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8" w:type="dxa"/>
            <w:tcBorders/>
          </w:tcPr>
          <w:p>
            <w:pPr>
              <w:pStyle w:val="TableContents"/>
              <w:bidi w:val="0"/>
              <w:spacing w:before="0" w:after="283"/>
              <w:jc w:val="left"/>
              <w:rPr/>
            </w:pPr>
            <w:r>
              <w:rPr/>
              <w:t xml:space="preserve">    aggregate principal amount of   %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30" w:type="dxa"/>
            <w:tcBorders/>
          </w:tcPr>
          <w:p>
            <w:pPr>
              <w:pStyle w:val="TableContents"/>
              <w:bidi w:val="0"/>
              <w:spacing w:before="0" w:after="283"/>
              <w:jc w:val="left"/>
              <w:rPr/>
            </w:pPr>
            <w:r>
              <w:rPr/>
              <w:t xml:space="preserve">May 30,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Payments </w:t>
            </w:r>
          </w:p>
        </w:tc>
        <w:tc>
          <w:tcPr>
            <w:tcW w:w="6327" w:type="dxa"/>
            <w:tcBorders/>
          </w:tcPr>
          <w:p>
            <w:pPr>
              <w:pStyle w:val="TableContents"/>
              <w:bidi w:val="0"/>
              <w:spacing w:before="0" w:after="283"/>
              <w:jc w:val="left"/>
              <w:rPr/>
            </w:pPr>
            <w:r>
              <w:rPr/>
              <w:t xml:space="preserve">May 30 of each year, beginning on May 30, 2026. Interest on the notes will accrue from   ,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Currency of Payment </w:t>
            </w:r>
          </w:p>
        </w:tc>
        <w:tc>
          <w:tcPr>
            <w:tcW w:w="6328" w:type="dxa"/>
            <w:tcBorders/>
          </w:tcPr>
          <w:p>
            <w:pPr>
              <w:pStyle w:val="TableContents"/>
              <w:bidi w:val="0"/>
              <w:spacing w:before="0" w:after="283"/>
              <w:jc w:val="left"/>
              <w:rPr/>
            </w:pPr>
            <w:r>
              <w:rPr/>
              <w:t xml:space="preserve">All payments of interest, premium, if any, principal, including payments made upon any redemption of the notes, and additional amounts, if any, will be made in euros.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on the basis of the most recently available market exchange rate for the euro. Any payments in respect of the notes so made in U.S. dollars will not constitute an event of default under the terms of the notes or the indenture. See Description of NotesIssuance in Euros; Payment on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will be general, unsecured obligations and will rank equally in right of payment with all of our other senior unsecured debt obligations. As of March 31, 2025, after giving effect to the transactions described under Capitalization, we would have had approximately $    billion of senior unsecured indebtedness outstanding. In addition, we would have had approximately $    billion in aggregate undrawn loan commitments under our $6.0 billion senior unsecured multicurrency revolving credit facility, as amended and restated in December 2021, as further amended (the 2021 Multicurrency Credit Facility), and our $4.0 billion senior unsecured revolving credit facility, as amended and restated in December 2021, as further amended (the 2021 Credit Facility), net of approximately $35.5 million of outstanding undrawn letters of credit.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structurally subordinated to all existing and future indebtedness and other obligations of our subsidiaries. Our subsidiaries are not guarantors of the notes. As of March 31, 2025, after giving effect to the transactions described under Capitalization, our subsidiaries would have had approximately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 billion of total debt obligations (excluding intercompany obligations),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$13.3 million unamortized deferred financing fees) backed by the debt of two special purpose subsidiaries, which is secured primarily by mortgages on those subsidiaries interests in 5,024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$524.9 million in secured revenue notes ($525.0 million principal amount due at maturity, net of $0.1 million unamortized deferred financing fees) secured by the issuers and its subsidiaries interests in 3,334 communications sites;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2"/>
        <w:gridCol w:w="6124"/>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$1.2 million under our term loan entered into in Bangladesh in March 2025 (the Bangladesh Term Loan);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2"/>
        <w:gridCol w:w="6124"/>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$16.1 million of other debt, which consists of finance leases attributable to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redeem the notes at any time and from time to time, in whole or in part, at our election at the applicable redemption prices. If we redeem the notes prior to March 30, 2032 (two months prior to their maturity date), we will pay a redemption price equal to 100% of the principal amount of the notes to be redeemed plus a make-whole premium, together with accrued interest to the redemption date. If we redeem the notes on or after March 30, 2032 (two months prior to their maturity date), we will pay a redemption price equal to 100% of the principal amount of the notes to be redeemed plus accrued interest to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Offer </w:t>
            </w:r>
          </w:p>
        </w:tc>
        <w:tc>
          <w:tcPr>
            <w:tcW w:w="6328" w:type="dxa"/>
            <w:tcBorders/>
          </w:tcPr>
          <w:p>
            <w:pPr>
              <w:pStyle w:val="TableContents"/>
              <w:bidi w:val="0"/>
              <w:spacing w:before="0" w:after="283"/>
              <w:jc w:val="left"/>
              <w:rPr/>
            </w:pPr>
            <w:r>
              <w:rPr/>
              <w:t xml:space="preserve">Following a Change of Control and Ratings Decline (each as defined herein), we will be required to offer to purchase all of the notes at a purchase price equal to 101% of the aggregate principal amount of the notes repurchased, plus accrued and unpaid interest, if any, up to but not including the date of repurchase. See Description of Notes Repurchase of Notes Upon a Change of Control Triggering Event. The 2021 Multicurrency Credit Facility and the 2021 Credit Facility might restrict our ability to make such a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Additional Amounts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subject to certain exceptions and limitations, pay additional amounts on the notes to holders who are not U.S. Persons (as defined under Description of NotesPayment of Additional Amounts) in respect of any required withholding or deduction for any present or future tax, assessment or other governmental charge imposed by the United States or any political subdivision or taxing authority of or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United States, as will result in receipt by holders of notes that are not U.S. Persons of such amounts as they would have received had no such withholding or deduction been required. See Description of NotesPayment of Additional Amounts.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for Tax Reasons </w:t>
            </w:r>
          </w:p>
        </w:tc>
        <w:tc>
          <w:tcPr>
            <w:tcW w:w="6326" w:type="dxa"/>
            <w:tcBorders/>
          </w:tcPr>
          <w:p>
            <w:pPr>
              <w:pStyle w:val="TableContents"/>
              <w:bidi w:val="0"/>
              <w:spacing w:before="0" w:after="283"/>
              <w:jc w:val="left"/>
              <w:rPr/>
            </w:pPr>
            <w:r>
              <w:rPr/>
              <w:t xml:space="preserve">We may redeem the notes at any time, in whole but not in part, at our election in the event of certain changes in the tax laws of the United States that would require us to pay additional amounts as described under Description of NotesPayment of Additional Amounts. This redemption would be at a redemption price of 100% of the principal amount, together with accrued and unpaid interest on the notes to, but not including, the date fixed for redemption. See Description of NotesRedemption for Tax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7" w:type="dxa"/>
            <w:tcBorders/>
          </w:tcPr>
          <w:p>
            <w:pPr>
              <w:pStyle w:val="TableContents"/>
              <w:bidi w:val="0"/>
              <w:spacing w:before="0" w:after="283"/>
              <w:jc w:val="left"/>
              <w:rPr/>
            </w:pPr>
            <w:r>
              <w:rPr/>
              <w:t xml:space="preserve">The provisions of the indenture governing the notes will,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101"/>
        <w:gridCol w:w="102"/>
        <w:gridCol w:w="5818"/>
      </w:tblGrid>
      <w:tr>
        <w:trPr/>
        <w:tc>
          <w:tcPr>
            <w:tcW w:w="4184"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5"/>
        <w:gridCol w:w="101"/>
        <w:gridCol w:w="100"/>
        <w:gridCol w:w="5819"/>
      </w:tblGrid>
      <w:tr>
        <w:trPr/>
        <w:tc>
          <w:tcPr>
            <w:tcW w:w="418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or sell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expect that the net proceeds of this offering will be approximately     million, after deducting discounts and commissions payable to the underwriters and estimated expenses of this offering payable by us. We intend to use the net proceeds from this offering to repay existing indebtedness under the 2021 Multicurrency Credit Facility and for general corporate purposes. See Use of Proceeds and Capitalization.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9" w:type="dxa"/>
            <w:tcBorders/>
          </w:tcPr>
          <w:p>
            <w:pPr>
              <w:pStyle w:val="TableContents"/>
              <w:bidi w:val="0"/>
              <w:spacing w:before="0" w:after="283"/>
              <w:jc w:val="left"/>
              <w:rPr/>
            </w:pPr>
            <w:r>
              <w:rPr/>
              <w:t xml:space="preserve">We intend to apply to list the notes on the NYSE. The listing application will be subject to approval by the NYSE. We currently expect trading in the notes on the NYSE to begin within 30 days after the initial issuance of the notes. If such a listing is obtained, we have no obligation to maintain it and we may delist the notes at any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100,000 and multiples of 1,000 thereafter.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Book-entry Form </w:t>
            </w:r>
          </w:p>
        </w:tc>
        <w:tc>
          <w:tcPr>
            <w:tcW w:w="6328" w:type="dxa"/>
            <w:tcBorders/>
          </w:tcPr>
          <w:p>
            <w:pPr>
              <w:pStyle w:val="TableContents"/>
              <w:bidi w:val="0"/>
              <w:spacing w:before="0" w:after="283"/>
              <w:jc w:val="left"/>
              <w:rPr/>
            </w:pPr>
            <w:r>
              <w:rPr/>
              <w:t xml:space="preserve">The notes will be issued in book-entry form and will be represented by one or more fully registered global notes deposited with a common depositary on behalf of Clearstream and Euroclear and registered in the name of the common depositary or its nominee. Beneficial interests in the notes will be shown on, and transfers will be effected only through, records maintained by the common depositary or its nominee; and these interests may not be exchanged for certificated notes, except in limited circumstances. See Description of Notes Book-Entry; Delivery and Form.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Legal Entity Identifier (LEI) Code </w:t>
            </w:r>
          </w:p>
        </w:tc>
        <w:tc>
          <w:tcPr>
            <w:tcW w:w="6327" w:type="dxa"/>
            <w:tcBorders/>
          </w:tcPr>
          <w:p>
            <w:pPr>
              <w:pStyle w:val="TableContents"/>
              <w:bidi w:val="0"/>
              <w:spacing w:before="0" w:after="283"/>
              <w:jc w:val="left"/>
              <w:rPr/>
            </w:pPr>
            <w:r>
              <w:rPr/>
              <w:t xml:space="preserve">5493006ORUSIL88JOE18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Paying Agent </w:t>
            </w:r>
          </w:p>
        </w:tc>
        <w:tc>
          <w:tcPr>
            <w:tcW w:w="6328" w:type="dxa"/>
            <w:tcBorders/>
          </w:tcPr>
          <w:p>
            <w:pPr>
              <w:pStyle w:val="TableContents"/>
              <w:bidi w:val="0"/>
              <w:spacing w:before="0" w:after="283"/>
              <w:jc w:val="left"/>
              <w:rPr/>
            </w:pPr>
            <w:r>
              <w:rPr/>
              <w:t xml:space="preserve">U.S. Bank Europe DAC, UK Branch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125 Old Broad Street, Fifth Floor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London EC2N1AR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United Kingdom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Transfer Agent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Federal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Boston, MA 02110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Financial Advisor </w:t>
            </w:r>
          </w:p>
        </w:tc>
        <w:tc>
          <w:tcPr>
            <w:tcW w:w="6328" w:type="dxa"/>
            <w:tcBorders/>
          </w:tcPr>
          <w:p>
            <w:pPr>
              <w:pStyle w:val="TableContents"/>
              <w:bidi w:val="0"/>
              <w:spacing w:before="0" w:after="283"/>
              <w:jc w:val="left"/>
              <w:rPr/>
            </w:pPr>
            <w:r>
              <w:rPr/>
              <w:t xml:space="preserve">Chatham Financial Securities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under which they will be issued will be governed by New York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Marketing and Selling Restrictions </w:t>
            </w:r>
          </w:p>
        </w:tc>
        <w:tc>
          <w:tcPr>
            <w:tcW w:w="6327" w:type="dxa"/>
            <w:tcBorders/>
          </w:tcPr>
          <w:p>
            <w:pPr>
              <w:pStyle w:val="TableContents"/>
              <w:bidi w:val="0"/>
              <w:spacing w:before="0" w:after="283"/>
              <w:jc w:val="left"/>
              <w:rPr/>
            </w:pPr>
            <w:r>
              <w:rPr/>
              <w:t xml:space="preserve">The notes may be offered for sale in those jurisdictions in the United States, Canada, Europe and Asia where it is lawful to make such offers. See UnderwritingSelling Restrictions.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Considerations </w:t>
            </w:r>
          </w:p>
        </w:tc>
        <w:tc>
          <w:tcPr>
            <w:tcW w:w="6328" w:type="dxa"/>
            <w:tcBorders/>
          </w:tcPr>
          <w:p>
            <w:pPr>
              <w:pStyle w:val="TableContents"/>
              <w:bidi w:val="0"/>
              <w:spacing w:before="0" w:after="283"/>
              <w:jc w:val="left"/>
              <w:rPr/>
            </w:pPr>
            <w:r>
              <w:rPr/>
              <w:t xml:space="preserve">Investors in the notes should consider the information under Material U.S. Federal Income Tax Considerations, Certain European Union Tax Considerations and in the accompanying prospectus under Material U.S. Federal Income Tax Considerations Relevant to Holders of Our Debt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Before investing in the notes, you should carefully consider all of the information in this prospectus supplement and the accompanying prospectus and in the documents incorporated by reference herein or therein, including the discussions under Risk Factors beginning on page S-6 and in Part I, Item 1A of our 2024 Annual Report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rom92621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in addition to the other information presented and incorporated by reference in this prospectus supplement and the accompanying prospectus, in evaluating us, our business and an investment in the notes. A description of the risks related to our business is included in the Risk Factors section in Part I, Item 1A, of our 2024 Annual Report, which is incorporated by reference herein. The risks and uncertainties described below and incorporated by reference are not the only ones we face. Additional risks and uncertainties that we do not currently know about, or that we currently believe are immaterial, may also adversely impact our business. Events relating to any of the following risks as well as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this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Our leverage and debt service obligations may materially and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have a substantial amount of indebtedness. As of March 31, 2025, after giving effect to the transactions described under Capitalization, we would have had approximately $    billion of consolidated debt and the ability to borrow additional aggregate amounts of approximately $    billion under the 2021 Multicurrency Credit Facility and the 2021 Credit Facility, net of approximately $35.5 million of outstanding undrawn letters of credit. Our substantial level of indebtedness increases the possibility that we may be unable to generate cash sufficient to pay when due the principal of, interest on, or other amounts due with respect to, our indebtedness. We are also permitted, subject to certain restrictions under our existing indebtedness, to obtain additional long-term debt and working capital lines of credit to meet future financing needs. This would effectively increase our total leverage.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 relating to the notes does not prohibit us from incurring additional indebtedness. Our leverage could have significant negative consequences on our financial condition and results of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debt or equity financing, thereby increasing our vulnerability to general adverse economic and industry conditions and placing us at a possible competitive disadvantage to less leveraged competitors and competitors that may have better access to capital resources, including with respect to acquiring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our ability to meet one or more of the financial ratio covenants contained in our debt agreements or to generate cash sufficient to pay interest or principal due under those agreements, which could result in an acceleration of some or all of our outstanding debt and the loss of the towers securing such debt if a default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borrowing costs if our current investment grade debt ratings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debt, thereby reducing the amount of our cash flow available for other purposes, including capital expenditures and REIT distributions;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the markets in which we compete.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holding company structure results in structural subordination of the notes and may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American Tower Corporation and not of our subsidiaries. However, all of our operations are conducted through our subsidiaries. Our cash flow and our ability to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debt, including the notes, is dependent upon distributions of earnings, loans or other payments by our subsidiaries to us. Our subsidiaries are separate and distinct legal entities and have no obligation to pay any amounts due on the notes or to provide us with funds for our payment obligations, whether by dividends, distributions, loans or otherwise. Payments to us by our subsidiaries are contingent upon our subsidiaries earnings and cash flows. Moreover, our subsidiaries may incur indebtedness that may restrict or prohibit the making of distributions, the paying of dividends or the making of loans by such subsidiaries to us. The notes are structurally subordinated to all existing, and will be structurally subordinated to all future, indebtedness and other obligations issued by our subsidiaries. Certain of our subsidiary indebtedness is also secured. As of March 31, 2025, after giving effect to the transactions described under Capitalization, our subsidiaries would have had approximately $2.3 billion of total debt obligations (excluding intercompany obligations),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$13.3 million unamortized deferred financing fees) backed by the debt of two special purpose subsidiaries, which is secured primarily by mortgages on those subsidiaries interests in 5,024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$524.9 million in secured revenue notes ($525.0 million principal amount due at maturity, net of $0.1 million unamortized deferred financing fees) secured by the issuers and its subsidiaries interests in 3,334 communications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$1.2 million under the Bangladesh Term Loan;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$16.1 million of other debt, which consists of finance leases attributable to wholly owned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our insolvency, liquidation or reorganization, or should any of the indebtedness of our subsidiaries be accelerated because of a default, the holders of those debt obligations would have a claim to the proceeds from any liquidation of, or distribution from, certain of our subsidiaries prior to a claim by holders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An active trading market for the notes may not develop, which could limit their market price or your ability to sell them. </w:t>
      </w:r>
    </w:p>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notes offered by this prospectus supplement, there has been no public market for the notes and we cannot assure you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of any market that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ability to sell your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you would be able to sell your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market were to exist for the notes, the notes could trade at prices that are lower than the principal amount of your purchase price, depending on many factors, including prevailing interest rates, the market for similar notes and our financial performance. Although we intend to apply for listing of the notes for trading on the NYSE, no assurance can be given that the notes will become or will remain listed or that an active trading market for the notes will develop or, if developed, that it will continue. The listing application will be subject to approval by the NYSE. If such a listing is obtained, we have no obligation to maintain it, and we may delist the notes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presently intend to make a market in the notes. The underwriters are not obligated, however, to make a market in the notes, and may discontinue any such market-making at any time at their sole discretion. In addition, any market-making activity will be subject to the limits imposed by securities laws. Accordingly, we cannot assure you as to the development or liquidity of any market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may be unable to repay the notes when due or repurchase the notes when we are required to do so and holders may be unable to require us to repurchase their notes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At final maturity of the notes or in the event of acceleration of the notes following an event of default, the entire outstanding principal amount of the notes will become due and payable. Upon the occurrence of a Change of Control Triggering Event (as described in this prospectus supplement), we will be required to offer to repurchase in cash all outstanding notes at a redemption price equal to 101% of the principal amount of the notes plus accrued and unpaid interest, if any, up to, but not including, the repurchase date. If we were unable to make the required payments or repurchases of the notes, it would constitute an event of default under the notes and, as a result, may constitute an event of default under the 2021 Multicurrency Credit Facility, the 2021 Credit Facility and other outstanding indebtedness. The indentures for our other outstanding indebtedness also provide for repurchase rights upon a change of control and, in some cases, other fundamental changes under different terms. As a result, holders of our other indebtedness may have the ability to require us to repurchase their debt securities before the holders of the notes would have such repurchase rights. It is possible that we will not have sufficient funds at maturity, upon acceleration or at the time of the Change of Control Triggering Event or other fundamental change to make the required repurchase of notes and other indebtedness. In addition, a Change of Control (as described in this prospectus supplement) and certain other change of control events may constitute an event of default under the 2021 Multicurrency Credit Facility, the 2021 Credit Facility and certain other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(as described in this prospectus supplement).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stockholders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Description of NotesRepurchase of Notes Upon a Change of Control Triggering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will effectively rank junior to any secured indebtedness we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general unsecured obligations, and will effectively rank junior to any secured indebtedness we incur in the future to the extent of the assets securing such indebtedness. In the event of our bankruptcy, liquidation, reorganization or other winding up, our assets that secure indebtedness will be available to pay obligations on the notes only after all such secured indebtedness has been repaid in full from such assets. As a result, there may not be sufficient assets remaining to pay amounts due on any or all of the notes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exchange rates and exchange controls could result in a substantial loss to you. </w:t>
      </w:r>
    </w:p>
    <w:p>
      <w:pPr>
        <w:pStyle w:val="TextBody"/>
        <w:bidi w:val="0"/>
        <w:spacing w:before="120" w:after="0"/>
        <w:jc w:val="left"/>
        <w:rPr>
          <w:rFonts w:ascii="Times New Roman" w:hAnsi="Times New Roman"/>
          <w:sz w:val="20"/>
        </w:rPr>
      </w:pPr>
      <w:r>
        <w:rPr>
          <w:rFonts w:ascii="Times New Roman" w:hAnsi="Times New Roman"/>
          <w:sz w:val="20"/>
        </w:rPr>
        <w:t xml:space="preserve">Investors will have to pay for the notes in euro. Payments of principal and interest, including payments made upon any redemption of the notes, premium, if any, and additional amounts, if any, in respect of the notes are payable by us in euro. An investment in the notes which are denominated in, and all payments in respect of which are to be made in, a currency other than the currency of the country in which the purchaser is resident or the currency in which the purchaser conducts its business or activities (the home currency), entails significant risks not associated with a similar investment in a security denominated in the home currency. </w:t>
      </w:r>
    </w:p>
    <w:p>
      <w:pPr>
        <w:pStyle w:val="TextBody"/>
        <w:bidi w:val="0"/>
        <w:spacing w:before="240" w:after="0"/>
        <w:jc w:val="left"/>
        <w:rPr>
          <w:rFonts w:ascii="Times New Roman" w:hAnsi="Times New Roman"/>
          <w:sz w:val="20"/>
        </w:rPr>
      </w:pPr>
      <w:r>
        <w:rPr>
          <w:rFonts w:ascii="Times New Roman" w:hAnsi="Times New Roman"/>
          <w:sz w:val="20"/>
        </w:rPr>
        <w:t xml:space="preserve">These include the possibility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rates of exchange between the home currency and euro;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or modification of foreign exchange controls with respect to euro;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for the purchaser as a result of any foreign exchange gains or losses resulting from an investment in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one or more member states of the European Monetary Union were to withdraw from the European Monetary Union and cease to use the euro as their currency, the value of the euro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no control over a number of factors affecting the euro, including economic, financial and political events that are important in determining the existence, magnitude and longevity of these risks and their results. Exchange rates are primarily the result of the supply of, and the demand for, the relevant currencies. Changes in exchange rates result over time, and may vary considerably during the life of an investment denominated in, or otherwise relating to, a foreign currency, from the interaction of many factors directly or indirectly affecting economic and political conditions in the country or area of the applicable currency, including economic and political developments in other countries. Of particular importance to potential currency exchange risk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and expected rates of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and expected interest rate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 of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governmental surplus or deficits in the relevant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financial, economic, military and political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these factors are, in turn, sensitive to the monetary, fiscal and trade policies pursued by the governments of the applicable countries and other countries important to international trade and finance.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rates of exchange for certain currencies, including the euro, have been highly volatile and this volatility may continue. Fluctuations in any particular exchange rate that have occurred in the past are not necessarily indicative of fluctuations in the rate that may occur during the term of the notes. Depreciation of the euro against the home currency could result in a decrease in the home currency value of payments on the notes, including the principal payable at maturity. That in turn could cause the market value of the notes to fall. Depreciation of the euro against the home currency could result in a loss to the investor on a home currency basis.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or one or more of its member states may, in the future, impose exchange controls and modify any exchange controls imposed, which controls could affect exchange rates as well as the availability of the euro at the time of payment of principal of, interest on, or any redemption payment, any premium or additional amounts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foreign currency risks does not describe all the risks of an investment in securities denominated in a currency other than the home currency. You should consult your own financial and legal advisors as to the risks involved in an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permit us to make payments in U.S. dollars if we are unable to obtain euros and market perceptions concerning the instability of the euro could materially adversely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into U.S. dollars on the basis described under Description of NotesIssuance in Euros; Payment on the Notes. Any payment in respect of the notes so made in U.S. dollars will not constitute an event of default under the notes or the indenture governing the notes. This exchange rate may be materially less favorable than the rate in effect at the time the notes were issued. Such developments, or market perceptions concerning these and related issues, could materially adversely affect the value of the notes and you may lose a significant amount of your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In a lawsuit for payment on the notes, an investor may bear currency exchange risk.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notes will be, governed by the laws of the State of New York. Under New York law, a New York state court rendering a judgment on the notes would be required to render the judgment in euros. However, the judgment would be converted into U.S. dollars at the exchange rate prevailing on the date of entry of the judgment. Consequently, in a lawsuit for payment of the notes, the affected investors would be exposed to variations in the U.S. dollar/euro exchange rate until a New York state court judgment is entered, and we cannot predict how long this would take. A U.S. federal court sitting in New York with diversity jurisdiction over a dispute arising in connection with the notes would apply the foregoing New York law. </w:t>
      </w:r>
    </w:p>
    <w:p>
      <w:pPr>
        <w:pStyle w:val="TextBody"/>
        <w:bidi w:val="0"/>
        <w:spacing w:before="240" w:after="0"/>
        <w:jc w:val="left"/>
        <w:rPr>
          <w:rFonts w:ascii="Times New Roman" w:hAnsi="Times New Roman"/>
          <w:sz w:val="20"/>
        </w:rPr>
      </w:pPr>
      <w:r>
        <w:rPr>
          <w:rFonts w:ascii="Times New Roman" w:hAnsi="Times New Roman"/>
          <w:sz w:val="20"/>
        </w:rPr>
        <w:t xml:space="preserve">In courts outside of New York, investors may not be able to obtain a judgment in a currency other than U.S. dollars. For example, a judgment for money in an action based on the notes in many other U.S. federal or state courts ordinarily would be rendered in the United States only in U.S. dollars. The date used to determine the rate of conversion of euros into U.S. dollars would depend upon various factors, including which court renders the judgment and when the judgment is rendered. </w:t>
      </w:r>
    </w:p>
    <w:p>
      <w:pPr>
        <w:pStyle w:val="TextBody"/>
        <w:bidi w:val="0"/>
        <w:spacing w:before="360" w:after="0"/>
        <w:jc w:val="left"/>
        <w:rPr>
          <w:rFonts w:ascii="Times New Roman" w:hAnsi="Times New Roman"/>
          <w:b/>
          <w:sz w:val="20"/>
        </w:rPr>
      </w:pPr>
      <w:r>
        <w:rPr>
          <w:rFonts w:ascii="Times New Roman" w:hAnsi="Times New Roman"/>
          <w:b/>
          <w:sz w:val="20"/>
        </w:rPr>
        <w:t xml:space="preserve">Trading in the clearing systems is subject to minimum denomination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provide that notes will be issued with a minimum denomination of 100,000 and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proposed European Union financial transaction tax could, if adopted, impact trading in the notes. </w:t>
      </w:r>
    </w:p>
    <w:p>
      <w:pPr>
        <w:pStyle w:val="TextBody"/>
        <w:bidi w:val="0"/>
        <w:spacing w:before="120" w:after="0"/>
        <w:jc w:val="left"/>
        <w:rPr>
          <w:rFonts w:ascii="Times New Roman" w:hAnsi="Times New Roman"/>
          <w:sz w:val="20"/>
        </w:rPr>
      </w:pPr>
      <w:r>
        <w:rPr>
          <w:rFonts w:ascii="Times New Roman" w:hAnsi="Times New Roman"/>
          <w:sz w:val="20"/>
        </w:rPr>
        <w:t xml:space="preserve">In 2013, the European Commission published a proposal (the Commissions Proposal) for a Directive for a common financial transaction tax (the FTT) in Belgium, Germany, Greece, Spain, France, Italy, Austria, Portugal, Slovenia, Slovakia and Estonia. However, Estonia has since stated that it will not participate.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Proposal has very broad scope and could, if introduced, apply to certain dealings in the notes in certain circumstances. The mechanism by which the tax contemplated in the Commissions Proposal would be applied and collected is not yet certain, but if it or any similar tax is adopted, transactions in the notes could be subject to higher costs, and the liquidity of the market for the notes may be diminished. </w:t>
      </w:r>
    </w:p>
    <w:p>
      <w:pPr>
        <w:pStyle w:val="TextBody"/>
        <w:bidi w:val="0"/>
        <w:spacing w:before="240" w:after="0"/>
        <w:jc w:val="left"/>
        <w:rPr>
          <w:rFonts w:ascii="Times New Roman" w:hAnsi="Times New Roman"/>
          <w:sz w:val="20"/>
        </w:rPr>
      </w:pPr>
      <w:r>
        <w:rPr>
          <w:rFonts w:ascii="Times New Roman" w:hAnsi="Times New Roman"/>
          <w:sz w:val="20"/>
        </w:rPr>
        <w:t xml:space="preserve">Under the Commissions Proposal, the FTT could apply in certain circumstances to persons both within and outside of the participating Member States of the European Union. Generally, it would apply to certain dealings in the notes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a lack of consensus in the negotiations on the Commissions Proposal, the participating Member States and the scope of the FTT remain uncertain. Based on public statements released in 2019, the participating Member States have agreed to continue negotiations on the basis of a proposal that would reduce the scope of the FTT and would only concern listed shares of European companies with a market capitalization exceeding 1 billion euros on 1 December of the year preceding the taxation year. According to this revised proposal, the applicable tax rate would not be less than 0.2%. Such proposal remains subject to change until a final approval is given and it may therefore be altered prior to any implementation, the timing of which remains unclear. Additional Member States may decide to participate, and/or certain of the remaining participating Member States may decide to withdraw. </w:t>
      </w:r>
    </w:p>
    <w:p>
      <w:pPr>
        <w:pStyle w:val="TextBody"/>
        <w:bidi w:val="0"/>
        <w:spacing w:before="240" w:after="0"/>
        <w:jc w:val="left"/>
        <w:rPr>
          <w:rFonts w:ascii="Times New Roman" w:hAnsi="Times New Roman"/>
          <w:sz w:val="20"/>
        </w:rPr>
      </w:pPr>
      <w:r>
        <w:rPr>
          <w:rFonts w:ascii="Times New Roman" w:hAnsi="Times New Roman"/>
          <w:sz w:val="20"/>
        </w:rPr>
        <w:t>In the </w:t>
      </w:r>
      <w:r>
        <w:rPr>
          <w:rFonts w:ascii="Times New Roman" w:hAnsi="Times New Roman"/>
          <w:i/>
          <w:sz w:val="20"/>
        </w:rPr>
        <w:t>Commission Staff Working DocumentAccompanying the document Amended Proposal for a Council Decision amending Decision (EU, Euratom) 2020/2053 on the system of own resources of the European Union</w:t>
      </w:r>
      <w:r>
        <w:rPr>
          <w:rFonts w:ascii="Times New Roman" w:hAnsi="Times New Roman"/>
          <w:sz w:val="20"/>
        </w:rPr>
        <w:t xml:space="preserve"> (n. SWD/2023/331 final) dated June 20, 2023, addressing the Commissions Proposal, the EU Commission expressed the view that There is little expectation that any proposal would be agreed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Prospective holders of the notes are advised to seek their own professional advice in relation to the FTT.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rom92621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net proceeds of this offering will be approximately     million, after deducting discounts and commissions payable to the underwriters and estimated expenses of this offering payable by us. We intend to use the net proceeds from this offering to repay existing indebtedness under the 2021 Multicurrency Credit Facility and for general corporate purposes. Pending use, the net proceeds may be invested temporarily in short-term marketable securities. Our management will have broad discretion in the application of the net proceeds, and the purposes for which the net proceeds are used may change from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2021 Multicurrency Credit Facility matures on January 28, 2028, includes two optional renewal periods and currently bears interest at a rate equal to Adjusted Term SOFR (as such term is defined in the applicable loan agreement) plus 1.000% for USD denominated borrowings and 1.000% above the Euro Interbank Offer Rate for euro denominated borrowings. Borrowings under the 2021 Multicurrency Credit Facility were primarily used to repay outstanding indebtedness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rom926217_7"/>
      <w:bookmarkEnd w:id="9"/>
      <w:r>
        <w:rPr>
          <w:rFonts w:ascii="Times New Roman" w:hAnsi="Times New Roman"/>
          <w:b/>
          <w:sz w:val="20"/>
        </w:rPr>
        <w:t xml:space="preserve">CURRENCY CONVERSION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interest, premium, if any, principal, including payments made upon any redemption of the notes, and additional amounts, if any, will be made in euros.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on the basis of the most recently available market exchange rate for the euro. Any payments in respect of the notes so made in U.S. dollars will not constitute an event of default under the terms of the notes or the indenture. See Description of NotesIssuance in Euros; Payment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Investors will be subject to foreign exchange risk as to payments of principal, premium, if any, interest and additional amounts, if any, which may have important economic and tax consequences to them. See Risk Factors. You should consult your own financial and legal advisors about the risks involved in an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the euro/U.S. dollar exchange rate used in this prospectus supplement is 1.00 = $1.1240, as reported by Bloomberg on May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rom926217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cash and cash equivalents and capitalization as of March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historical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after giving effect to the following subsequent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in April 2025 of 500.0 million aggregate principal amount of our 1.375% senior unsecured notes due 2025 (the 1.375% Notes) using borrowings under the 2021 Multicurrency Credit Facility and cash on hand,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borrowing in April 2025 of $479.1 million under the 2021 Multicurrency Credit Facility, including 492.0 million ($529.1 million as of the borrowing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borrowings in April 2025 and May 2025 of $70.0 million under the 2021 Credit Facility;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further adjusted basis, after giving effect to the offering of the notes and the receipt of approximately     million ($    million) in net proceeds from this offering, after deducting underwriting discounts and commissions and estimated expenses payable by us, and the use of     million ($    million) of the net proceeds to repay existing indebtedness under the 2021 Multicurrency Credit Facility and     million ($    million) for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the ability to borrow additional amounts under the 2021 Multicurrency Credit Facility and the 2021 Credit Facility. You should read the capitalization table below in conjunction with Managements Discussion and Analysis of Financial Condition and Results of Operations and our consolidated financial statements and related notes, which are incorporated by reference in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92"/>
        <w:gridCol w:w="188"/>
        <w:gridCol w:w="158"/>
        <w:gridCol w:w="906"/>
        <w:gridCol w:w="60"/>
        <w:gridCol w:w="188"/>
        <w:gridCol w:w="209"/>
        <w:gridCol w:w="1145"/>
        <w:gridCol w:w="60"/>
        <w:gridCol w:w="188"/>
        <w:gridCol w:w="232"/>
        <w:gridCol w:w="979"/>
        <w:gridCol w:w="67"/>
      </w:tblGrid>
      <w:tr>
        <w:trPr/>
        <w:tc>
          <w:tcPr>
            <w:tcW w:w="4192"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1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rPr>
            </w:pPr>
            <w:r>
              <w:rPr>
                <w:b/>
              </w:rPr>
              <w:t>(In millions)</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(1)(2)</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2,103.7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2,112.0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including current portion (3):</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Corporation debt:</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2021 Multicurrency Credit Facility (4)</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529.1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Term Loan</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997.5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997.5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997.5</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2021 Credit Facility</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430.0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430.0</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1.375% senior notes due 2025 (5)(6)</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540.8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4.000% senior notes due 2025</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749.8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749.8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749.8</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1.300% senior notes due 2025</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499.5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499.5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499.5</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4.400% senior notes due 2026</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499.5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499.5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499.5</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1.600% senior notes due 2026</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698.8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698.8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698.8</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1.950% senior notes due 2026 (6)</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539.7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539.7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539.7</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1.450% senior notes due 2026</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597.8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597.8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597.8</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3.375% senior notes due 2026</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997.0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997.0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997.0</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3.125% senior notes due 2027</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399.4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399.4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399.4</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2.750% senior notes due 2027</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748.2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748.2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748.2</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0.450% senior notes due 2027 (6)</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809.1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809.1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809.1</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0.400% senior notes due 2027 (6)</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538.5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538.5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538.5</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3.650% senior notes due 2027</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646.8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646.8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646.8</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4.125% senior notes due 2027 (6)</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646.6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646.6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646.6</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3.55% senior notes due 2027</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748.1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748.1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748.1</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3.600% senior notes due 2028</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697.2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697.2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697.2</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4273"/>
        <w:gridCol w:w="145"/>
        <w:gridCol w:w="152"/>
        <w:gridCol w:w="932"/>
        <w:gridCol w:w="60"/>
        <w:gridCol w:w="145"/>
        <w:gridCol w:w="181"/>
        <w:gridCol w:w="1159"/>
        <w:gridCol w:w="60"/>
        <w:gridCol w:w="145"/>
        <w:gridCol w:w="184"/>
        <w:gridCol w:w="1068"/>
        <w:gridCol w:w="68"/>
      </w:tblGrid>
      <w:tr>
        <w:trPr/>
        <w:tc>
          <w:tcPr>
            <w:tcW w:w="427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2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68" w:type="dxa"/>
            <w:tcBorders/>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w:t>
            </w:r>
          </w:p>
        </w:tc>
        <w:tc>
          <w:tcPr>
            <w:tcW w:w="68" w:type="dxa"/>
            <w:tcBorders/>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86" w:type="dxa"/>
            <w:gridSpan w:val="10"/>
            <w:tcBorders/>
            <w:vAlign w:val="bottom"/>
          </w:tcPr>
          <w:p>
            <w:pPr>
              <w:pStyle w:val="TableContents"/>
              <w:bidi w:val="0"/>
              <w:spacing w:before="0" w:after="283"/>
              <w:jc w:val="center"/>
              <w:rPr>
                <w:b/>
              </w:rPr>
            </w:pPr>
            <w:r>
              <w:rPr>
                <w:b/>
              </w:rPr>
              <w:t>(In millions)</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0.500% senior notes due 2028 (6)</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807.7</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807.7</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807.7</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1.500% senior notes due 2028</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648.0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648.0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648.0</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5.500% senior notes due 2028</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695.4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695.4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695.4</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5.250% senior notes due 2028</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645.5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645.5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645.5</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5.800% senior notes due 2028</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744.9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744.9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744.9</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5.200% senior notes due 2029</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644.1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644.1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644.1</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3.950% senior notes due 2029</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595.1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595.1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595.1</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0.875% senior notes due 2029 (6)</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808.0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808.0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808.0</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3.800% senior notes due 2029</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1,641.0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1,641.0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1,641.0</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2.900% senior notes due 2030</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745.4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745.4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745.4</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5.000% senior notes due 2030</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593.5</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593.5</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593.5</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4.900% senior notes due 2030</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643.9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643.9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643.9</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3.900% senior notes due 2030 (6)</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536.2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536.2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536.2</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2.100% senior notes due 2030</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744.4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744.4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744.4</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0.950% senior notes due 2030 (6)</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536.0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536.0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536.0</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1.875% senior notes due 2030</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794.5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794.5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794.5</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2.700% senior notes due 2031</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695.8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695.8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695.8</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4.625% senior notes due 2031 (6)</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535.0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535.0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535.0</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2.300% senior notes due 2031</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693.8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693.8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693.8</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1.000% senior notes due 2032 (6)</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697.9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697.9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697.9</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4.050% senior notes due 2032</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643.9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643.9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643.9</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5.650% senior notes due 2033</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791.6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791.6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791.6</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1.250% senior notes due 2033 (6)</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535.4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535.4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535.4</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5.550% senior notes due 2033</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841.6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841.6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841.6</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5.900% senior notes due 2033</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742.3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742.3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742.3</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5.450% senior notes due 2034</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640.8</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640.8</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640.8</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4.100% senior notes due 2034 (6)</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533.8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533.8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533.8</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5.400% senior notes due 2035</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592.0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592.0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592.0</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5.350% senior notes due 2035</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346.1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346.1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346.1</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3.700% senior notes due 2049</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592.6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592.6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592.6</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3.100% senior notes due 2050</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1,038.9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1,038.9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1,038.9</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2.950% senior notes due 2051</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1,024.0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1,024.0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1,024.0</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senior notes due 2032 (7)</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27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American Tower Corporation debt</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34,533.4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34,541.7</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secured and other subsidiary debt:</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9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Secured Revenue Notes, Series 2015-2 Notes</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524.9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524.9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524.9</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Secured Tower Revenue Securities, Series 2018-1A</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497.8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497.8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497.8</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Secured Tower Revenue Securities, Series 2023-1A</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1,288.9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1,288.9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1,288.9</w:t>
            </w:r>
          </w:p>
        </w:tc>
        <w:tc>
          <w:tcPr>
            <w:tcW w:w="68"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subsidiary debt (8)</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1.2</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16.1</w:t>
            </w:r>
          </w:p>
        </w:tc>
        <w:tc>
          <w:tcPr>
            <w:tcW w:w="68" w:type="dxa"/>
            <w:tcBorders/>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American Tower subsidiary debt</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2,328.9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2,328.9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2,328.9</w:t>
            </w:r>
          </w:p>
        </w:tc>
        <w:tc>
          <w:tcPr>
            <w:tcW w:w="68" w:type="dxa"/>
            <w:tcBorders/>
            <w:shd w:fill="CCEEFF" w:val="clear"/>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36,862.3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36,870.6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27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4149"/>
        <w:gridCol w:w="138"/>
        <w:gridCol w:w="140"/>
        <w:gridCol w:w="871"/>
        <w:gridCol w:w="161"/>
        <w:gridCol w:w="138"/>
        <w:gridCol w:w="179"/>
        <w:gridCol w:w="1143"/>
        <w:gridCol w:w="161"/>
        <w:gridCol w:w="138"/>
        <w:gridCol w:w="166"/>
        <w:gridCol w:w="1020"/>
        <w:gridCol w:w="168"/>
      </w:tblGrid>
      <w:tr>
        <w:trPr/>
        <w:tc>
          <w:tcPr>
            <w:tcW w:w="414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11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16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w:t>
            </w:r>
          </w:p>
        </w:tc>
        <w:tc>
          <w:tcPr>
            <w:tcW w:w="16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117" w:type="dxa"/>
            <w:gridSpan w:val="10"/>
            <w:tcBorders/>
            <w:vAlign w:val="bottom"/>
          </w:tcPr>
          <w:p>
            <w:pPr>
              <w:pStyle w:val="TableContents"/>
              <w:bidi w:val="0"/>
              <w:spacing w:before="0" w:after="283"/>
              <w:jc w:val="center"/>
              <w:rPr>
                <w:b/>
              </w:rPr>
            </w:pPr>
            <w:r>
              <w:rPr>
                <w:b/>
              </w:rPr>
              <w:t>(In millions)</w:t>
            </w:r>
          </w:p>
        </w:tc>
        <w:tc>
          <w:tcPr>
            <w:tcW w:w="168"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(9)</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4.8</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4.8</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4.8</w:t>
            </w:r>
          </w:p>
        </w:tc>
        <w:tc>
          <w:tcPr>
            <w:tcW w:w="168"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15,077.7</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15,077.7</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15,077.7</w:t>
            </w:r>
          </w:p>
        </w:tc>
        <w:tc>
          <w:tcPr>
            <w:tcW w:w="168" w:type="dxa"/>
            <w:tcBorders/>
            <w:shd w:fill="CCEEFF" w:val="clear"/>
            <w:vAlign w:val="bottom"/>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in excess of earnings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(4,732.5</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(4,732.5</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(4,732.5</w:t>
            </w:r>
          </w:p>
        </w:tc>
        <w:tc>
          <w:tcPr>
            <w:tcW w:w="168"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(5,514.0</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(5,514.0</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(5,514.0</w:t>
            </w:r>
          </w:p>
        </w:tc>
        <w:tc>
          <w:tcPr>
            <w:tcW w:w="168" w:type="dxa"/>
            <w:tcBorders/>
            <w:shd w:fill="CCEEFF" w:val="clear"/>
            <w:vAlign w:val="bottom"/>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(1,301.2</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(1,301.2</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(1,301.2</w:t>
            </w:r>
          </w:p>
        </w:tc>
        <w:tc>
          <w:tcPr>
            <w:tcW w:w="16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Corporation equity</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3,534.8</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3,534.8</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3,534.8</w:t>
            </w:r>
          </w:p>
        </w:tc>
        <w:tc>
          <w:tcPr>
            <w:tcW w:w="168" w:type="dxa"/>
            <w:tcBorders/>
            <w:shd w:fill="CCEEFF" w:val="clear"/>
            <w:vAlign w:val="bottom"/>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6,401.5</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6,401.5</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6,401.5</w:t>
            </w:r>
          </w:p>
        </w:tc>
        <w:tc>
          <w:tcPr>
            <w:tcW w:w="16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9,936.3</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9,936.3</w:t>
            </w:r>
          </w:p>
        </w:tc>
        <w:tc>
          <w:tcPr>
            <w:tcW w:w="16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9,936.3</w:t>
            </w:r>
          </w:p>
        </w:tc>
        <w:tc>
          <w:tcPr>
            <w:tcW w:w="168" w:type="dxa"/>
            <w:tcBorders/>
            <w:shd w:fill="CCEEFF" w:val="clear"/>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46,798.6</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46,806.9</w:t>
            </w:r>
          </w:p>
        </w:tc>
        <w:tc>
          <w:tcPr>
            <w:tcW w:w="16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dividend distribution on April 28, 2025 of approximately $795.8 million to our common stockholders of record on April 11, 2025, which was accrued for at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March 31, 2025, amount excludes $135.5 million of restricted funds pledged as collateral to secure obligations and cash, the use of which is otherwise limited by contractual provisions.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intercompany indebtedness that is eliminated in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borrowings denominated in both euros and U.S. dollars. Reflects the dollar equivalent based on the euro/U.S. dollar exchange rate as of March 31, 2025 with borrowings made subsequent to March 31, 2025 based on the EUR/U.S. dollar exchange rates as of the borrowing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1.375% Notes were repaid in full on April 3, 2025 using borrowings under the 2021 Multicurrency Credit Facility and cash on hand. Upon completion of the repayment, none of the 1.375% Notes remained outstanding.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senior notes denominated in euros and represents the dollar equivalent based on the euro/U.S. dollar exchange rate as of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U.S. dollar equivalent of the aggregate principal amount of the notes being offered, excluding any offering discounts and deferred financing fees, based on a euro/U.S. dollar exchange rate of 1.00/$1.1240 as reported by Bloomberg on May 19,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Bangladesh Term Loan, which is denominated in Bangladeshi Taka.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common stock, par value $0.01 per share1,000,000,000 shares authorized, 479,131,567 shares issued and 468,127,120 shares outstanding, as of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rom926217_9"/>
      <w:bookmarkEnd w:id="11"/>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You can find the definitions of certain terms used in this description under the subheading Certain Definitions. In this description, the references to American Tower, we, us or our refer only to American Tower Corporation (and not to any of its affiliates, including Subsidiaries, as defined below). The following description supplements and, to the extent inconsistent therewith, replaces the description of the general terms and provisions of the debt securities set forth in the accompanying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American Tower Corporation will issue the notes under an indenture dated as of June 1, 2022, between us and U.S. Bank Trust Company, National Association, as trustee, as supplemented by a supplemental indenture thereto, relating to the notes. We refer to the indenture as so supplemented as the indenture. The terms of the notes include those stated in the indenture and those made part of the indenture by reference to the Trust Indenture Act of 1939, as amended (the Trust Indenture Act).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a summary of the material provisions of the indenture and does not restate the indenture in its entirety. We urge you to read the indenture because the indenture, and not this description, defines your rights as a holder of the notes. Copies of the indenture are available from the trustee and a copy has been filed with the registration statement of which the accompanying prospectus is a part, as set forth below under Where You Can Find More Information. We use certain defined terms in this description that are not defined below under Certain Definitions or elsewhere in this description; these terms have the meanings assigned to them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      aggregate principal amount of the notes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minimum denominations of 100,000 and multiples of 1,000 thereafter.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notes, issue additional notes having the same ranking, interest rate, maturity and other terms as the notes previously issued. Any additional notes having such similar terms, together with the notes previously issued, will constitute a single series of notes under the indenture. Further, any additional notes shall be issued under a separate CUSIP or ISIN number unless the additional notes are issued pursuant to a qualified reopening of the original series, are otherwise treated as part of the same issue of debt instruments as the original series or are issued with no more than a de minimis amount of original issue discount, in each case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May 30, 2032. Accrued and unpaid interest on the notes will be payable in euros annually in arrears on May 30 of each year, which we refer to as the interest payment date, beginning on May 30, 2026 to the persons in whose names the notes are registered at the close of business on the preceding May 15, which we refer to as the record date. Interest on the notes will accrue from     , 2025.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be computed on the basis of the actual number of days in the period for which interest is being calculated and the actual number of days from and including the last date on which interest was paid on the notes (or     , 2025 if no interest has been paid on the notes), to but excluding the next scheduled interest payment date. This payment convention is referred to as ACTUAL/ACTUAL (ICMA) as defined in the rulebook of the International Capital Market Association. </w:t>
      </w:r>
    </w:p>
    <w:p>
      <w:pPr>
        <w:pStyle w:val="TextBody"/>
        <w:bidi w:val="0"/>
        <w:spacing w:before="240" w:after="0"/>
        <w:jc w:val="left"/>
        <w:rPr>
          <w:rFonts w:ascii="Times New Roman" w:hAnsi="Times New Roman"/>
          <w:sz w:val="20"/>
        </w:rPr>
      </w:pPr>
      <w:r>
        <w:rPr>
          <w:rFonts w:ascii="Times New Roman" w:hAnsi="Times New Roman"/>
          <w:sz w:val="20"/>
        </w:rPr>
        <w:t xml:space="preserve">Any payment required to be made on any day that is not a Business Day will be made on the next Business Day as if made on the date that the payment was due and no interest will accrue on that payment for the period from the original payment date to the date of that payment on the next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principal, interest, premium, if any, and additional amounts, if any, on the notes in euros and at the office or agency maintained for that purpose, which initially will be the office of the paying agent located at 125 Old Broad Street, Fifth Floor, London EC2N 1AR, United Kingdom. We will register the transfer of the notes and exchange the notes at our office or agency maintained for that purpose, which initially will be the Corporate Trust Office of the trustee. We have initially appointed U.S. Bank Europe DAC, UK Branch to act as paying agent in connection with the notes, and we have appointed U.S. Bank Trust Company, National Association to act as transfer agent and registrar. We may change the paying agent or transfer agent and registrar without prior notice to the holders of the notes, and we or any of our subsidiaries may act as paying agent or transfer agent and registrar. So long as the notes are represented by global debt securities, the interest payable on the notes will be paid to the nominee of the common depositary, or its registered assigns as the registered owner of such global debt securities, by wire transfer of immediately available funds on the interest payment date. If any of the notes are no longer represented by a global debt security, we have the option to pay interest by check mailed to the address of the person entitled to the interest. No service charge will be made for any transfer or exchange of notes, but we may require payment of a sum sufficient to cover any tax or other governmental charge payable.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senior unsecured obligations and rank equally in right of payment with all our existing and future senior unsecured debt. The notes are effectively junior to all of our secured indebtedness to the extent of the assets securing such indebtedness. Our operations are conducted through our subsidiaries and, therefore, we depend on the cash flow of our subsidiaries to meet our obligations, including our obligations under the notes. Our subsidiaries are not guarantors of the notes. Accordingly, the notes are effectively subordinated to all indebtedness and other obligations of our subsidiaries. See Risk FactorsOur holding company structure results in structural subordination of the notes and may affect our ability to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after giving effect to the transactions described under Capitalization, we and our subsidiaries would have had total outstanding consolidated debt of approximately $   billion,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  billion of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$2.3 billion of indebtedness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2025, after giving effect to the transactions described under Capitalization, we would have the ability to borrow additional aggregate amounts of $   billion under the 2021 Multicurrency Credit Facility and the 2021 Credit Facility, net of approximately $35.5 million of outstanding undrawn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the issue date, our current subsidiaries, other than those listed in the definition of Unrestricted Subsidiary under Certain Definitions below, will be Subsidiaries. Under certain circumstances, we will be able to designate current or future subsidiaries as Unrestricted Subsidiaries. Unrestricted Subsidiaries will not be subject to the restrictive covenants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a sinking fund.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the notes on the NYSE. The listing application will be subject to approval by the NYSE. If such a listing is obtained, we have no obligation to maintain it, and we may delist the notes at any time. We currently expect trading in the notes on the NYSE to begin within 30 days after the initial issuance of the notes. There is currently no public market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Euros; Payment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Initial holders will be required to pay for the notes in euros, and all payments on the notes will be payable in euros; provided that if on or after the date of this prospectus supplement the euro is unavailable to us due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w:t>
      </w:r>
    </w:p>
    <w:p>
      <w:pPr>
        <w:pStyle w:val="TextBody"/>
        <w:bidi w:val="0"/>
        <w:spacing w:before="240" w:after="0"/>
        <w:jc w:val="left"/>
        <w:rPr>
          <w:rFonts w:ascii="Times New Roman" w:hAnsi="Times New Roman"/>
          <w:sz w:val="20"/>
        </w:rPr>
      </w:pPr>
      <w:r>
        <w:rPr>
          <w:rFonts w:ascii="Times New Roman" w:hAnsi="Times New Roman"/>
          <w:sz w:val="20"/>
        </w:rPr>
        <w:t xml:space="preserve">The amount payable on any date in euros will be converted into U.S. dollars at the rate reported by Bloomberg as of the close of business on the second Business Day prior to the relevant payment date or, in the event that Bloomberg has not reported a rate of conversion, on the basis of the most recent U.S. dollar/euro exchange rate mandated by the U.S. Federal Reserve Board on or prior to the second Business Day prior to the relevant payment date, or in the event the U.S. Federal Reserve Board has not mandated that exchange rate, the rate as determined in our sole discretion on the basis of the most recently available market exchange rate for the euro. Any payment in respect of the notes so made in U.S. dollars will not constitute an event of default under the notes or the indenture. Neither the trustee nor the paying agent will have any responsibility for obtaining exchange rates, effecting conversions or otherwise handling redenominations in connection with the foregoing. Investors will be subject to foreign exchange risks as to payments on the notes, which may have important economic consequences to them. See Risk Factors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principal, premium, if any, interest, additional amounts, if any, and any other amounts due on the notes in euros and at the office or agency maintained for that purpose, which initially will be the office of the paying agent located at 125 Old Broad Street, Fifth Floor, London EC2N 1AR, United Kingdom. We may also choose to pay interest by mailing checks or making wire transfers. We may also arrange for additional paying agent offices and may change these offices.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initially appointed U.S. Bank Europe DAC, UK Branch to act as paying agent in connection with the notes, and we have appointed U.S. Bank Trust Company, National Association to act as transfer agent and registrar. We may also choose to act as our own paying agent. We will notify you of changes in identities of the paying agents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among other things, to furnish appropriate endorsements and transfer documents in connection with a transfer of notes. Holders will be required to pay all taxes due on transfer. We are not required to transfer or exchange any note selected for redemption or tendered for repurchase. Also, we are not required to transfer or exchange any note for a period of 10 days preceding the first mailing of notice of redemption of notes to be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at our election, in whole or in part, at any time and from time to time. If we redeem the notes prior to March 30, 2032 (two months prior to their maturity date), we will pay a redemption price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determined by an Independent Investment Banker, the sum of the present values of the remaining scheduled payments of principal and interest on the notes to be redeemed that would be due if the notes matured on the First Par Call Date (not including any portion of such payments of interest accrued to the date of redemption) discounted to the redemption date on annual basis (ACTUAL/ ACTUAL (ICMA)) at the applicable Comparable Government Bond Rate for the notes, plus     basis points;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redeem the notes on or after March 30, 2032 (two months prior to their maturity date), we will pay a redemption price equal to 100% of the principal amount of the notes to be redeemed plus accrued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optional redemption date is on or after a record date and on or before the related interest payment date, the accrued and unpaid interest, if any, will be paid to the person in whose name the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We will mail or cause to be mailed a notice of redemption at least 10 days but not more than 60 days before the redemption date to each holder of the notes to be redeemed at their registered address, except that redemption notices may be mailed more than 60 days prior to a redemption date if the notice is issued in connection with a defeasance of the notes or a satisfaction and discharge of the indenture. Notices of redemption may not be conditional.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Notes called for redemption become due on the date fixed for redemption. </w:t>
      </w:r>
    </w:p>
    <w:p>
      <w:pPr>
        <w:pStyle w:val="TextBody"/>
        <w:bidi w:val="0"/>
        <w:spacing w:before="360" w:after="0"/>
        <w:jc w:val="left"/>
        <w:rPr>
          <w:rFonts w:ascii="Times New Roman" w:hAnsi="Times New Roman"/>
          <w:sz w:val="20"/>
        </w:rPr>
      </w:pPr>
      <w:r>
        <w:rPr>
          <w:rFonts w:ascii="Times New Roman" w:hAnsi="Times New Roman"/>
          <w:sz w:val="20"/>
        </w:rPr>
        <w:t xml:space="preserve">If less than all of the notes are to be redeemed, the trustee will select notes for redemption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listed on any national securities exchange, in compliance with the requirements of the principal national securities exchange on which the notes are listed;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not so listed, on a pro rata basis (subject to the procedures of Clearstream and Euroclear or, to the extent a pro rata basis is not permitted, by lot or in such other manner as the trustee shall deem to be fair and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note of 100,000 in principal amount or less shall be redeemed in part. If any note is to be redeemed in part only, the notice of redemption relating to such note will state the portion of the principal amount to be redeemed. A new note in principal amount equal to the unredeemed portion will be issued in the name of the holder thereof upon cancellation of the original note.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with respect to the notes, each holder of notes will have the right to require us to repurchase all or any part, equal to 100,000 or an integral multiple of 1,000 thereafter, of that holders notes, provided that any unpurchased portion of the notes will equal 100,000 or an integral multiple of 1,000 thereafter, pursuant to a Change of Control Offer on the terms set forth in the indenture. In the Change of Control Offer, we will offer a Change of Control Payment in cash equal to 101% of the aggregate principal amount of notes repurchased plus accrued and unpaid interest on the notes up to but excluding the date of repurchase. Within 30 days following any Change of Control Triggering Event, if we had not, prior to the Change of Control Triggering Event, sent a redemption notice for all the notes in connection with an optional redemption permitted by the indenture, we will mail or cause to be mailed a notice to each registered holder briefly describing the transaction or transactions that constitute a Change of Control Triggering Event and offering to repurchase notes on the date specified in such notice (the Change of Control Payment Date), which date will be no earlier than 10 days and no later than 60 days from the date the notice is mailed, pursuant to the procedures required by the indenture and described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to any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that the provisions of any securities laws or regulations conflict with the provisions of the indenture relating to the covenant described above, we will comply with the applicable securities laws and regulations and will not be deemed to have breached our obligations under the provisions of the indenture relating to the covenant described above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thereof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so accepted together with an Officers Certificate stating the aggregate principal amount of notes or portions thereof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mail to each registered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hAnsi="Times New Roman"/>
          <w:i/>
          <w:sz w:val="20"/>
        </w:rPr>
        <w:t>provided</w:t>
      </w:r>
      <w:r>
        <w:rPr>
          <w:rFonts w:ascii="Times New Roman" w:hAnsi="Times New Roman"/>
          <w:sz w:val="20"/>
        </w:rPr>
        <w:t xml:space="preserve"> that each such new note will be in a principal amount of 100,000 or an integral multiple of 1,000 thereafter. Any note so accepted for payment will cease to accrue interest on and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provisions described above will be applicable regardless of whether or not any other provisions of the indenture are applicable. Other than with respect to a Change of Control Triggering Event, the indenture does not contain provisions that permit the holders of the notes to require that we repurchase or redeem the notes in the event of a takeover, recapitalization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entitled to require us to purchase their notes in the event of a takeover, recapitalization, leveraged buyout or similar transaction that is not a Change of Control. We may nonetheless incur significant additional indebtedness in connection with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Change of Control will not be deemed to have occurred if we merge with an affiliate solely for the purpose of reincorporating American Tower in its current or another jurisdiction within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shareholders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Risk FactorsWe may be unable to repay the notes when due or repurchase the notes when we are required to do so and holders may be unable to require us to repurchase their notes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us and purchases all notes properly tendered and not withdrawn under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Change of Control Offer may be made in advance of a Change of Control Triggering Event, and conditional upon the occurrence of such Change of Control Triggering Event, if a definitive agreement is in place for the Change of Control Triggering Event at the time of making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have sufficient funds available at the time of any Change of Control Triggering Event, and consummate a Change of Control Offer for all notes then outstanding, at a purchase price for 101% of their principal amount, plus accrued and unpaid interest to the Change of Control Payment Date. The indentures for our other outstanding indebtedness also provide for repurchase rights upon a change in control and, in some cases, certain other events under different terms. As a result, holders of our other indebtedness may have the ability to require us to repurchase their debt securities before the holders of the notes offered hereby would have such repurchase rights. In addition, a Change of Control (as described herein) and certain other change of control events may constitute an event of default under the 2021 Multicurrency Credit Facility, the 2021 Credit Facility and certain other outstanding indebtedness. As a result, we may not be able to make any of the required payments on, or repurchases of, the notes without obtaining the consent of the lenders under the 2021 Multicurrency Credit Facility, the 2021 Credit Facility or that other outstanding indebtedness with respect to such payment or repurchase.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All payments of principal and interest in respect of the notes will be made free and clear of, and without deduction or withholding for or on account of, any present or future taxes, duties, assessments or other governmental charges of whatsoever nature required to be deducted or withheld by the United States or any political subdivision or taxing authority of or in the United States, unless such withholding or deduction is required by law or the official interpretation or administration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any withholding or deduction on payments in respect of the notes for or on account of any present or future tax, assessment or other governmental charge is required to be deducted or withheld by the United States or any political subdivision or taxing authority thereof or therein, we will pay such additional amounts on the notes as will result in receipt by each holder of a note that is not a U.S. Person (as defined below) of such amounts (after all such withholding or deduction, including on any additional amounts) as would have been received by such holder had no such withholding or deduction been required. We will not be required, however, to make any payment of additional amounts for or on account of: </w:t>
      </w:r>
    </w:p>
    <w:p>
      <w:pPr>
        <w:pStyle w:val="TextBody"/>
        <w:bidi w:val="0"/>
        <w:spacing w:before="120" w:after="0"/>
        <w:jc w:val="left"/>
        <w:rPr>
          <w:rFonts w:ascii="Times New Roman" w:hAnsi="Times New Roman"/>
          <w:sz w:val="20"/>
        </w:rPr>
      </w:pPr>
      <w:r>
        <w:rPr>
          <w:rFonts w:ascii="Times New Roman" w:hAnsi="Times New Roman"/>
          <w:sz w:val="20"/>
        </w:rPr>
        <w:t xml:space="preserve">(a) any tax, assessment or other governmental charge that would not have been imposed but for (1) the existence of any present or former connection (other than a connection arising solely from the ownership of those notes or the receipt of payments in respect of those notes) between a holder of a note (or the beneficial owner for whose benefit such holder holds such note), or between a fiduciary, settlor, beneficiary of, member or shareholder of, or possessor of a power over, that holder or beneficial owner (if that holder or beneficial owner is an estate, trust, partnership or corporation) and the United States, including that holder or beneficial owner, or that fiduciary, settlor, beneficiary, member, shareholder or possessor, being or having been a citizen or resident or treated as a resident of the United States or being or having been engaged in a trade or business or present in the United States or having had a permanent establishment in the United States or (2) the presentation of a note for payment on a date more than 30 days after the later of the date on which that payment becomes due and payable and the date on which payment is duly provided for; </w:t>
      </w:r>
    </w:p>
    <w:p>
      <w:pPr>
        <w:pStyle w:val="TextBody"/>
        <w:bidi w:val="0"/>
        <w:spacing w:before="120" w:after="0"/>
        <w:jc w:val="left"/>
        <w:rPr>
          <w:rFonts w:ascii="Times New Roman" w:hAnsi="Times New Roman"/>
          <w:sz w:val="20"/>
        </w:rPr>
      </w:pPr>
      <w:r>
        <w:rPr>
          <w:rFonts w:ascii="Times New Roman" w:hAnsi="Times New Roman"/>
          <w:sz w:val="20"/>
        </w:rPr>
        <w:t xml:space="preserve">(b) any estate, inheritance, gift, sales, transfer, capital gains, excise, personal property, wealth or similar tax, assessment or other governmental charge; </w:t>
      </w:r>
    </w:p>
    <w:p>
      <w:pPr>
        <w:pStyle w:val="TextBody"/>
        <w:bidi w:val="0"/>
        <w:spacing w:before="120" w:after="0"/>
        <w:jc w:val="left"/>
        <w:rPr>
          <w:rFonts w:ascii="Times New Roman" w:hAnsi="Times New Roman"/>
          <w:sz w:val="20"/>
        </w:rPr>
      </w:pPr>
      <w:r>
        <w:rPr>
          <w:rFonts w:ascii="Times New Roman" w:hAnsi="Times New Roman"/>
          <w:sz w:val="20"/>
        </w:rPr>
        <w:t xml:space="preserve">(c) any tax, assessment, or other governmental charge imposed by reason of the holders or beneficial owners past or present status as a passive foreign investment company, a controlled foreign corporation, a foreign tax exempt organization or a personal holding company with respect to the United States or as a corporation that accumulates earnings to avoid U.S.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(d) any tax, assessment or other governmental charge which is payable otherwise than by withholding or deducting from payment of principal of or premium, if any, or interest on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any tax, assessment or other governmental charge required to be withheld by any paying agent from any payment of principal of and premium, if any, or interest on any note if that payment can be made without withholding by at least one other paying agent; </w:t>
      </w:r>
    </w:p>
    <w:p>
      <w:pPr>
        <w:pStyle w:val="TextBody"/>
        <w:bidi w:val="0"/>
        <w:spacing w:before="120" w:after="0"/>
        <w:jc w:val="left"/>
        <w:rPr>
          <w:rFonts w:ascii="Times New Roman" w:hAnsi="Times New Roman"/>
          <w:sz w:val="20"/>
        </w:rPr>
      </w:pPr>
      <w:r>
        <w:rPr>
          <w:rFonts w:ascii="Times New Roman" w:hAnsi="Times New Roman"/>
          <w:sz w:val="20"/>
        </w:rPr>
        <w:t xml:space="preserve">(f) any tax, assessment or other governmental charge which would not have been imposed but for the failure of a beneficial owner or any holder of notes to comply with a request to satisfy certification, information, documentation or other reporting requirements concerning the nationality, residence, identity or connections with the United States of the beneficial owner or any holder of the notes (including, but not limited to, the requirement to provide Internal Revenue Service Forms W-8BEN, W-8BEN-E, W-8ECI, or any subsequent versions thereof or successor thereto, and including, without limitation, any documentation requirement under an applicable income tax treaty), provided such beneficial owner or holder is legally able to so comply and compliance is a precondition to relief or exemption from such tax, assessment or other governmental charge; </w:t>
      </w:r>
    </w:p>
    <w:p>
      <w:pPr>
        <w:pStyle w:val="TextBody"/>
        <w:bidi w:val="0"/>
        <w:spacing w:before="120" w:after="0"/>
        <w:jc w:val="left"/>
        <w:rPr>
          <w:rFonts w:ascii="Times New Roman" w:hAnsi="Times New Roman"/>
          <w:sz w:val="20"/>
        </w:rPr>
      </w:pPr>
      <w:r>
        <w:rPr>
          <w:rFonts w:ascii="Times New Roman" w:hAnsi="Times New Roman"/>
          <w:sz w:val="20"/>
        </w:rPr>
        <w:t xml:space="preserve">(g) any tax, assessment or other governmental charge imposed on interest received by or on behalf of (1) a 10-percent shareholder (as defined in Section 871(h)(3)(B) of the U.S. Internal Revenue Code of 1986, as amended (the Code), and the regulations that may be promulgated thereunder) of us, (2) a controlled foreign corporation that is related to us within the meaning of Section 864(d)(4) of the Code, or (3) a bank receiving interest described in Section 881(c)(3)(A) of the Code, to the extent such tax, assessment or other governmental charge would not have been imposed but for the holders or beneficial owners status as described in clauses (1) through (3) of this paragraph (g); </w:t>
      </w:r>
    </w:p>
    <w:p>
      <w:pPr>
        <w:pStyle w:val="TextBody"/>
        <w:bidi w:val="0"/>
        <w:spacing w:before="120" w:after="0"/>
        <w:jc w:val="left"/>
        <w:rPr>
          <w:rFonts w:ascii="Times New Roman" w:hAnsi="Times New Roman"/>
          <w:sz w:val="20"/>
        </w:rPr>
      </w:pPr>
      <w:r>
        <w:rPr>
          <w:rFonts w:ascii="Times New Roman" w:hAnsi="Times New Roman"/>
          <w:sz w:val="20"/>
        </w:rPr>
        <w:t xml:space="preserve">(h) any tax, assessment or other governmental charge required to be withheld or deducted under Sections 1471 through 1474 of the Code (or any amended or successor version of such Sections that is substantively comparable) (FATCA),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 </w:t>
      </w:r>
    </w:p>
    <w:p>
      <w:pPr>
        <w:pStyle w:val="TextBody"/>
        <w:bidi w:val="0"/>
        <w:spacing w:before="120" w:after="0"/>
        <w:jc w:val="left"/>
        <w:rPr>
          <w:rFonts w:ascii="Times New Roman" w:hAnsi="Times New Roman"/>
          <w:sz w:val="20"/>
        </w:rPr>
      </w:pPr>
      <w:r>
        <w:rPr>
          <w:rFonts w:ascii="Times New Roman" w:hAnsi="Times New Roman"/>
          <w:sz w:val="20"/>
        </w:rPr>
        <w:t xml:space="preserve">(i) any combination of items (a), (b), (c), (d), (e), (f), (g) and (h); </w:t>
      </w:r>
    </w:p>
    <w:p>
      <w:pPr>
        <w:pStyle w:val="TextBody"/>
        <w:bidi w:val="0"/>
        <w:spacing w:before="0" w:after="0"/>
        <w:jc w:val="left"/>
        <w:rPr>
          <w:rFonts w:ascii="Times New Roman" w:hAnsi="Times New Roman"/>
          <w:sz w:val="20"/>
        </w:rPr>
      </w:pPr>
      <w:r>
        <w:rPr>
          <w:rFonts w:ascii="Times New Roman" w:hAnsi="Times New Roman"/>
          <w:sz w:val="20"/>
        </w:rPr>
        <w:t xml:space="preserve">nor will we pay any additional amounts to any holder that is not the sole beneficial owner of such notes, or a portion of such notes, or that is a fiduciary or partnership or a limited liability company, to the extent that a beneficiary or settlor with respect to that fiduciary or a member of that partnership or limited liability company or a beneficial owner thereof would not have been entitled to the payment of those additional amounts had that beneficiary, settlor, member or beneficial owner been the holder of those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 </w:t>
      </w:r>
    </w:p>
    <w:p>
      <w:pPr>
        <w:pStyle w:val="TextBody"/>
        <w:bidi w:val="0"/>
        <w:spacing w:before="240" w:after="0"/>
        <w:jc w:val="left"/>
        <w:rPr>
          <w:rFonts w:ascii="Times New Roman" w:hAnsi="Times New Roman"/>
          <w:sz w:val="20"/>
        </w:rPr>
      </w:pPr>
      <w:r>
        <w:rPr>
          <w:rFonts w:ascii="Times New Roman" w:hAnsi="Times New Roman"/>
          <w:sz w:val="20"/>
        </w:rPr>
        <w:t xml:space="preserve">As used under this heading Payment of Additional Amounts and under the heading Redemption for Tax Reasons,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U.S. Treasury regulations), or any estate or trust the income of which is subject to United States federal income taxation regardless of its source. </w:t>
      </w:r>
    </w:p>
    <w:p>
      <w:pPr>
        <w:pStyle w:val="TextBody"/>
        <w:bidi w:val="0"/>
        <w:spacing w:before="240" w:after="0"/>
        <w:jc w:val="left"/>
        <w:rPr>
          <w:rFonts w:ascii="Times New Roman" w:hAnsi="Times New Roman"/>
          <w:sz w:val="20"/>
        </w:rPr>
      </w:pPr>
      <w:r>
        <w:rPr>
          <w:rFonts w:ascii="Times New Roman" w:hAnsi="Times New Roman"/>
          <w:sz w:val="20"/>
        </w:rPr>
        <w:t xml:space="preserve">Any reference in the terms of the notes to any amounts in respect of the notes shall be deemed also to refer to any additional amounts which may be payable under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for Tax Reasons </w:t>
      </w:r>
    </w:p>
    <w:p>
      <w:pPr>
        <w:pStyle w:val="TextBody"/>
        <w:bidi w:val="0"/>
        <w:spacing w:before="120" w:after="0"/>
        <w:jc w:val="left"/>
        <w:rPr>
          <w:rFonts w:ascii="Times New Roman" w:hAnsi="Times New Roman"/>
          <w:sz w:val="20"/>
        </w:rPr>
      </w:pPr>
      <w:r>
        <w:rPr>
          <w:rFonts w:ascii="Times New Roman" w:hAnsi="Times New Roman"/>
          <w:sz w:val="20"/>
        </w:rPr>
        <w:t xml:space="preserve">If, as a result of any change in, or amendment to, the laws (or any regulations or rulings promulgated under the laws) of the United States (or any political subdivision of or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there is a substantial probability that we will become, obligated to pay additional amounts as described under the heading Payment of Additional Amounts with respect to the notes, then we may at any time at our option redeem the note, in whole, but not in part, on not less than 30 nor more than 60 days prior notice, at a redemption price equal to 100% of their principal amount, together with accrued and unpaid interest on the notes to, but not including, the date fixed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Under the indenture, we will not, and will not permit any of our Subsidiaries to, allow any Lien (other than Permitted Liens) on any of our or our Subsidiaries property or assets (which includes Capital Stock) securing Indebtedness, unless the Lien secures the notes equally and ratably with, or prior to, any other Indebtedness secured by such Lien, so long as such other Indebtedness is so secured.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may, and may permit any of our Subsidiaries to, incur Liens securing Indebtedness without equally and ratably securing the notes if, after giving effect to the incurrence of such Liens, the aggregate amount (without duplication) of the Indebtedness secured by Liens (other than Permitted Liens) on the property or assets (which includes Capital Stock) of us and our Subsidiaries shall not exceed the Permitted Amount at the time of the incurrence of such Liens (it being understood that Liens securing the SpectraSite ABS Facility shall be deemed to be incurred pursuant to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for the notes is U.S. Bank Trust Company, National Association, and we have initially appointed the trustee as the transfer agent and registrar with regard to the notes. 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notes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notes,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(as defined in the Trust Indenture Act), it would be required to eliminate such conflict within 90 days, apply to the SEC for permission to continue as trustee or resign. The trustee is also the trustee under the trust and servicing agreement related to our securitization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represented by one or more fully registered global notes. Each such global note will be deposited with, or on behalf of, a common depositary and registered in the name of the nominee of the common depositary, for, and in respect of interests held through, Clearstream and Euroclear. Except as set forth below, the global notes may be transferred, in whole and not in part, only to Clearstream or Euroclear or their respective nominees.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under the heading Issuance in Euros; Payment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Clearstream and Euroclear will govern payments, transfers, exchanges and other matters relating to an investors interest in the notes held by them. We have no responsibility for any aspect of the records kept by Clearstream or Euroclear or any of their direct or indirect participants.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common depositary and, if such person is not a participant, on the procedures of the participant through which such person owns its interest, in order to exercise any rights of a holder of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is incorporated under the laws of Luxembourg as a professional depositary. Clearstream holds securities for its participating organizations (Clearstream Participants) and facilitates the clearance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w:t>
      </w:r>
      <w:r>
        <w:rPr>
          <w:rFonts w:ascii="Times New Roman" w:hAnsi="Times New Roman"/>
          <w:i/>
          <w:sz w:val="20"/>
        </w:rPr>
        <w:t>Commission de Surveillance du Secteur Financier</w:t>
      </w:r>
      <w:r>
        <w:rPr>
          <w:rFonts w:ascii="Times New Roman" w:hAnsi="Times New Roman"/>
          <w:sz w:val="20"/>
        </w:rPr>
        <w:t xml:space="preserv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Clearstream will be credited to cash accounts of Clearstream Participants in accordance with its rules and procedures.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Governing Use of Euroclear and the related Operating Procedures of the Euroclear System (the Euroclear Terms and Conditions) and applicable Belgian law govern securities clearance accounts and cash accounts with the Euroclear Operator. Specifically, these terms and conditions govern: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and cash within Euroclear;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securities and cash from Euroclear;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payments with respect to securities in Euroclear.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securities in Euroclear are held on a fungible basis without attribution of specific certificates to specific securities clearance accounts. The Euroclear Operator acts under the Euroclear Terms and Conditions only on behalf of Euroclear Participants and has no record of or relationship with persons holding securities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Euroclear will be credited to the cash accounts of Euroclear Participants in accordance with the Euroclear Terms and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there may be problems with completing transactions involving Clearstream and Euroclear on the same business day as in the United States. United States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 </w:t>
      </w:r>
    </w:p>
    <w:p>
      <w:pPr>
        <w:pStyle w:val="TextBody"/>
        <w:bidi w:val="0"/>
        <w:spacing w:before="240" w:after="0"/>
        <w:jc w:val="left"/>
        <w:rPr>
          <w:rFonts w:ascii="Times New Roman" w:hAnsi="Times New Roman"/>
          <w:sz w:val="20"/>
        </w:rPr>
      </w:pPr>
      <w:r>
        <w:rPr>
          <w:rFonts w:ascii="Times New Roman" w:hAnsi="Times New Roman"/>
          <w:sz w:val="20"/>
        </w:rPr>
        <w:t xml:space="preserve">Clearstream or Euroclear will credit payments to the cash accounts of Clearstream Participants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Participant or Euroclear Participant only in accordance with its relevant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If the common depositary for any of the notes represented by a registered global note is at any time unwilling or unable to continue as common depositary and a successor common depositary is not appointed by us within 90 days, we will issue registered notes in definitive form in exchange for the registered global note that had been held by the common depositary. Any notes issued in definitive form in exchange for a registered global note will be registered in the name or names that the common depositary gives to the trustee or other relevant agent of the trustee. It is expected that the common depositarys instructions will be based upon directions received by the common depositary from participants with respect to ownership of beneficial interests in the registered global note that had been held by the common depositary. In addition, we may at any time determine that the notes shall no longer be represented by a global note and will issue notes in registered definitive form in exchange for such global note pursuant to the procedure described above. </w:t>
      </w:r>
    </w:p>
    <w:p>
      <w:pPr>
        <w:pStyle w:val="TextBody"/>
        <w:bidi w:val="0"/>
        <w:spacing w:before="24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Adjusted EBITDA</w:t>
      </w:r>
      <w:r>
        <w:rPr>
          <w:rFonts w:ascii="Times New Roman" w:hAnsi="Times New Roman"/>
          <w:sz w:val="20"/>
        </w:rPr>
        <w:t xml:space="preserve"> means, for the 12-month period preceding the calculation date, for us and our Subsidiaries on a consolidated basis in accordance with GAAP, the sum of (a) Net Income, plus (b) to the extent deducted in determining Net Income, the sum of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Commodity Agreements, Currency Agreements or Interest Rate Agreements, non-cash impairment charges, non-cash valuation charges for stock option grants or vesting of restricted stock awards or any other non-cash compensation charges, and losses from the early extinguishment of Indebtedness) and (vi) nonrecurring charges and expenses, restructuring charges, transaction expenses (including, without limitation, transaction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 with respect to any Person that became a Subsidiary, or was merged with or consolidated into us or any Subsidiary, during such period, or any acquisition by us or any Subsidiary of the assets of any Person during such period, Adjusted EBITDA shall, at our option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us or any Subsidiary sold or otherwise disposed of by us or any Subsidiary during such period, Adjusted EBITDA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Beneficial Owner</w:t>
      </w:r>
      <w:r>
        <w:rPr>
          <w:rFonts w:ascii="Times New Roman" w:hAnsi="Times New Roman"/>
          <w:sz w:val="20"/>
        </w:rPr>
        <w:t xml:space="preserve"> has the meaning assigned to such term in Rule 13d-3 and Rule 13d-5 under the Exchange Act, except that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either our Board of Directors or any committee of such Board duly authorized to act on our behalf.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Board Resolution</w:t>
      </w:r>
      <w:r>
        <w:rPr>
          <w:rFonts w:ascii="Times New Roman" w:hAnsi="Times New Roman"/>
          <w:sz w:val="20"/>
        </w:rPr>
        <w:t xml:space="preserve"> means one or more resolutions duly adopted or consented to by the Board of Directors and in full force and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Business Day</w:t>
      </w:r>
      <w:r>
        <w:rPr>
          <w:rFonts w:ascii="Times New Roman" w:hAnsi="Times New Roman"/>
          <w:sz w:val="20"/>
        </w:rPr>
        <w:t xml:space="preserve"> means any day, other than a Saturday or Sunday, (1) which is not a day on which banking institutions in The City of New York or The City of London are authorized or required by law, regulation or executive order to close and (2) on which the Trans-European Automated Real-time Gross Settlement Express Transfer system (known as TARGET or T2), or any successor or replacement thereto, operates.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Capital Lease Obligations</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in accordance with GAAP. </w:t>
      </w:r>
    </w:p>
    <w:p>
      <w:pPr>
        <w:pStyle w:val="TextBody"/>
        <w:bidi w:val="0"/>
        <w:spacing w:before="240" w:after="0"/>
        <w:jc w:val="left"/>
        <w:rPr>
          <w:rFonts w:ascii="Times New Roman" w:hAnsi="Times New Roman"/>
          <w:i/>
          <w:sz w:val="20"/>
        </w:rPr>
      </w:pPr>
      <w:r>
        <w:rPr>
          <w:rFonts w:ascii="Times New Roman" w:hAnsi="Times New Roman"/>
          <w:i/>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plan relating to our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as such term is used in Section 13(d)(3) of the Exchange Act, becomes the Beneficial Owner, directly or indirectly, of more than 50% of the voting power of our Voting Stock; </w:t>
            </w:r>
            <w:r>
              <w:rPr>
                <w:rFonts w:ascii="Times New Roman" w:hAnsi="Times New Roman"/>
                <w:i/>
                <w:sz w:val="20"/>
              </w:rPr>
              <w:t>provided</w:t>
            </w:r>
            <w:r>
              <w:rPr>
                <w:rFonts w:ascii="Times New Roman" w:hAnsi="Times New Roman"/>
                <w:sz w:val="20"/>
              </w:rPr>
              <w:t xml:space="preserve"> that a transaction in which we become a Subsidiary of another Person shall not constitute a Change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Control if (a) our stockholders immediately prior to such transaction Beneficially Own, directly or indirectly through one or more intermediaries, 50% or more of the voting power of the outstanding Voting Stock of such other Person of whom we are a Subsidiary immediately following such transaction and (b) immediately following such transaction no person (as defined above) other than such other Person, Beneficially Owns, directly or indirectly, more than 50% of the voting power of our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 majority of the members of our Board of Directors are not Continuing Directors.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Change of Control Triggering Event</w:t>
      </w:r>
      <w:r>
        <w:rPr>
          <w:rFonts w:ascii="Times New Roman" w:hAnsi="Times New Roman"/>
          <w:sz w:val="20"/>
        </w:rPr>
        <w:t xml:space="preserve"> means the occurrence of both a Change of Control and a Ratings Decline.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Commodity Agreement</w:t>
      </w:r>
      <w:r>
        <w:rPr>
          <w:rFonts w:ascii="Times New Roman" w:hAnsi="Times New Roman"/>
          <w:sz w:val="20"/>
        </w:rPr>
        <w:t xml:space="preserve"> of any Person means any commodity forward contract, commodity swap agreement, commodity option agreement or other similar agreement or arrangement to which such Person is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Comparable Government Bond</w:t>
      </w:r>
      <w:r>
        <w:rPr>
          <w:rFonts w:ascii="Times New Roman" w:hAnsi="Times New Roman"/>
          <w:sz w:val="20"/>
        </w:rPr>
        <w:t> means, in relation to any Comparable Government Bond Rate calculation, a German government bond (</w:t>
      </w:r>
      <w:r>
        <w:rPr>
          <w:rFonts w:ascii="Times New Roman" w:hAnsi="Times New Roman"/>
          <w:i/>
          <w:sz w:val="20"/>
        </w:rPr>
        <w:t>Bundesanleihe</w:t>
      </w:r>
      <w:r>
        <w:rPr>
          <w:rFonts w:ascii="Times New Roman" w:hAnsi="Times New Roman"/>
          <w:sz w:val="20"/>
        </w:rPr>
        <w:t xml:space="preserve">) whose maturity is closest to the maturity of the notes, or if an Independent Investment Banker selected by the Company in its discretion determines that such similar bond is not in issue, another German government bond as the Independent Investment Banker may, with the advice of three brokers of, and/or market makers in, German government bonds selected by such Independent Investment Banker, determine to be appropriate for determining the Comparable Government Bond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Comparable Government Bond Rate</w:t>
      </w:r>
      <w:r>
        <w:rPr>
          <w:rFonts w:ascii="Times New Roman" w:hAnsi="Times New Roman"/>
          <w:sz w:val="20"/>
        </w:rPr>
        <w:t xml:space="preserve"> means, with respect to any redemption date,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 selected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Continuing Director</w:t>
      </w:r>
      <w:r>
        <w:rPr>
          <w:rFonts w:ascii="Times New Roman" w:hAnsi="Times New Roman"/>
          <w:sz w:val="20"/>
        </w:rPr>
        <w:t xml:space="preserve"> means, as of any date of determination, any member of our Board of Directors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a member of such Board of Directors on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nominated for election or elected to such Board of Directors with the approval of a majority of the Continuing Directors who were members of such Board at the time of such nomination or election.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One Federal Street, 3rd Floor, EX- MA-FED, Boston, MA 02110, Attention: David W. Doucette, Vice President, or such other address as the trustee may designate from time to time by notice to the holders of the notes and us, or the principal corporate trust office of any successor trustee (or such other address as such successor trustee may designate from time to time by notice to the holders of the notes and 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Currency Agreement</w:t>
      </w:r>
      <w:r>
        <w:rPr>
          <w:rFonts w:ascii="Times New Roman" w:hAnsi="Times New Roman"/>
          <w:sz w:val="20"/>
        </w:rPr>
        <w:t xml:space="preserve"> of any Person means any foreign exchange contract, currency swap agreement or other similar agreement or arrangement as to which such Person is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Disqualified Stock</w:t>
      </w:r>
      <w:r>
        <w:rPr>
          <w:rFonts w:ascii="Times New Roman" w:hAnsi="Times New Roman"/>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Fair Market Value</w:t>
      </w:r>
      <w:r>
        <w:rPr>
          <w:rFonts w:ascii="Times New Roman" w:hAnsi="Times New Roman"/>
          <w:sz w:val="20"/>
        </w:rPr>
        <w:t xml:space="preserve">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i/>
          <w:sz w:val="20"/>
        </w:rPr>
        <w:t>First Par Call Date</w:t>
      </w:r>
      <w:r>
        <w:rPr>
          <w:rFonts w:ascii="Times New Roman" w:hAnsi="Times New Roman"/>
          <w:sz w:val="20"/>
        </w:rPr>
        <w:t xml:space="preserve"> means March 30, 2032.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Fitch</w:t>
      </w:r>
      <w:r>
        <w:rPr>
          <w:rFonts w:ascii="Times New Roman" w:hAnsi="Times New Roman"/>
          <w:sz w:val="20"/>
        </w:rPr>
        <w:t xml:space="preserve"> means Fitch, Inc. or any successor to the rating agency business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Foreign Subsidiary</w:t>
      </w:r>
      <w:r>
        <w:rPr>
          <w:rFonts w:ascii="Times New Roman" w:hAnsi="Times New Roman"/>
          <w:sz w:val="20"/>
        </w:rPr>
        <w:t xml:space="preserve">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GAAP</w:t>
      </w:r>
      <w:r>
        <w:rPr>
          <w:rFonts w:ascii="Times New Roman" w:hAnsi="Times New Roman"/>
          <w:sz w:val="20"/>
        </w:rPr>
        <w:t xml:space="preserve">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hAnsi="Times New Roman"/>
          <w:i/>
          <w:sz w:val="20"/>
        </w:rPr>
        <w:t>provided however</w:t>
      </w:r>
      <w:r>
        <w:rPr>
          <w:rFonts w:ascii="Times New Roman" w:hAnsi="Times New Roman"/>
          <w:sz w:val="20"/>
        </w:rPr>
        <w:t xml:space="preserve">, that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The term Guarantee used as a verb has a corresponding meaning.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i/>
          <w:sz w:val="20"/>
        </w:rPr>
        <w:t>Indebtedness</w:t>
      </w:r>
      <w:r>
        <w:rPr>
          <w:rFonts w:ascii="Times New Roman" w:hAnsi="Times New Roman"/>
          <w:sz w:val="20"/>
        </w:rPr>
        <w:t xml:space="preserve"> means, with respect to any Person, any indebtedness of such Person, whether or not contingent: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evidenced by bonds, notes, debentures or similar instruments or letters of credit (or reimbursement agreements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bankers acceptances;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Capital Lease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the balance deferred and unpaid of the purchase price of any property, except any such balance that constitutes an accrued expense or trade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obligations under any Interest Rate Agreements, Commodity Agreements and Currency Agreements except for those entered into for the purpose of fixing, hedging or swapping interest rate, commodity price or foreign currency exchange risk;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Disqualified Stock issued by such Person with the amount of Indebtedness represented by such Disqualified Stock being equal to the greater of its voluntary or involuntary liquidation preference and its maximum fixed repurchase price, but excluding accrued dividends, if any; </w:t>
            </w:r>
            <w:r>
              <w:rPr>
                <w:rFonts w:ascii="Times New Roman" w:hAnsi="Times New Roman"/>
                <w:i/>
                <w:sz w:val="20"/>
              </w:rPr>
              <w:t>provided</w:t>
            </w:r>
            <w:r>
              <w:rPr>
                <w:rFonts w:ascii="Times New Roman" w:hAnsi="Times New Roman"/>
                <w:sz w:val="20"/>
              </w:rPr>
              <w:t xml:space="preserve"> that (a) if the Disqualified Stock does not have a fixed repurchase price, such maximum fixed repurchase price shall be calculated in accordance with the terms of the Disqualified Stock as if the Disqualified Stock were purchased on any date on which Indebtedness shall be required to be determined pursuant to the indenture, and (b) if the maximum fixed repurchase price is based upon, or measured by, the fair market value of the Disqualified Stock, the fair market value shall be the Fair Market Value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accreted value of the Indebtedness, in the case of any Indebtedness issued with original issue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Indebtedness, together with any interest on the Indebtedness that is more than 30 days past due, in the case of any other Indebtedness.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Independent Investment Banker</w:t>
      </w:r>
      <w:r>
        <w:rPr>
          <w:rFonts w:ascii="Times New Roman" w:hAnsi="Times New Roman"/>
          <w:sz w:val="20"/>
        </w:rPr>
        <w:t xml:space="preserve"> means one of the Reference Government Bond Dealers appointed by us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Interest Expense</w:t>
      </w:r>
      <w:r>
        <w:rPr>
          <w:rFonts w:ascii="Times New Roman" w:hAnsi="Times New Roman"/>
          <w:sz w:val="20"/>
        </w:rPr>
        <w:t xml:space="preserve"> means, for any period, all cash interest expense (including imputed interest with respect to Capital Lease Obligations and commitment fees) with respect to any of our Indebtedness and our Subsidiaries Indebtedness on a consolidated basis during such period pursuant to the terms of such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Interest Rate Agreement</w:t>
      </w:r>
      <w:r>
        <w:rPr>
          <w:rFonts w:ascii="Times New Roman" w:hAnsi="Times New Roman"/>
          <w:sz w:val="20"/>
        </w:rPr>
        <w:t xml:space="preserve">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Investment Grade Rating</w:t>
      </w:r>
      <w:r>
        <w:rPr>
          <w:rFonts w:ascii="Times New Roman" w:hAnsi="Times New Roman"/>
          <w:sz w:val="20"/>
        </w:rPr>
        <w:t xml:space="preserve"> means a rating equal to or greater than BBB- by S&amp;P and Fitch and Baa3 by Moodys or the equivalent thereof under any new ratings system if the ratings system of any such agency shall be modified after the Issue Date, or the equivalent rating or any other Ratings Agency selected by us as provided in the definition of Ratings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 2025.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Licenses</w:t>
      </w:r>
      <w:r>
        <w:rPr>
          <w:rFonts w:ascii="Times New Roman" w:hAnsi="Times New Roman"/>
          <w:sz w:val="20"/>
        </w:rPr>
        <w:t xml:space="preserve">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us or any of our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Lien</w:t>
      </w:r>
      <w:r>
        <w:rPr>
          <w:rFonts w:ascii="Times New Roman" w:hAnsi="Times New Roman"/>
          <w:sz w:val="20"/>
        </w:rPr>
        <w:t xml:space="preserve">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Moodys</w:t>
      </w:r>
      <w:r>
        <w:rPr>
          <w:rFonts w:ascii="Times New Roman" w:hAnsi="Times New Roman"/>
          <w:sz w:val="20"/>
        </w:rPr>
        <w:t xml:space="preserve"> means Moodys Investors Services, Inc. or any successor to the rating agency business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Net Income</w:t>
      </w:r>
      <w:r>
        <w:rPr>
          <w:rFonts w:ascii="Times New Roman" w:hAnsi="Times New Roman"/>
          <w:sz w:val="20"/>
        </w:rPr>
        <w:t xml:space="preserve"> means, for any period of determination, net income (loss) of us and our Subsidiaries, on a consolidated basis,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Newly Created Subsidiary</w:t>
      </w:r>
      <w:r>
        <w:rPr>
          <w:rFonts w:ascii="Times New Roman" w:hAnsi="Times New Roman"/>
          <w:sz w:val="20"/>
        </w:rPr>
        <w:t xml:space="preserve"> means a newly created direct or indirect Subsidiary of us that is formed or organized after the Issue Date; </w:t>
      </w:r>
      <w:r>
        <w:rPr>
          <w:rFonts w:ascii="Times New Roman" w:hAnsi="Times New Roman"/>
          <w:i/>
          <w:sz w:val="20"/>
        </w:rPr>
        <w:t>provided</w:t>
      </w:r>
      <w:r>
        <w:rPr>
          <w:rFonts w:ascii="Times New Roman" w:hAnsi="Times New Roman"/>
          <w:sz w:val="20"/>
        </w:rPr>
        <w:t xml:space="preserve"> that neither we nor any of our Subsidiaries shall have transferred, or may in the future transfer, any assets (other than cash or cash equivalents) to such Newly Created Subsidiary for so long as such Newly Created Subsidiary remains designated as an Unrestricted Subsidiary. </w:t>
      </w:r>
    </w:p>
    <w:p>
      <w:pPr>
        <w:pStyle w:val="TextBody"/>
        <w:bidi w:val="0"/>
        <w:spacing w:before="240" w:after="0"/>
        <w:jc w:val="left"/>
        <w:rPr>
          <w:rFonts w:ascii="Times New Roman" w:hAnsi="Times New Roman"/>
          <w:sz w:val="20"/>
        </w:rPr>
      </w:pPr>
      <w:r>
        <w:rPr>
          <w:rFonts w:ascii="Times New Roman" w:hAnsi="Times New Roman"/>
          <w:i/>
          <w:sz w:val="20"/>
        </w:rPr>
        <w:t>Officer</w:t>
      </w:r>
      <w:r>
        <w:rPr>
          <w:rFonts w:ascii="Times New Roman" w:hAnsi="Times New Roman"/>
          <w:sz w:val="20"/>
        </w:rPr>
        <w:t xml:space="preserve"> means the Companys chairman of the Board of Directors, chief executive officer, president, chief operating officer, chief financial officer, any vice president, treasurer, any assistant treasurer, controller, any assistant controller, secretary or any assistant secretary. </w:t>
      </w:r>
    </w:p>
    <w:p>
      <w:pPr>
        <w:pStyle w:val="TextBody"/>
        <w:bidi w:val="0"/>
        <w:spacing w:before="240" w:after="0"/>
        <w:jc w:val="left"/>
        <w:rPr>
          <w:rFonts w:ascii="Times New Roman" w:hAnsi="Times New Roman"/>
          <w:sz w:val="20"/>
        </w:rPr>
      </w:pPr>
      <w:r>
        <w:rPr>
          <w:rFonts w:ascii="Times New Roman" w:hAnsi="Times New Roman"/>
          <w:i/>
          <w:sz w:val="20"/>
        </w:rPr>
        <w:t>Officers Certificate</w:t>
      </w:r>
      <w:r>
        <w:rPr>
          <w:rFonts w:ascii="Times New Roman" w:hAnsi="Times New Roman"/>
          <w:sz w:val="20"/>
        </w:rPr>
        <w:t xml:space="preserve"> means, with respect to any Person, a certificate signed by two Officers in accordance with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Permitted Amount</w:t>
      </w:r>
      <w:r>
        <w:rPr>
          <w:rFonts w:ascii="Times New Roman" w:hAnsi="Times New Roman"/>
          <w:sz w:val="20"/>
        </w:rPr>
        <w:t xml:space="preserve"> means, on any date, an amount equal to 3.5 times Adjusted EBITDA as of the most recent fiscal quarter for which our financial statements are internally available immediately preceding such date.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us or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Issue Date (other than those securing the SpectraSite ABS Facility) and renewals and replacements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governmental charges or claims that are not yet delinquent or that are being contested in good faith by appropriate proceedings promptly instituted and diligently conducted; </w:t>
            </w:r>
            <w:r>
              <w:rPr>
                <w:rFonts w:ascii="Times New Roman" w:hAnsi="Times New Roman"/>
                <w:i/>
                <w:sz w:val="20"/>
              </w:rPr>
              <w:t>provided</w:t>
            </w:r>
            <w:r>
              <w:rPr>
                <w:rFonts w:ascii="Times New Roman" w:hAnsi="Times New Roman"/>
                <w:sz w:val="20"/>
              </w:rPr>
              <w:t xml:space="preserve"> that any reserve or other appropriate provision as shall be required in conformity with GAAP shall have been made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in the ordinary course of business in connection with workers compensation and unemployment insurance, social security obligations, assessments or government charges which are not overdue for more than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transfer of Licenses or assets of us or any of our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by operation of law in favor of purchasers in connection with the sale of an asset; </w:t>
            </w:r>
            <w:r>
              <w:rPr>
                <w:rFonts w:ascii="Times New Roman" w:hAnsi="Times New Roman"/>
                <w:i/>
                <w:sz w:val="20"/>
              </w:rPr>
              <w:t>provided, however</w:t>
            </w:r>
            <w:r>
              <w:rPr>
                <w:rFonts w:ascii="Times New Roman" w:hAnsi="Times New Roman"/>
                <w:sz w:val="20"/>
              </w:rPr>
              <w:t xml:space="preserve">, that such Lien only encumbers the property being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performance of statutory obligations, surety or appeal bonds, performance bonds, bids or tenders;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judgment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connection with escrow or security deposits made in connection with any acquisition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in any business of us or any of our Subsidiaries in an aggregate principal amount, including all Indebtedness incurred to refund, refinance or replace any other Indebtedness of the type described under this clause (11), not to exceed $500.0 million at any time outstanding for us and any of our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obligations under Interest Rate Agreements, Commodity Agreements and Currency Agreements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zoning restrictions, licenses or restrictions on use and other similar encumbrances on the use of real property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incurred in connection with the borrowing of money or the obtaining of advances or credit (other than trade credit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in the aggregate materially detract from the value of the property or materially impair the use thereof in the operation of business by us and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us or any of our Subsidiaries at the time we or such Subsidiary acquired the property, including acquisition by means of a merger or consolidation with or into us or any Subsidiary, or an acquisition of assets, and any replacement thereof, </w:t>
            </w:r>
            <w:r>
              <w:rPr>
                <w:rFonts w:ascii="Times New Roman" w:hAnsi="Times New Roman"/>
                <w:i/>
                <w:sz w:val="20"/>
              </w:rPr>
              <w:t>provided, however</w:t>
            </w:r>
            <w:r>
              <w:rPr>
                <w:rFonts w:ascii="Times New Roman" w:hAnsi="Times New Roman"/>
                <w:sz w:val="20"/>
              </w:rPr>
              <w:t xml:space="preserve">, that such Liens are not created, incurred or assumed in connection with or in contemplation of such acquisition, and </w:t>
            </w:r>
            <w:r>
              <w:rPr>
                <w:rFonts w:ascii="Times New Roman" w:hAnsi="Times New Roman"/>
                <w:i/>
                <w:sz w:val="20"/>
              </w:rPr>
              <w:t>provided further</w:t>
            </w:r>
            <w:r>
              <w:rPr>
                <w:rFonts w:ascii="Times New Roman" w:hAnsi="Times New Roman"/>
                <w:sz w:val="20"/>
              </w:rPr>
              <w:t xml:space="preserve"> that such Liens may not extend to any other property owned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and subleases of real or personal property in the ordinary course of business (for the avoidance of doubt, excluding sale and lease-back transactions) which do not materially interfere with the ordinary conduct of the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bankers Liens, rights of set-off or similar rights and remedies as to deposit accounts or other funds maintained with a depositary institution;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a dedicated cash collateral account and is not subject to restrictions against access in excess of those set forth by regulations promulgated by the Federal Reserve Board or other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intended to provide collateral to the depositary institution.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 stock company, trust, estate, unincorporated organization or government or other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Ratings Agencies</w:t>
      </w:r>
      <w:r>
        <w:rPr>
          <w:rFonts w:ascii="Times New Roman" w:hAnsi="Times New Roman"/>
          <w:sz w:val="20"/>
        </w:rPr>
        <w:t xml:space="preserve"> means (1) S&amp;P, Moodys and Fitch; and (2) if any of S&amp;P, Moodys and Fitch ceases to rate the notes or ceases to make a rating on the notes publicly available, an entity registered as a nationally recognized statistical rating organization (registered as such pursuant to Rule 17g-1 of the Exchange Act) then making a rating on the notes publicly available selected by us (as certified by an Officers Certificate), which shall be substituted for S&amp;P, Moodys or Fitch,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Ratings Decline</w:t>
      </w:r>
      <w:r>
        <w:rPr>
          <w:rFonts w:ascii="Times New Roman" w:hAnsi="Times New Roman"/>
          <w:sz w:val="20"/>
        </w:rPr>
        <w:t xml:space="preserve"> means the occurrence of the following on, or within 90 days after, the date of the public notice of the occurrence of a Change of Control or of the intention by us or any third party to effect a Change of Control (which period shall be extended for so long as the rating of the notes is under publicly announced consideration for possible downgrade by any of the Ratings Agencies if such period exceeds 90 days): (1) in the event that the notes have an Investment Grade Rating by all three Ratings Agencies, the notes cease to have an Investment Grade Rating by two of the three Rating Agencies, (2) in the event that the notes have an Investment Grade Rating by only two Ratings Agencies, the notes cease to have an Investment Grade Rating by both such Rating Agencies, or (3) in the event that the notes do not have an Investment Grade Rating, the rating of the notes by two of the three Ratings Agencies (or, if there are less than three Rating Agencies rating the notes, the rating of each Rating Agency) decreases by one or more gradations (including gradations within ratings categories as well as between rating categories) or is withdrawn.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Reference Government Bond Dealer</w:t>
      </w:r>
      <w:r>
        <w:rPr>
          <w:rFonts w:ascii="Times New Roman" w:hAnsi="Times New Roman"/>
          <w:sz w:val="20"/>
        </w:rPr>
        <w:t xml:space="preserve"> means any of the primary European government securities dealers.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S&amp;P</w:t>
      </w:r>
      <w:r>
        <w:rPr>
          <w:rFonts w:ascii="Times New Roman" w:hAnsi="Times New Roman"/>
          <w:sz w:val="20"/>
        </w:rPr>
        <w:t xml:space="preserve"> means S&amp;P Global Ratings, a division of S&amp;P Global Inc., or any successor to the rating agency business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SpectraSite ABS Facility</w:t>
      </w:r>
      <w:r>
        <w:rPr>
          <w:rFonts w:ascii="Times New Roman" w:hAnsi="Times New Roman"/>
          <w:sz w:val="20"/>
        </w:rPr>
        <w:t xml:space="preserve"> means those certain mortgage loans more fully described in the Offering Memorandum dated March 8, 2023 regarding the $1,800.0 million Secured Tower Revenue Securities, Series 2018-1A and 2023-1A.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Stated Maturity</w:t>
      </w:r>
      <w:r>
        <w:rPr>
          <w:rFonts w:ascii="Times New Roman" w:hAnsi="Times New Roman"/>
          <w:sz w:val="20"/>
        </w:rPr>
        <w:t xml:space="preserve"> means, (1) with respect to any debt security, the date specified in such debt security as the fixed date on which the final installment of principal of such debt security is due and payable and (2) with respect to any scheduled installment of principal of or interest on any debt security, the date specified in such debt security as the fixed date on which such installment is due and payable.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us shall not include any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Unrestricted Subsidiary</w:t>
      </w:r>
      <w:r>
        <w:rPr>
          <w:rFonts w:ascii="Times New Roman" w:hAnsi="Times New Roman"/>
          <w:sz w:val="20"/>
        </w:rPr>
        <w:t xml:space="preserve"> means (a) any Foreign Subsidiary or Newly Created Subsidiary of us that is designated by the Board of Directors as an Unrestricted Subsidiary until such time as the Board of Directors may designate it to be a Subsidiary, provided 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normally entitled to vote in the election of the board of directors, managers or trustees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rom926217_10"/>
      <w:bookmarkEnd w:id="12"/>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U.S. federal income tax considerations is based on existing law. This summary, which does not represent tax advice, is based on laws, regulations, rulings and decisions now in effect, all of which are subject to change (potentially with retroactive effect) or possible differing interpretations. This summary is applicable to holders of the notes referred to in this summary as our notes. This summary deals only with notes that will be held as capital assets and is addressed only to persons who purchase notes in the initial offering at the price indicated on the front page of this prospectus supplement. It does not address tax considerations that may be relevant to an investor that may be subject to special tax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or other pass-through or hybrid entity or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notes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notes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purchasers of the notes that are holders of any obligations that may be paid using the proceeds from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any state, local, foreign or other tax considerations not specifically addressed below or the Medicare tax on net investment income. In addition, prospective purchasers of notes who are subject to special tax accounting rules under Section 451(b) of the Code may be subject to special rules not discussed below, and such prospective purchasers are encouraged to consult with their own tax advisors regarding the application and federal income tax consequences of these rules. Further, all prospective purchasers of notes are urged to consult their own tax advisors concerning the application of U.S. federal income tax laws and other tax consequences relevant to their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consequences generally will differ depending on whether or not a holder is a U.S. Holder or Non-U.S. Holder. For purposes of this summary, a U.S. Holder is a beneficial owner of notes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whose status as a U.S. Holder is not overridden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Non-U.S. Holder is a beneficial owner of a note that is an individual, corporation, estate, or trust that is not a U.S. Holder. If any entity (or other arrangement) treated as a partnership for U.S. federal income tax purposes holds our notes, the tax treatment of a partner in the partnership generally will depend upon the tax status of the partner and the activities of the partnership. Any entity (or other arrangement) treated as a partnership for federal income tax purposes that holds our notes and the partners in such a partnership (as determined for U.S. federal income tax purposes) are urged to consult their own tax advisors about the U.S. federal income tax consequences and other tax consequences of the acquisition, ownership and disposition of our notes. </w:t>
      </w:r>
    </w:p>
    <w:p>
      <w:pPr>
        <w:pStyle w:val="TextBody"/>
        <w:bidi w:val="0"/>
        <w:spacing w:before="240" w:after="0"/>
        <w:jc w:val="left"/>
        <w:rPr>
          <w:rFonts w:ascii="Times New Roman" w:hAnsi="Times New Roman"/>
          <w:sz w:val="20"/>
        </w:rPr>
      </w:pPr>
      <w:r>
        <w:rPr>
          <w:rFonts w:ascii="Times New Roman" w:hAnsi="Times New Roman"/>
          <w:i/>
          <w:sz w:val="20"/>
        </w:rPr>
        <w:t xml:space="preserve">Contingent Payments. </w:t>
      </w:r>
      <w:r>
        <w:rPr>
          <w:rFonts w:ascii="Times New Roman" w:hAnsi="Times New Roman"/>
          <w:sz w:val="20"/>
        </w:rPr>
        <w:t xml:space="preserve">In certain circumstances, we may choose or be obligated to pay amounts in excess of the stated interest or principal on the notes or redeem the notes prior to their stated maturity. See Description of NotesOptional Redemption, Description of NotesRepurchase of Notes Upon a Change of Control Triggering Event, Description of NotesPayment of Additional Amounts and Description of NotesRedemption for Tax Reasons. Notwithstanding the possibility of such payments, under applicable Treasury regulations, payments on a note that are subject to either a remote or incidental contingency may be ignored. For this reason, we intend to take the position that the notes will not be treated as contingent payment debt instruments under the applicable Treasury regulations. Our determination that the notes are not contingent payment debt instruments is not binding on the Internal Revenue Service (the IRS). Our determination that the notes are not contingent payment debt instruments is binding on you unless you disclose your contrary position to the IRS in the manner prescribed by applicable Treasury regulations. If the IRS were to challenge successfully this determination and the notes were treated as contingent payment debt instruments, you might be required, among other things, to accrue interest income (regardless of your method of accounting for federal income tax purposes) at a rate higher than the stated interest rate on the notes, and treat as ordinary income, rather than capital gain, any gain recognized on a sale, exchange or redemption of a note. Prospective purchasers of notes are urged to consult their tax advisors regarding the tax consequences of the notes being treated as contingent payment debt instruments. The remainder of this discussion assumes that the notes are not treated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i/>
          <w:sz w:val="20"/>
        </w:rPr>
        <w:t>Payments of Interest.</w:t>
      </w:r>
      <w:r>
        <w:rPr>
          <w:rFonts w:ascii="Times New Roman" w:hAnsi="Times New Roman"/>
          <w:sz w:val="20"/>
        </w:rPr>
        <w:t xml:space="preserve"> Payments or accruals of interest on a note will be taxable to a U.S. Holder as ordinary income at the time that such amounts are actually or constructively received or accrued (in accordance with the U.S. Holders method of tax accounting). It is expected, and this discussion assumes, that the notes will be issued without original issue discount (OID) for U.S. federal income tax purposes. In general, however, if the notes are issued with OID at or above a de minimis threshold, a U.S. Holder will be required to include OID in gross income, as ordinary income, as it accrues under a constant-yield method before the receipt of cash attributable to such income, regardless of the U.S. Holders regular method of accounting for U.S. federal income tax purposes. The amount of interest income realized by a U.S. Holder that uses the cash method of tax accounting will be the U.S. dollar value of the euro payment based on the exchange rate in effect on the date of receipt regardless of whether the payment in fact is converted into U.S. dollars. A U.S. Holder that uses the accrual method of accounting for tax purposes will accrue interest income on the note in euros and translate the amount accrued into U.S. dollars based on the average exchange rate in effect during the interest accrual period (or portion thereof within the U.S. Holders taxable year), or, at the accrual basis U.S Holders election, at the spot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rate of exchange on the last day of the accrual period (or the last day of the taxable year within such accrual period if the accrual period spans more than one taxable year), or at the spot rate of exchange on the date of receipt, if such date is within five business days of the last day of the accrual period. A U.S. Holder that makes such election must apply it consistently to all debt instruments from year to year and cannot change the election without the consent of the IRS. A U.S. Holder that uses the accrual method of accounting for tax purposes will recognize foreign currency gain or loss, as the case may be, on the receipt of an interest payment made with respect to a note if the exchange rate in effect on the date the payment is received differs from the rate applicable to a previous accrual of that interest income. This foreign currency gain or loss will be treated as ordinary income or loss but generally will not be treated as an adjustment to interest income received on the note. </w:t>
      </w:r>
    </w:p>
    <w:p>
      <w:pPr>
        <w:pStyle w:val="TextBody"/>
        <w:bidi w:val="0"/>
        <w:spacing w:before="240" w:after="0"/>
        <w:jc w:val="left"/>
        <w:rPr>
          <w:rFonts w:ascii="Times New Roman" w:hAnsi="Times New Roman"/>
          <w:sz w:val="20"/>
        </w:rPr>
      </w:pPr>
      <w:r>
        <w:rPr>
          <w:rFonts w:ascii="Times New Roman" w:hAnsi="Times New Roman"/>
          <w:i/>
          <w:sz w:val="20"/>
        </w:rPr>
        <w:t xml:space="preserve">Purchase, Sale, Redemption and Retirement of the Notes. </w:t>
      </w:r>
      <w:r>
        <w:rPr>
          <w:rFonts w:ascii="Times New Roman" w:hAnsi="Times New Roman"/>
          <w:sz w:val="20"/>
        </w:rPr>
        <w:t xml:space="preserve">A U.S. Holders tax basis in a note generally will equal the cost of the note to such U.S. Holder. The cost of the note to a U.S. Holder will be the U.S. dollar value of the foreign currency purchase price on the date of purchase. A cash basis U.S. Holder (and, if it so elects, an accrual basis U.S. Holder) will determine the U.S. dollar value of the cost of the note by translating the amount paid at the spot rate of exchange on the settlement date of the purchase. The conversion of U.S. dollars to euros and the immediate use of those euros to purchase a note generally will not result in taxable gain or loss for a U.S. Holder. A U.S. Holder may recognize foreign currency gain or loss if it purchases a note with previously owned euros. </w:t>
      </w:r>
    </w:p>
    <w:p>
      <w:pPr>
        <w:pStyle w:val="TextBody"/>
        <w:bidi w:val="0"/>
        <w:spacing w:before="240" w:after="0"/>
        <w:jc w:val="left"/>
        <w:rPr>
          <w:rFonts w:ascii="Times New Roman" w:hAnsi="Times New Roman"/>
          <w:sz w:val="20"/>
        </w:rPr>
      </w:pPr>
      <w:r>
        <w:rPr>
          <w:rFonts w:ascii="Times New Roman" w:hAnsi="Times New Roman"/>
          <w:sz w:val="20"/>
        </w:rPr>
        <w:t xml:space="preserve">When a U.S. Holder sells or exchanges a note, or if a note held by a U.S. Holder is retired or redeemed, such U.S. Holder generally will recognize gain or loss equal to the difference between the amount realized on the transaction (excluding any amounts attributable to accrued but unpaid interest, which will be subject to tax in the manner described above under Payments of Interest) and the U.S. Holders tax basis in the note. The amount realized upon the sale, exchange, redemption or retirement of a note will be the U.S. dollar value of the euros received calculated at the exchange rate in effect on the date the note is sold, exchanged, redeemed or retired, and a U.S. Holders tax basis in any such euros received will equal the U.S. dollar value of the euros, determined at the time of sale, exchange, redemption or retirement. A cash basis U.S. Holder, and if it so elects, an accrual basis U.S. Holder, will determine the U.S. dollar value of the amount realized by translating the amount realized at the spot rate on the settlement date of the sale. If an accrual basis U.S. Holder does not make such an election, it will recognize exchange gain or loss to the extent of currency exchange fluctuations during the period between the date of the disposition and the settlement date of the sale. The election available to accrual basis U.S. Holders in respect of the purchase and sale of notes traded on an established securities market, discussed above, must be applied consistently to all debt instruments from year to year and cannot be changed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with respect to foreign currency gain or loss, the gain or loss that a U.S. Holder recognizes on the sale, exchange, redemption or retirement of a note generally will be capital gain or loss. The capital gain or loss on the sale, exchange, redemption or retirement of a note will be long-term capital gain or loss if the U.S. Holder has held the note for more than one year at the time of disposition. Long-term capital gains recognized by a noncorporate U.S. Holder, including an individual, generally are subject to tax at a lower rate than short-term capital gains or ordinary income. The ability of U.S. Holders to offset capital losses against ordinary income is limited. If exchange rates fluctuate, U.S. Holders may recognize foreign currency gain or loss, if any, measured by the difference between (i) the U.S. dollar value of the purchase price in euros of the note, determined using the spot rate on the settlement date or trade date, as described above, of the sale, exchange, redemption or retirement of the note, and (ii) the U.S. dollar value of the purchase price in euros of the note, determined using the spot rate on the date the U.S. Holder acquired the note. This foreign currency gain or loss recognized by a U.S. Holder on the sale, exchange, redemption or retirement of a note generally will be treated as ordinary income or loss to the extent that the gain or loss is attributable to changes in exchange rates during the period in which the holder held such note. The amount of foreign currency gain or loss upon a sale, exchange, redemption or retirement of a note (including with respect to accrued and unpaid interest) will be realized only to the extent of the total gain or loss realized on the sale, exchange or other taxable disposition of the note. This foreign currency gain or loss will not be treated as an adjustment to interest income received on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present U.S. federal income tax law, and subject to the discussions below under Information Reporting, Backup Withholding and Foreign Account Withholding: </w:t>
      </w:r>
    </w:p>
    <w:p>
      <w:pPr>
        <w:pStyle w:val="TextBody"/>
        <w:bidi w:val="0"/>
        <w:spacing w:before="240" w:after="0"/>
        <w:jc w:val="left"/>
        <w:rPr>
          <w:rFonts w:ascii="Times New Roman" w:hAnsi="Times New Roman"/>
          <w:sz w:val="20"/>
        </w:rPr>
      </w:pPr>
      <w:r>
        <w:rPr>
          <w:rFonts w:ascii="Times New Roman" w:hAnsi="Times New Roman"/>
          <w:sz w:val="20"/>
        </w:rPr>
        <w:t xml:space="preserve">(a) No withholding of U.S. federal income tax generally will be required with respect to the payment by us or any issuing and paying agent on a note owned by a Non-U.S. Holder, provided that (i) the beneficial owner does not actually or constructively own 10% or more of the total combined voting power of all classes of our stock entitled to vote within the meaning of Section 871(h)(3) of the Code and the regulations thereunder, (ii) the beneficial owner is not a CFC to which we are a related person within the meaning of Section 864(d)(4) of the Code, and (iii) the beneficial owner provides a statement signed under penalties of perjury that includes its name and address and certifies that it is a Non-U.S. Holder in compliance with applicable requirements, generally made, under current procedures, on an applicable IRS Form W-8 (or satisfies certain documentary evidence requirements for establishing that it is a Non-U.S. Holder). </w:t>
      </w:r>
    </w:p>
    <w:p>
      <w:pPr>
        <w:pStyle w:val="TextBody"/>
        <w:bidi w:val="0"/>
        <w:spacing w:before="240" w:after="0"/>
        <w:jc w:val="left"/>
        <w:rPr>
          <w:rFonts w:ascii="Times New Roman" w:hAnsi="Times New Roman"/>
          <w:sz w:val="20"/>
        </w:rPr>
      </w:pPr>
      <w:r>
        <w:rPr>
          <w:rFonts w:ascii="Times New Roman" w:hAnsi="Times New Roman"/>
          <w:sz w:val="20"/>
        </w:rPr>
        <w:t xml:space="preserve">(b) A Non-U.S. Holder will generally not be subject to U.S. federal income tax on gain realized on the sale, exchange or redemption of a note, unless such gain is effectively connected with the conduct by the Non-U.S. Holder of a trade or business in the United States (and, if an income tax treaty applies, is attributable to a U.S. permanent establishment or fixed base maintained by the Non-U.S. Holder). </w:t>
      </w:r>
    </w:p>
    <w:p>
      <w:pPr>
        <w:pStyle w:val="TextBody"/>
        <w:bidi w:val="0"/>
        <w:spacing w:before="240" w:after="0"/>
        <w:jc w:val="left"/>
        <w:rPr>
          <w:rFonts w:ascii="Times New Roman" w:hAnsi="Times New Roman"/>
          <w:sz w:val="20"/>
        </w:rPr>
      </w:pPr>
      <w:r>
        <w:rPr>
          <w:rFonts w:ascii="Times New Roman" w:hAnsi="Times New Roman"/>
          <w:sz w:val="20"/>
        </w:rPr>
        <w:t xml:space="preserve">(c) If a Non-U.S. Holder is subject to withholding at a rate in excess of a reduced rate for which such holder is eligible under a tax treaty or otherwise, such Non-U.S. Holder may be able to obtain a refund of or credit for any amounts withheld in excess of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Non-U.S. Holder generally will be taxed in the same manner as a U.S. Holder with respect to interest income that is effectively connected with its U.S. trade or business (and, if an income tax treaty applies, is attributable to a U.S. permanent establishment or fixed base maintained by the Non-U.S. Holder). In addition, under certain circumstances, effectively connected interest income of a corporate Non-U.S. Holder may be subject to a branch profits tax imposed at a 30% rate (as reduced by an applicable treaty). A Non-U.S. Holder with effectively connected income will, however, generally not be subject to withholding tax on interest income if, under current procedures, it delivers a properly completed IRS Form W-8ECI. </w:t>
      </w:r>
    </w:p>
    <w:p>
      <w:pPr>
        <w:pStyle w:val="TextBody"/>
        <w:bidi w:val="0"/>
        <w:spacing w:before="360" w:after="0"/>
        <w:jc w:val="left"/>
        <w:rPr>
          <w:rFonts w:ascii="Times New Roman" w:hAnsi="Times New Roman"/>
          <w:b/>
          <w:sz w:val="20"/>
        </w:rPr>
      </w:pPr>
      <w:r>
        <w:rPr>
          <w:rFonts w:ascii="Times New Roman" w:hAnsi="Times New Roman"/>
          <w:b/>
          <w:sz w:val="20"/>
        </w:rPr>
        <w:t xml:space="preserve">Reportable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 U.S. Holder (or a Non-U.S. Holder that holds the notes in connection with a U.S. trade or business) that participates in a reportable transaction is required to disclose its participation to the IRS. Under the relevant rules, since the notes are denominated in a foreign currency, the holder may be required to treat a foreign currency exchange loss from the notes as a reportable transaction if this loss meets or exceeds the relevant threshold in the regulations ($50,000 in a single taxable year, if the holder is an individual or trust, or higher amounts for other holders), and to disclose its investment by filing a Form 8886 with the IRS. A penalty in an amount not exceeding $10,000 in the case of an individual and $50,000 in all other cases is generally imposed on any taxpayer that fails to timely file an information return with the IRS with respect to a transaction resulting in a loss that is treated as a reportable transaction. Prospective purchasers are urged to consult their tax advisors regarding the application of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on our notes made to, and proceeds of dispositions of our notes effected by, certain U.S. Holders. In addition, certain U.S. Holders may be subject to backup withholding in respect of such amounts if they do not provide their taxpayer identification numbers to the person from whom they receive payments. Non-U.S. Holders may be required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certification procedures to establish that they are not U.S. taxpayers in order to avoid the application of such information reporting requirements and backup withholding. The amount of any backup withholding from a payment to a holder will be allowed as a credit against the holders U.S. federal income tax liability and may entitle the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interest on our notes. In general, to avoid withholding, any non-U.S. intermediary through which a holder owns our notes must establish its compliance with the foregoing regime, and a Non-U.S. Holder must provide specified documentation (usually an applicable IRS Form W-8) containing information about its identity, its status, and if required its direct and indirect U.S. owners. Non-U.S. Holders and holders who hold our notes through a non-U.S. intermediary are urged to consult their own tax advisor regarding foreign account tax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rom926217_11"/>
      <w:bookmarkEnd w:id="13"/>
      <w:r>
        <w:rPr>
          <w:rFonts w:ascii="Times New Roman" w:hAnsi="Times New Roman"/>
          <w:b/>
          <w:sz w:val="20"/>
        </w:rPr>
        <w:t xml:space="preserve">CERTAIN EUROPEAN UNION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Proposed Financial Transaction Tax </w:t>
      </w:r>
    </w:p>
    <w:p>
      <w:pPr>
        <w:pStyle w:val="TextBody"/>
        <w:bidi w:val="0"/>
        <w:spacing w:before="120" w:after="0"/>
        <w:jc w:val="left"/>
        <w:rPr>
          <w:rFonts w:ascii="Times New Roman" w:hAnsi="Times New Roman"/>
          <w:sz w:val="20"/>
        </w:rPr>
      </w:pPr>
      <w:r>
        <w:rPr>
          <w:rFonts w:ascii="Times New Roman" w:hAnsi="Times New Roman"/>
          <w:sz w:val="20"/>
        </w:rPr>
        <w:t xml:space="preserve">In 2013, the European Commission published the Commissions Proposal for a Directive for the Financial Transaction Tax, or the FTT, in Belgium, Germany, Greece, Spain, France, Italy, Austria, Portugal, Slovenia, Slovakia and Estonia. However, Estonia has since stated that it will not participate.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Proposal has very broad scope and could, if introduced, apply to certain dealings in the notes in certain circumstances. The mechanism by which the tax contemplated in the Commissions Proposal would be applied and collected is not yet certain, but if it or any similar tax is adopted, transactions in the notes could be subject to higher costs, and the liquidity of the market for the notes may be diminished. </w:t>
      </w:r>
    </w:p>
    <w:p>
      <w:pPr>
        <w:pStyle w:val="TextBody"/>
        <w:bidi w:val="0"/>
        <w:spacing w:before="240" w:after="0"/>
        <w:jc w:val="left"/>
        <w:rPr>
          <w:rFonts w:ascii="Times New Roman" w:hAnsi="Times New Roman"/>
          <w:sz w:val="20"/>
        </w:rPr>
      </w:pPr>
      <w:r>
        <w:rPr>
          <w:rFonts w:ascii="Times New Roman" w:hAnsi="Times New Roman"/>
          <w:sz w:val="20"/>
        </w:rPr>
        <w:t xml:space="preserve">Under the Commissions Proposal, the FTT could apply in certain circumstances to persons both within and outside of the participating Member States of the European Union. Generally, it would apply to certain dealings in the notes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 </w:t>
      </w:r>
    </w:p>
    <w:p>
      <w:pPr>
        <w:pStyle w:val="TextBody"/>
        <w:bidi w:val="0"/>
        <w:spacing w:before="240" w:after="0"/>
        <w:jc w:val="left"/>
        <w:rPr>
          <w:rFonts w:ascii="Times New Roman" w:hAnsi="Times New Roman"/>
          <w:sz w:val="20"/>
        </w:rPr>
      </w:pPr>
      <w:r>
        <w:rPr>
          <w:rFonts w:ascii="Times New Roman" w:hAnsi="Times New Roman"/>
          <w:sz w:val="20"/>
        </w:rPr>
        <w:t xml:space="preserve">Following a lack of consensus in the negotiations on the Commissions Proposal, the participating Member States and the scope of the FTT remain uncertain. Based on public statements released in 2019, the participating Member States have agreed to continue negotiations on the basis of a proposal that would reduce the scope of the FTT and would only concern listed shares of European companies with a market capitalization exceeding 1 billion euros on 1 December of the year preceding the taxation year. According to this revised proposal, the applicable tax rate would not be less than 0.2%. Such proposal remains subject to change until a final approval is given and it may therefore be altered prior to any implementation, the timing of which remains unclear. Additional Member States may decide to participate, and/or certain of the remaining participating Member States may decide to withdraw. </w:t>
      </w:r>
    </w:p>
    <w:p>
      <w:pPr>
        <w:pStyle w:val="TextBody"/>
        <w:bidi w:val="0"/>
        <w:spacing w:before="240" w:after="0"/>
        <w:jc w:val="left"/>
        <w:rPr>
          <w:rFonts w:ascii="Times New Roman" w:hAnsi="Times New Roman"/>
          <w:sz w:val="20"/>
        </w:rPr>
      </w:pPr>
      <w:r>
        <w:rPr>
          <w:rFonts w:ascii="Times New Roman" w:hAnsi="Times New Roman"/>
          <w:sz w:val="20"/>
        </w:rPr>
        <w:t>In the </w:t>
      </w:r>
      <w:r>
        <w:rPr>
          <w:rFonts w:ascii="Times New Roman" w:hAnsi="Times New Roman"/>
          <w:i/>
          <w:sz w:val="20"/>
        </w:rPr>
        <w:t>Commission Staff Working DocumentAccompanying the document Amended Proposal for a Council Decision amending Decision (EU, Euratom) 2020/2053 on the system of own resources of the European Union</w:t>
      </w:r>
      <w:r>
        <w:rPr>
          <w:rFonts w:ascii="Times New Roman" w:hAnsi="Times New Roman"/>
          <w:sz w:val="20"/>
        </w:rPr>
        <w:t xml:space="preserve"> (n. SWD/2023/331 final) dated June 20, 2023, addressing the Commissions Proposal, the EU Commission expressed the view that There is little expectation that any proposal would be agreed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Prospective holders of the notes are advised to seek their own professional advice in relation to the FTT.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rom926217_12"/>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Barclays Bank PLC, Citigroup Global Markets Limited, ING Bank N.V., Mizuho International plc, Morgan Stanley &amp; Co. International plc and SMBC Bank International plc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6"/>
        <w:gridCol w:w="516"/>
        <w:gridCol w:w="83"/>
        <w:gridCol w:w="1032"/>
        <w:gridCol w:w="62"/>
      </w:tblGrid>
      <w:tr>
        <w:trPr/>
        <w:tc>
          <w:tcPr>
            <w:tcW w:w="5246"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516"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w:t>
            </w:r>
          </w:p>
        </w:tc>
        <w:tc>
          <w:tcPr>
            <w:tcW w:w="62"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5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Limited</w:t>
            </w:r>
          </w:p>
        </w:tc>
        <w:tc>
          <w:tcPr>
            <w:tcW w:w="5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ING Bank N.V.</w:t>
            </w:r>
          </w:p>
        </w:tc>
        <w:tc>
          <w:tcPr>
            <w:tcW w:w="5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Mizuho International plc</w:t>
            </w:r>
          </w:p>
        </w:tc>
        <w:tc>
          <w:tcPr>
            <w:tcW w:w="5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International plc</w:t>
            </w:r>
          </w:p>
        </w:tc>
        <w:tc>
          <w:tcPr>
            <w:tcW w:w="5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SMBC Bank International plc</w:t>
            </w:r>
          </w:p>
        </w:tc>
        <w:tc>
          <w:tcPr>
            <w:tcW w:w="5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24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24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included in this offering are subject to, among other things, approval of legal matters by counsel and other conditions. The underwriters are obligated to purchase all the notes if they purchase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prices set forth on the cover of this prospectus supplement. Any notes sold by the underwriters to securities dealers may be sold at a selling concession from the initial public offering price not in excess of   % of the principal amount of the notes. Any such securities dealers may resell any notes purchased from the underwriters to certain other brokers or dealers at a discount from the initial public offering price not in excess of   % of the principal amount of the notes. If all the notes are not sold at the initial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delivery of the notes will be made against payment on     , 2025, which is the sixth business day following the date of this prospectus supplement (this settlement cycle being referred to as T+6). Under Rule 15c6-1 of the Exchange Act, trades in the secondary market generally are required to settle in one business day, unless the parties to the trade expressly agree otherwise. Accordingly, purchasers who wish to trade the notes more than one business day prior to their date of delivery will be required, by virtue of the fact that the notes initially will settle in T+6, to specify an alternate settlement cycle at the time of any such trade to prevent a failed settlement and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6"/>
        <w:gridCol w:w="798"/>
        <w:gridCol w:w="192"/>
        <w:gridCol w:w="836"/>
        <w:gridCol w:w="277"/>
      </w:tblGrid>
      <w:tr>
        <w:trPr/>
        <w:tc>
          <w:tcPr>
            <w:tcW w:w="4836" w:type="dxa"/>
            <w:tcBorders/>
            <w:vAlign w:val="center"/>
          </w:tcPr>
          <w:p>
            <w:pPr>
              <w:pStyle w:val="TableContents"/>
              <w:bidi w:val="0"/>
              <w:spacing w:before="0" w:after="283"/>
              <w:jc w:val="left"/>
              <w:rPr>
                <w:sz w:val="4"/>
                <w:szCs w:val="4"/>
              </w:rPr>
            </w:pPr>
            <w:r>
              <w:rPr>
                <w:sz w:val="4"/>
                <w:szCs w:val="4"/>
              </w:rPr>
            </w:r>
          </w:p>
        </w:tc>
        <w:tc>
          <w:tcPr>
            <w:tcW w:w="79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836"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American</w:t>
              <w:br/>
              <w:t>Tower</w:t>
            </w:r>
          </w:p>
        </w:tc>
        <w:tc>
          <w:tcPr>
            <w:tcW w:w="277" w:type="dxa"/>
            <w:tcBorders/>
            <w:vAlign w:val="bottom"/>
          </w:tcPr>
          <w:p>
            <w:pPr>
              <w:pStyle w:val="TableContents"/>
              <w:bidi w:val="0"/>
              <w:spacing w:before="0" w:after="283"/>
              <w:jc w:val="left"/>
              <w:rPr/>
            </w:pPr>
            <w:r>
              <w:rPr/>
              <w:t> </w:t>
            </w:r>
          </w:p>
        </w:tc>
      </w:tr>
      <w:tr>
        <w:trPr/>
        <w:tc>
          <w:tcPr>
            <w:tcW w:w="4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7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will be     million. </w:t>
      </w:r>
    </w:p>
    <w:p>
      <w:pPr>
        <w:pStyle w:val="TextBody"/>
        <w:bidi w:val="0"/>
        <w:spacing w:before="240" w:after="0"/>
        <w:jc w:val="left"/>
        <w:rPr>
          <w:rFonts w:ascii="Times New Roman" w:hAnsi="Times New Roman"/>
          <w:sz w:val="20"/>
        </w:rPr>
      </w:pPr>
      <w:r>
        <w:rPr>
          <w:rFonts w:ascii="Times New Roman" w:hAnsi="Times New Roman"/>
          <w:sz w:val="20"/>
        </w:rPr>
        <w:t xml:space="preserve">We retained Chatham Financial Securities LLC (Chatham Financial) to act as our financial advisor in connection with this offering for which we will pay an advisory fee. The expenses of this offering include the advisory fee to be paid to Chatham Financial. Chatham Financial will not underwrite or purchase any of the securities in this offering. Chatham Financial will not solicit any purchasers for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offering of the notes, the Stabilizing Manager (or persons acting on its behalf) may over allot notes or effect transactions with a view to supporting the market price of the notes during the stabilization period at a level higher than that which might otherwise prevail. However, stabilization action may not necessarily occur. Any stabilization action may begin on or after the date on which adequate public disclosure of the terms of the offer of the relevant notes is made and, if begun, may be ended at any time, but it must end no later than 30 days after the date on which we received the proceeds of the issue, or no later than 60 days after the date of allotment of the relevant notes whichever is the earlier. Any stabilization action or over allotment must be conducted by the Stabilizing Manager (or persons acting on its behalf) in accordance with all applicable laws and rules and will be undertaken at the offices of the Stabilizing Manager (or persons acting on its behalf) and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have the effect of preventing or retarding a decline in the market prices of the notes. They may also cause the price of the notes to be higher than the price that would otherwise exist in the open market in the absence of these transactions. The Stabilizing Manager may conduct these transactions in the over-the-counter market or otherwise. If the Stabilizing Manager commences any of these transactions, it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performed commercial banking, investment banking and advisory services for us from time to time for which they have received customary fees and reimbursement of expenses. The underwriters may, from time to time, engage in transactions with and perform services for us in the ordinary course of their business for which they may receive customary fees and reimbursement of expenses. In addition, 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before="360" w:after="0"/>
        <w:jc w:val="left"/>
        <w:rPr>
          <w:rFonts w:ascii="Times New Roman" w:hAnsi="Times New Roman"/>
          <w:sz w:val="20"/>
        </w:rPr>
      </w:pPr>
      <w:r>
        <w:rPr>
          <w:rFonts w:ascii="Times New Roman" w:hAnsi="Times New Roman"/>
          <w:b/>
          <w:sz w:val="20"/>
        </w:rPr>
        <w:t>Selling Restrictions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any Member State of the EEA (in each case, a Relevant State) will be made pursuant to an exemption under the Prospectus Regulation from the requirement to publish a prospectus for offers of securities. The expression Prospectus Regulation means Regulation (EU) 2017/1129 (as amended or superseded). For the avoidance of doubt, whilst this document is referred to as a prospectus supplement and there are references herein to a prospectus, neither this prospectus supplement nor the accompanying prospectus is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For these purposes, the expression retail investor means a person who is one (or more) of: (i) a retail client as defined in point (11) of Article 4(1) of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In the EEA, this prospectus supplement and the accompanying prospectus are being distributed only to, and are directed only at, non-retail investors (being persons who are not retail investors as defined in this section titled </w:t>
      </w:r>
      <w:r>
        <w:rPr>
          <w:rFonts w:ascii="Times New Roman" w:hAnsi="Times New Roman"/>
          <w:i/>
          <w:sz w:val="20"/>
        </w:rPr>
        <w:t>Notice to Prospective Investors in the European Economic Area</w:t>
      </w:r>
      <w:r>
        <w:rPr>
          <w:rFonts w:ascii="Times New Roman" w:hAnsi="Times New Roman"/>
          <w:sz w:val="20"/>
        </w:rPr>
        <w:t xml:space="preserve">) and any investment or investment activity to which this prospectus supplement relates is available only to, and will be engaged in only with, non- retail investors. Any person in the EEA who is a retail investor should not act or rely on this prospectus supplement, the accompanying prospectus or either of their contents. Each person in the EEA who purchases any of the notes will be deemed to have represented and warranted that they are a non-retail investor.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us and will not be responsible to anyone other than us for providing the protections afforded to their clients nor for providing advice in relation to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MiFID II product governance / Professional investors and eligible counterparties only target market </w:t>
      </w:r>
    </w:p>
    <w:p>
      <w:pPr>
        <w:pStyle w:val="TextBody"/>
        <w:bidi w:val="0"/>
        <w:spacing w:before="120" w:after="0"/>
        <w:jc w:val="left"/>
        <w:rPr>
          <w:rFonts w:ascii="Times New Roman" w:hAnsi="Times New Roman"/>
          <w:sz w:val="20"/>
        </w:rPr>
      </w:pPr>
      <w:r>
        <w:rPr>
          <w:rFonts w:ascii="Times New Roman" w:hAnsi="Times New Roman"/>
          <w:sz w:val="20"/>
        </w:rPr>
        <w:t xml:space="preserve">Solely for the purposes of each manufacturers product approval process, the target market assessment in respect of the notes has led to the conclusion that: (i) the target market for the notes is eligible counterparties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the United Kingdom will be made pursuant to an exemption under the UK Prospectus Regulation from the requirement to publish a prospectus for offers of securities. The expression UK Prospectus Regulation means Regulation (EU) 2017/1129 as it forms part of assimilated law by virtue of the EUWA (as amended or superseded). For the avoidance of doubt, whilst this document is referred to as a prospectus supplement and there are references herein to a prospectus, neither this prospectus supplement nor the accompanying prospectus is a prospectus for the purposes of UK law.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UK. For these purposes, the expression retail investor means a person who is one (or more) of: (i) a retail client, as defined in point (8) of Article 2 of Regulation (EU) No 2017/565 as it forms part of assimilated law by virtue of the European Union (Withdrawal) Act 2018 (as amended, and together with any statutory instruments made in exercise of the powers conferred by such Act,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assimilated law by virtue of the EUWA; or (iii) not a qualified investor as defined in Article 2(e) of Regulation (EU) 2017/1129 as it forms part of assimilated law by virtue of the EUWA. Consequently, no key information document required by Regulation (EU) No 1286/2014 as it forms part of assimilated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before="240" w:after="0"/>
        <w:jc w:val="left"/>
        <w:rPr>
          <w:rFonts w:ascii="Times New Roman" w:hAnsi="Times New Roman"/>
          <w:sz w:val="20"/>
        </w:rPr>
      </w:pPr>
      <w:r>
        <w:rPr>
          <w:rFonts w:ascii="Times New Roman" w:hAnsi="Times New Roman"/>
          <w:sz w:val="20"/>
        </w:rPr>
        <w:t>In the UK, this prospectus supplement and the accompanying prospectus are being distributed only to, and are directed only at, non-retail investors (being persons who are not retail investors as defined in this section </w:t>
      </w:r>
      <w:r>
        <w:rPr>
          <w:rFonts w:ascii="Times New Roman" w:hAnsi="Times New Roman"/>
          <w:i/>
          <w:sz w:val="20"/>
        </w:rPr>
        <w:t>Notice to Prospective Investors in the United Kingdom</w:t>
      </w:r>
      <w:r>
        <w:rPr>
          <w:rFonts w:ascii="Times New Roman" w:hAnsi="Times New Roman"/>
          <w:sz w:val="20"/>
        </w:rPr>
        <w:t xml:space="preserve">)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and partnerships and trustees of high value trusts as described in Article 49(2)(a) to (c) of the Order; or (iii) persons to whom an invitation or inducement to engage in investment activity (within the meaning of section 21 of the FSMA) in connection with the issue or sale of any notes may otherwise lawfully be communicated or caused to be communicated (all such persons together being referred to as relevant persons). Any person in the UK that is not a relevant person should not act or rely on this prospectus supplement, the accompany prospectus or either of their contents. In the UK, any investment or investment activity to which this prospectus supplement or the accompanying prospectus relates is only available to, and will be engaged in only with, relevant persons. Each person in the UK who purchases any of the notes will be deemed to have represented and warranted that they are a relevant person.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us and will not be responsible to anyone other than us for providing the protections afforded to their clients nor for providing advice in relation to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UK MiFIR product governance / Professional investors and eligible counterparties only target market </w:t>
      </w:r>
    </w:p>
    <w:p>
      <w:pPr>
        <w:pStyle w:val="TextBody"/>
        <w:bidi w:val="0"/>
        <w:spacing w:before="120" w:after="0"/>
        <w:jc w:val="left"/>
        <w:rPr>
          <w:rFonts w:ascii="Times New Roman" w:hAnsi="Times New Roman"/>
          <w:sz w:val="20"/>
        </w:rPr>
      </w:pPr>
      <w:r>
        <w:rPr>
          <w:rFonts w:ascii="Times New Roman" w:hAnsi="Times New Roman"/>
          <w:sz w:val="20"/>
        </w:rPr>
        <w:t xml:space="preserve">Solely for the purposes of each manufacturers product approval process, the target market assessment in respect of the notes has led to the conclusion that: (i) the target market for the notes is only eligible counterparties as defined in Chapter 3 of the FCA Handbook Conduct of Business Sourcebook and professional clients, as defined in Regulation (EU) No 600/2014 as it forms part of assimilated law by virtue of the EUWA;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UK MiFIR Product Governance Rules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or sold and will not offer or sell in Hong Kong, by means of any document, any notes other than (i) to professional investors as defined in the Securities and Futures Ordinance (Cap. 571 of the Laws of Hong Kong) (the SFO) and any rules made thereunder, or (ii) in other circumstances which do not result in the document being a prospectus as defined in the Companies (Winding Up and Miscellaneous Provisions) Ordinance (Cap. 32 of the Laws of Hong Kong) or which do not constitute an offer to the public within the meaning thereof, and that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and each underwriter has represented and agreed that it has not offered or sold and will not offer or sell any 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Netherlands </w:t>
      </w:r>
    </w:p>
    <w:p>
      <w:pPr>
        <w:pStyle w:val="TextBody"/>
        <w:bidi w:val="0"/>
        <w:spacing w:before="120" w:after="0"/>
        <w:jc w:val="left"/>
        <w:rPr>
          <w:rFonts w:ascii="Times New Roman" w:hAnsi="Times New Roman"/>
          <w:sz w:val="20"/>
        </w:rPr>
      </w:pPr>
      <w:r>
        <w:rPr>
          <w:rFonts w:ascii="Times New Roman" w:hAnsi="Times New Roman"/>
          <w:sz w:val="20"/>
        </w:rPr>
        <w:t>Each underwriter, severally and not jointly, has agreed that it has not offered or sold, and will not offer or sell, the notes to the public in The Netherlands, other than exclusively to qualified investors (</w:t>
      </w:r>
      <w:r>
        <w:rPr>
          <w:rFonts w:ascii="Times New Roman" w:hAnsi="Times New Roman"/>
          <w:i/>
          <w:sz w:val="20"/>
        </w:rPr>
        <w:t>gekwalificeerde beleggers</w:t>
      </w:r>
      <w:r>
        <w:rPr>
          <w:rFonts w:ascii="Times New Roman" w:hAnsi="Times New Roman"/>
          <w:sz w:val="20"/>
        </w:rPr>
        <w:t>) within the meaning of the Financial Supervision Act (</w:t>
      </w:r>
      <w:r>
        <w:rPr>
          <w:rFonts w:ascii="Times New Roman" w:hAnsi="Times New Roman"/>
          <w:i/>
          <w:sz w:val="20"/>
        </w:rPr>
        <w:t>Wet op het financieel toezicht</w:t>
      </w:r>
      <w:r>
        <w:rPr>
          <w:rFonts w:ascii="Times New Roman" w:hAnsi="Times New Roman"/>
          <w:sz w:val="20"/>
        </w:rPr>
        <w:t xml:space="preserve">).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this prospectus supplement and the accompanying prospectus have not been and will not be registered as a prospectus with the Monetary Authority of Singapore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(MAS) under the SFA. Accordingly, each underwriter represents and agrees that it has not offered or sold any notes or caused such notes to be made the subject of an invitation for subscription or purchase and will not offer or sell any notes or cause such notes to be made the subject of an invitation for subscription or purchase, and has not circulated or distributed, nor will it circulate or distribute, this prospectus supplement, the accompanying prospectus and any other document or material in connection with the offer or sale, or invitation for subscription or purchase, of the notes, whether directly or indirectly, to any person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274 or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6 months after that corporation or that trust has acquired the notes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(as defined in Section 275(2) of the SFA),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of Singapore.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reference to the SFA is a reference to the Securities and Futures Act 2001 of Singapore, as modified or 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Issuer has determined, and hereby notifies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The notes may not be publicly offered, directly or indirectly, in Switzerland within the meaning of the Swiss Financial Services Act (the FinSA) and will not be admitted to any trading venue (exchange or multilateral trading facility) in Switzerland. Neither this prospectus supplement and the accompanying prospectus nor any other offering or marketing material relating to the notes constitutes a prospectus as such term is understood pursuant to the FinSA and neither this prospectus supplement and the accompanying prospectus nor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rom926217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validity of the notes for American Tower. Sullivan &amp; Worcester LLP, Boston, Massachusetts, has passed upon our qualification and taxation as a REIT in an opinion filed with the registration statement of which the accompanying prospectus is a part. Certain other legal matters will be passed upon for American Tower by Ruth T. Dowling, Esq., Executive Vice President and General Counsel of American Tower. Certain legal matters with respect to the offering of the notes will be passed upon for the underwriters by Gibson, Dunn &amp; Crutcher LLP, New York, New York. </w:t>
      </w:r>
    </w:p>
    <w:p>
      <w:pPr>
        <w:pStyle w:val="TextBody"/>
        <w:bidi w:val="0"/>
        <w:spacing w:before="480" w:after="0"/>
        <w:jc w:val="center"/>
        <w:rPr>
          <w:rFonts w:ascii="Times New Roman" w:hAnsi="Times New Roman"/>
          <w:b/>
          <w:sz w:val="20"/>
        </w:rPr>
      </w:pPr>
      <w:bookmarkStart w:id="16" w:name="suprom926217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supplement by reference to our Annual Report on Form 10-K for the year ended December 31, 2024, and the effectiveness of our internal control over financial reporting as of December 31, 2024,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480" w:after="0"/>
        <w:jc w:val="center"/>
        <w:rPr>
          <w:rFonts w:ascii="Times New Roman" w:hAnsi="Times New Roman"/>
          <w:b/>
          <w:sz w:val="20"/>
        </w:rPr>
      </w:pPr>
      <w:bookmarkStart w:id="17" w:name="suprom926217_15"/>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or the accompanying prospectus and should not be considered to be part of this prospectus supplement or the accompanying prospectus, except as described in the following paragraph. </w:t>
      </w:r>
    </w:p>
    <w:p>
      <w:pPr>
        <w:pStyle w:val="TextBody"/>
        <w:bidi w:val="0"/>
        <w:spacing w:before="20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and the accompanying prospectus. Certain information that we subsequently file with the SEC will automatically update and supersede information in this prospectus supplement, the accompanying prospectus and in our other filings with the SEC. We incorporate by reference the documents listed below, which we have already filed with the SEC, and any future filings we make with the SEC under Sections 13(a), 13(c), 14 or 15(d) of the Exchange Act, until all the notes offered by this prospectus supplement have been sold and all conditions to the consummation of such sales have been satisfied, except that we are not incorporating any information that has been or will be furnished (and not filed) with the SEC, unless such information is expressly incorporated herein or in the accompanying prospectus by a reference to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February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April 29,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Definitive Proxy Statement</w:t>
              </w:r>
            </w:hyperlink>
            <w:r>
              <w:rPr>
                <w:rFonts w:ascii="Times New Roman" w:hAnsi="Times New Roman"/>
                <w:sz w:val="20"/>
              </w:rPr>
              <w:t xml:space="preserve"> filed with the SEC on April 2, 2025 pursuant to Section 14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7, 2025</w:t>
              </w:r>
            </w:hyperlink>
            <w:r>
              <w:rPr>
                <w:rFonts w:ascii="Times New Roman" w:hAnsi="Times New Roman"/>
                <w:sz w:val="20"/>
              </w:rPr>
              <w:t>, </w:t>
            </w:r>
            <w:hyperlink r:id="rId7">
              <w:r>
                <w:rPr>
                  <w:rStyle w:val="InternetLink"/>
                  <w:rFonts w:ascii="Times New Roman" w:hAnsi="Times New Roman"/>
                  <w:sz w:val="20"/>
                </w:rPr>
                <w:t>January 28, 2025</w:t>
              </w:r>
            </w:hyperlink>
            <w:r>
              <w:rPr>
                <w:rFonts w:ascii="Times New Roman" w:hAnsi="Times New Roman"/>
                <w:sz w:val="20"/>
              </w:rPr>
              <w:t xml:space="preserve">,  </w:t>
            </w:r>
            <w:hyperlink r:id="rId8">
              <w:r>
                <w:rPr>
                  <w:rStyle w:val="InternetLink"/>
                  <w:rFonts w:ascii="Times New Roman" w:hAnsi="Times New Roman"/>
                  <w:sz w:val="20"/>
                </w:rPr>
                <w:t>February 5, 2025</w:t>
              </w:r>
            </w:hyperlink>
            <w:r>
              <w:rPr>
                <w:rFonts w:ascii="Times New Roman" w:hAnsi="Times New Roman"/>
                <w:sz w:val="20"/>
              </w:rPr>
              <w:t xml:space="preserve">,  </w:t>
            </w:r>
            <w:hyperlink r:id="rId9">
              <w:r>
                <w:rPr>
                  <w:rStyle w:val="InternetLink"/>
                  <w:rFonts w:ascii="Times New Roman" w:hAnsi="Times New Roman"/>
                  <w:sz w:val="20"/>
                </w:rPr>
                <w:t>March 5, 2025</w:t>
              </w:r>
            </w:hyperlink>
            <w:r>
              <w:rPr>
                <w:rFonts w:ascii="Times New Roman" w:hAnsi="Times New Roman"/>
                <w:sz w:val="20"/>
              </w:rPr>
              <w:t xml:space="preserve">,  </w:t>
            </w:r>
            <w:hyperlink r:id="rId10">
              <w:r>
                <w:rPr>
                  <w:rStyle w:val="InternetLink"/>
                  <w:rFonts w:ascii="Times New Roman" w:hAnsi="Times New Roman"/>
                  <w:sz w:val="20"/>
                </w:rPr>
                <w:t>March 6, 2025</w:t>
              </w:r>
            </w:hyperlink>
            <w:r>
              <w:rPr>
                <w:rFonts w:ascii="Times New Roman" w:hAnsi="Times New Roman"/>
                <w:sz w:val="20"/>
              </w:rPr>
              <w:t xml:space="preserve">,  </w:t>
            </w:r>
            <w:hyperlink r:id="rId11">
              <w:r>
                <w:rPr>
                  <w:rStyle w:val="InternetLink"/>
                  <w:rFonts w:ascii="Times New Roman" w:hAnsi="Times New Roman"/>
                  <w:sz w:val="20"/>
                </w:rPr>
                <w:t>March 11, 2025</w:t>
              </w:r>
            </w:hyperlink>
            <w:r>
              <w:rPr>
                <w:rFonts w:ascii="Times New Roman" w:hAnsi="Times New Roman"/>
                <w:sz w:val="20"/>
              </w:rPr>
              <w:t xml:space="preserve">,  </w:t>
            </w:r>
            <w:hyperlink r:id="rId12">
              <w:r>
                <w:rPr>
                  <w:rStyle w:val="InternetLink"/>
                  <w:rFonts w:ascii="Times New Roman" w:hAnsi="Times New Roman"/>
                  <w:sz w:val="20"/>
                </w:rPr>
                <w:t>March  14, 2025</w:t>
              </w:r>
            </w:hyperlink>
            <w:r>
              <w:rPr>
                <w:rFonts w:ascii="Times New Roman" w:hAnsi="Times New Roman"/>
                <w:sz w:val="20"/>
              </w:rPr>
              <w:t xml:space="preserve">, </w:t>
            </w:r>
            <w:hyperlink r:id="rId13">
              <w:r>
                <w:rPr>
                  <w:rStyle w:val="InternetLink"/>
                  <w:rFonts w:ascii="Times New Roman" w:hAnsi="Times New Roman"/>
                  <w:sz w:val="20"/>
                </w:rPr>
                <w:t>March  20, 2025</w:t>
              </w:r>
            </w:hyperlink>
            <w:r>
              <w:rPr>
                <w:rFonts w:ascii="Times New Roman" w:hAnsi="Times New Roman"/>
                <w:sz w:val="20"/>
              </w:rPr>
              <w:t xml:space="preserve"> and </w:t>
            </w:r>
            <w:hyperlink r:id="rId14">
              <w:r>
                <w:rPr>
                  <w:rStyle w:val="InternetLink"/>
                  <w:rFonts w:ascii="Times New Roman" w:hAnsi="Times New Roman"/>
                  <w:sz w:val="20"/>
                </w:rPr>
                <w:t>May 15, 2025</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116 Huntington Avenue, Boston, Massachusetts 02116, Tel: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647825" cy="847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647825" cy="847725"/>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Guarantees </w:t>
      </w:r>
    </w:p>
    <w:p>
      <w:pPr>
        <w:pStyle w:val="TextBody"/>
        <w:bidi w:val="0"/>
        <w:spacing w:before="0" w:after="0"/>
        <w:jc w:val="center"/>
        <w:rPr>
          <w:rFonts w:ascii="Times New Roman" w:hAnsi="Times New Roman"/>
          <w:b/>
          <w:sz w:val="24"/>
        </w:rPr>
      </w:pPr>
      <w:r>
        <w:rPr>
          <w:rFonts w:ascii="Times New Roman" w:hAnsi="Times New Roman"/>
          <w:b/>
          <w:sz w:val="24"/>
        </w:rPr>
        <w:t xml:space="preserve">Depositary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Purchase Contracts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The following are types of securities that we may offer, issue and sell from time to time, or that may be sold by selling securityholders from time to time, together or separately: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or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w:t>
            </w:r>
          </w:p>
        </w:tc>
      </w:tr>
    </w:tbl>
    <w:p>
      <w:pPr>
        <w:pStyle w:val="TextBody"/>
        <w:bidi w:val="0"/>
        <w:spacing w:before="160" w:after="0"/>
        <w:jc w:val="left"/>
        <w:rPr>
          <w:rFonts w:ascii="Times New Roman" w:hAnsi="Times New Roman"/>
          <w:sz w:val="20"/>
        </w:rPr>
      </w:pPr>
      <w:r>
        <w:rPr>
          <w:rFonts w:ascii="Times New Roman" w:hAnsi="Times New Roman"/>
          <w:sz w:val="20"/>
        </w:rPr>
        <w:t xml:space="preserve">Any of these securities may be offered together or separately and in one or more series, if any, in amounts, at prices and on other terms to be determined at the time of the offering and described in an accompanying prospectus supplement. You should read this prospectus and any prospectus supplement carefully before you invest. </w:t>
      </w:r>
    </w:p>
    <w:p>
      <w:pPr>
        <w:pStyle w:val="TextBody"/>
        <w:bidi w:val="0"/>
        <w:spacing w:before="160" w:after="0"/>
        <w:jc w:val="left"/>
        <w:rPr>
          <w:rFonts w:ascii="Times New Roman" w:hAnsi="Times New Roman"/>
          <w:sz w:val="20"/>
        </w:rPr>
      </w:pPr>
      <w:r>
        <w:rPr>
          <w:rFonts w:ascii="Times New Roman" w:hAnsi="Times New Roman"/>
          <w:sz w:val="20"/>
        </w:rPr>
        <w:t xml:space="preserve">Unless otherwise stated in a prospectus supplement, none of these securities other than our common stock will be listed on any securities exchange. Our common stock is listed on the New York Stock Exchange under the symbol AMT. </w:t>
      </w:r>
    </w:p>
    <w:p>
      <w:pPr>
        <w:pStyle w:val="TextBody"/>
        <w:bidi w:val="0"/>
        <w:spacing w:before="16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through underwriting syndicates managed or co-managed by one or more underwriters, or directly to purchasers, on a continuous or delayed basis. The prospectus supplement for each offering of securities will describe in detail the plan of distribution for that offering. </w:t>
      </w:r>
    </w:p>
    <w:p>
      <w:pPr>
        <w:pStyle w:val="TextBody"/>
        <w:bidi w:val="0"/>
        <w:spacing w:before="160" w:after="0"/>
        <w:jc w:val="left"/>
        <w:rPr>
          <w:rFonts w:ascii="Times New Roman" w:hAnsi="Times New Roman"/>
          <w:sz w:val="20"/>
        </w:rPr>
      </w:pPr>
      <w:r>
        <w:rPr>
          <w:rFonts w:ascii="Times New Roman" w:hAnsi="Times New Roman"/>
          <w:sz w:val="20"/>
        </w:rPr>
        <w:t xml:space="preserve">To the extent that any selling securityholder resells any securities, the selling securityholder may be required to provide you with this prospectus and a prospectus supplement identifying and containing specific information about the selling securityholder and the terms of the securities being offered. </w:t>
      </w:r>
    </w:p>
    <w:p>
      <w:pPr>
        <w:pStyle w:val="TextBody"/>
        <w:bidi w:val="0"/>
        <w:spacing w:before="160" w:after="0"/>
        <w:jc w:val="left"/>
        <w:rPr>
          <w:rFonts w:ascii="Times New Roman" w:hAnsi="Times New Roman"/>
          <w:b/>
          <w:sz w:val="24"/>
        </w:rPr>
      </w:pPr>
      <w:r>
        <w:rPr>
          <w:rFonts w:ascii="Times New Roman" w:hAnsi="Times New Roman"/>
          <w:b/>
          <w:sz w:val="24"/>
        </w:rPr>
        <w:t xml:space="preserve">Investing in the offered securities involves risks. You should consider the risk factors described in any applicable prospectus supplement and in the documents we incorporate by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or any applicable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Prospectus dated June 1,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oc926217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2">
              <w:r>
                <w:rPr>
                  <w:rStyle w:val="InternetLink"/>
                  <w:rFonts w:ascii="Times New Roman" w:hAnsi="Times New Roman"/>
                  <w:sz w:val="20"/>
                </w:rPr>
                <w:t>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3">
              <w:r>
                <w:rPr>
                  <w:rStyle w:val="InternetLink"/>
                  <w:rFonts w:ascii="Times New Roman" w:hAnsi="Times New Roman"/>
                  <w:sz w:val="20"/>
                </w:rPr>
                <w:t>American Tower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7">
              <w:r>
                <w:rPr>
                  <w:rStyle w:val="InternetLink"/>
                  <w:rFonts w:ascii="Times New Roman" w:hAnsi="Times New Roman"/>
                  <w:sz w:val="20"/>
                </w:rPr>
                <w:t>Description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8">
              <w:r>
                <w:rPr>
                  <w:rStyle w:val="InternetLink"/>
                  <w:rFonts w:ascii="Times New Roman" w:hAnsi="Times New Roman"/>
                  <w:sz w:val="20"/>
                </w:rPr>
                <w:t>Description of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9">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0">
              <w:r>
                <w:rPr>
                  <w:rStyle w:val="InternetLink"/>
                  <w:rFonts w:ascii="Times New Roman" w:hAnsi="Times New Roman"/>
                  <w:sz w:val="20"/>
                </w:rPr>
                <w:t>Description of Guarantees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1">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3">
              <w:r>
                <w:rPr>
                  <w:rStyle w:val="InternetLink"/>
                  <w:rFonts w:ascii="Times New Roman" w:hAnsi="Times New Roman"/>
                  <w:sz w:val="20"/>
                </w:rPr>
                <w:t>Description of Purchase Contracts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4">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5">
              <w:r>
                <w:rPr>
                  <w:rStyle w:val="InternetLink"/>
                  <w:rFonts w:ascii="Times New Roman" w:hAnsi="Times New Roman"/>
                  <w:sz w:val="20"/>
                </w:rPr>
                <w:t>Legal Ownership</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7">
              <w:r>
                <w:rPr>
                  <w:rStyle w:val="InternetLink"/>
                  <w:rFonts w:ascii="Times New Roman" w:hAnsi="Times New Roman"/>
                  <w:sz w:val="20"/>
                </w:rPr>
                <w:t>Material U.S. Federal Income Tax Considerations Related to Our Qualification and Taxation as a REIT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8">
              <w:r>
                <w:rPr>
                  <w:rStyle w:val="InternetLink"/>
                  <w:rFonts w:ascii="Times New Roman" w:hAnsi="Times New Roman"/>
                  <w:sz w:val="20"/>
                </w:rPr>
                <w:t>Material U.S. Federal Income Tax Considerations Relevant to Holders of Our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20">
              <w:r>
                <w:rPr>
                  <w:rStyle w:val="InternetLink"/>
                  <w:rFonts w:ascii="Times New Roman" w:hAnsi="Times New Roman"/>
                  <w:sz w:val="20"/>
                </w:rPr>
                <w:t>Validity of the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21">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oc926217_22">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We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or any prospectus supplement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926217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an automatic shelf registration process. Under this shelf process, we may periodically sell the securities described in this prospectus in one or more offerings. This prospectus provides a general description of our common stock, preferred stock, debt securities, guarantees, depositary shares, warrants, purchase contracts and units that we may offer. Each time we offer securities, we will provide a prospectus supplement that will contain specific information about the terms of that offering. The prospectus supplement may also add,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which (1) explains the specific terms of the securities being offered and (2) updates and changes information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in this prospectus for information about us, including our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the Company and American Tower are references to American Tower Corporation and its consolidated subsidiaries, unless it is clear from the context that we mean only American Tower Corporation. References herein to our predecessor corporation are references to American Tower Corporation prior to December 31, 2011, the effective date of the merger of American Tower Corporation with and into its wholly owned subsidiary, American Tower REIT Inc. (the surviving company, which was renamed American Tower Corporation after the merger). </w:t>
      </w:r>
    </w:p>
    <w:p>
      <w:pPr>
        <w:pStyle w:val="TextBody"/>
        <w:bidi w:val="0"/>
        <w:spacing w:before="480" w:after="0"/>
        <w:jc w:val="center"/>
        <w:rPr>
          <w:rFonts w:ascii="Times New Roman" w:hAnsi="Times New Roman"/>
          <w:b/>
          <w:sz w:val="20"/>
        </w:rPr>
      </w:pPr>
      <w:bookmarkStart w:id="19" w:name="toc926217_2"/>
      <w:bookmarkEnd w:id="19"/>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documents incorporated by reference contain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the effects of consolidation among companies in our industry and among our customers and other competitive and financial pressures, our ability to maintain or increase our market share, our plans to fund our future liquidity needs, our substantial leverage and debt service obligations, our future financing transactions, our future operating results, the level of future expenditures by companies in this industry and other trends in this industry, changes in zoning, tax and other laws and regulations and administrative and judicial decisions, economic, political and other events, particularly those relating to our international operations, our future capital expenditure levels, our expectations regarding the impacts of the coronavirus (COVID-19) pandemic and actions in response to the COVID-19 pandemic on our business and our operating results, the impact of technology changes on our industry and our business, our ability to remain qualified for taxation as a real estate investment trust for U.S. federal income tax purposes (REIT), the amount and timing of any future distributions including those we are required to make as a REIT, natural disasters and similar events, technology failures, including cybersecurity and data privacy incidents, and our ability to protect our rights to the land under our towers and buildings in which our data centers are located. These statements are based on our managements beliefs and assumptions, which in turn are based on currently available information. These assumptions could prove inaccurate.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we make in this prospectus, any prospectus supplement, the documents incorporated by reference or elsewhere speaks only as of the date on which we make it. New risks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uncertainties arise from time to time, and it is impossible for us to predict these events or how they may affect us. In any event, these and other important factors, including those set forth under the caption Risk Factors in a prospectus supplement and the documents incorporated by reference, may cause actual results to differ materially from those indicated by our forward-looking statements. We have no duty, and do not intend, to update or revise the forward-looking statements we make in this prospectus, any prospectus supplement, the documents incorporated by reference or elsewhere, except as may be required by law. In light of these risks and uncertainties, you should keep in mind that the future events or circumstances described in any forward-looking statement we make in this prospectus, any prospectus supplement, the documents incorporated by reference or elsewhere might not occur. </w:t>
      </w:r>
    </w:p>
    <w:p>
      <w:pPr>
        <w:pStyle w:val="TextBody"/>
        <w:bidi w:val="0"/>
        <w:spacing w:before="480" w:after="0"/>
        <w:jc w:val="center"/>
        <w:rPr>
          <w:rFonts w:ascii="Times New Roman" w:hAnsi="Times New Roman"/>
          <w:b/>
          <w:sz w:val="20"/>
        </w:rPr>
      </w:pPr>
      <w:bookmarkStart w:id="20" w:name="toc926217_3"/>
      <w:bookmarkEnd w:id="20"/>
      <w:r>
        <w:rPr>
          <w:rFonts w:ascii="Times New Roman" w:hAnsi="Times New Roman"/>
          <w:b/>
          <w:sz w:val="20"/>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government agencies and municipalities and tenants in a number of other industries.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lease primarily to enterprises, network operators, cloud providers and supporting service providers. American Tower operates as a REIT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Australia, Bangladesh, Brazil, Burkina Faso, Canada, Chile, Colombia, Costa Rica, France, Germany, Ghana, India, Kenya, Mexico, Niger, Nigeria, Paraguay, Peru, the Philippines, Poland, South Africa, Spain and Uganda.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116 Huntington Avenue, Boston, Massachusetts 02116. Our main telephone number at that address is (617) 375-7500. </w:t>
      </w:r>
    </w:p>
    <w:p>
      <w:pPr>
        <w:pStyle w:val="TextBody"/>
        <w:bidi w:val="0"/>
        <w:spacing w:before="480" w:after="0"/>
        <w:jc w:val="center"/>
        <w:rPr>
          <w:rFonts w:ascii="Times New Roman" w:hAnsi="Times New Roman"/>
          <w:b/>
          <w:sz w:val="20"/>
        </w:rPr>
      </w:pPr>
      <w:bookmarkStart w:id="21" w:name="toc926217_4"/>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offered securities involves risks. Before deciding to invest in our securities, you should carefully consider the discussion of risks and uncertainties under the heading Risk Factors contained in any applicable prospectus supplement and in the documents that are incorporated by reference in this prospectus. See the section entitled Where You Can Find More Information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26217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the securities described in this prospectus for our general corporate purposes, which may include financing possible acquisitions, refinancing our indebtedness and repurchasing our common stock. The net proceeds may be invested temporarily in short-term marketable securities or applied to repay short-term debt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in the event that the securities are sold by a selling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926217_6"/>
      <w:bookmarkEnd w:id="23"/>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common stock, preferred stock, debt securities, guarantees, depositary shares, warrants, purchase contracts and units that we or selling securityholders may sell from time to time. These summary descriptions are not meant to be complete descriptions of each security. The particular terms of any security will be described in a related prospectus supplement, if necessary. </w:t>
      </w:r>
    </w:p>
    <w:p>
      <w:pPr>
        <w:pStyle w:val="TextBody"/>
        <w:bidi w:val="0"/>
        <w:spacing w:before="480" w:after="0"/>
        <w:jc w:val="center"/>
        <w:rPr>
          <w:rFonts w:ascii="Times New Roman" w:hAnsi="Times New Roman"/>
          <w:b/>
          <w:sz w:val="20"/>
        </w:rPr>
      </w:pPr>
      <w:bookmarkStart w:id="24" w:name="toc926217_7"/>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The description below summarizes the general terms of our common stock. This section is a summary, and it does not describe every aspect of our common stock. This summary is subject to, and qualified in its entirety by, reference to the provisions of our Restated Certificate of Incorporation (Certificate of Incorporation) and our Amended and Restated By-Laws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one billion (1,000,000,000) shares of common stock with one cent ($0.01)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all matters upon which stockholders are entitled to vote, the holders of the outstanding shares of common stock are entitled to one (1) vote in person or by proxy for each share of common stock outstanding in the name of such stockholders on the record of stockholders. Generally, all matters to be voted on by stockholders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rights, if any, of the holders of any outstanding series of preferred stock or any class or series of stock having a preference over the common stock with respect to the payment of dividends and other distributions, dividends and other distributions may be declared and paid on the common stock from time to time and in amounts as our board of directors may determine. We pay regular dividends and other distributions, but the amount, timing and frequency of any distribution are at the sole discretion of our board of directors. Dividends and other distributions are declared based upon various factors, including without limitation distributions required to maintain our qualification for taxation as a REIT. The loan agreements for our credit facilities contain covenants that restrict our ability to pay dividends and other distributions unless certain financial covenants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 up, whether voluntarily or involuntarily, the holders of common stock are entitled to share ratably in all assets available for distribution after payment in full to creditors and payment in full to holders of preferred stock then outstanding of any amount required to be paid to them. Neither the merger, consolidation or business combination of American Tower with or into any other entity in which our stockholders receive capital stock and/or other securities (including debt securities) of the surviving entity (or the direct or indirect parent entity thereof), nor the sale, lease or transfer by us of any part of our business and assets, nor the reduction of our capital stock, shall be deemed to be a voluntary or involuntary liquidation, dissolution or winding 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have no preemptive, subscription or redemption rights and are not entitled to the benefit of any sinking fund. The shares of common stock presently outstanding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may not subdivide, combine, or pay or declare any stock dividend on, the outstanding shares of common stock unless all outstanding shares of common stock are subdivided or combined or the holders of common stock receive a proportionate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and Transfer </w:t>
      </w:r>
    </w:p>
    <w:p>
      <w:pPr>
        <w:pStyle w:val="TextBody"/>
        <w:bidi w:val="0"/>
        <w:spacing w:before="120" w:after="0"/>
        <w:jc w:val="left"/>
        <w:rPr>
          <w:rFonts w:ascii="Times New Roman" w:hAnsi="Times New Roman"/>
          <w:sz w:val="20"/>
        </w:rPr>
      </w:pPr>
      <w:r>
        <w:rPr>
          <w:rFonts w:ascii="Times New Roman" w:hAnsi="Times New Roman"/>
          <w:sz w:val="20"/>
        </w:rPr>
        <w:t xml:space="preserve">For us to comply with and have maximum business flexibility under the Federal Communications Laws (defined in our Certificate of Incorporation and including the Communications Act of 1934, as amended), and for us to qualify as a REIT under the Internal Revenue Code of 1986, as amended (the Code), our Certificate of Incorporation contains restrictions on stock ownership and stock transfers. These ownership and transfer restrictions could delay, defer or prevent a transaction or a change in control that might involve a premium price for our common stock or otherwise be in the best interests of the stockholders. </w:t>
      </w:r>
    </w:p>
    <w:p>
      <w:pPr>
        <w:pStyle w:val="TextBody"/>
        <w:bidi w:val="0"/>
        <w:spacing w:before="240" w:after="0"/>
        <w:jc w:val="left"/>
        <w:rPr>
          <w:rFonts w:ascii="Times New Roman" w:hAnsi="Times New Roman"/>
          <w:sz w:val="20"/>
        </w:rPr>
      </w:pPr>
      <w:r>
        <w:rPr>
          <w:rFonts w:ascii="Times New Roman" w:hAnsi="Times New Roman"/>
          <w:i/>
          <w:sz w:val="20"/>
        </w:rPr>
        <w:t>Federal Communications Laws Restrictions</w:t>
      </w:r>
      <w:r>
        <w:rPr>
          <w:rFonts w:ascii="Times New Roman" w:hAnsi="Times New Roman"/>
          <w:sz w:val="20"/>
        </w:rPr>
        <w:t xml:space="preserve">. Our Certificate of Incorporation permits us to restrict the ownership or proposed ownership of shares of our stock if that ownership or proposed ownership (i) is or could be inconsistent with, or in violation of, Federal Communications Laws (as defined in our Certificate of Incorporation); (ii) limits or impairs, or could limit or impair, our business activities or proposed business activities under the Federal Communications Laws; or (iii) subjects or could subject us to CFIUS Review (as defined in our Certificate of Incorporation) or to any provision of the Federal Communications Laws, including those requiring any review, authorization or approval, to which we would not be subject but for that ownership or proposed ownership, including, without limitation, Section 310 of the Communications Act and regulations relating to foreign ownership, multiple ownership or cross-ownership (clauses (i) through (iii) above are collectively referred to as FCC Regulatory Limitations). We reserve the right to require any person to whom a FCC Regulatory Limitation may apply to promptly furnish to us such information (including, without limitation, information with respect to the citizenship, other ownership interests and affiliations) as we may request. If such person fails to furnish all of the information we request, or we conclude that such persons ownership or proposed ownership of our stock, or the exercise by such person of any rights of stock ownership in connection with our stock, may result in a FCC Regulatory Limitation, we reserve the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transfer of shares of our common stock and/or preferred stock to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fullest extent permitted by law, suspend those rights of stock ownership the exercise of which may cause the FCC Regulatory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conversion of any or all shares of our preferred stock held by such person into a number of shares of our common stock of equivalent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the shares of our common stock and/or our preferred stock held by such person pursuant to the procedures set forth below;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and all appropriate remedies, at law or in equity, in any court of competent jurisdiction, against any such person, with a view toward obtaining the information or preventing or curing any situation that may cause a FCC Regulatory Limitation.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procedures apply to the redemption of such persons shares of our common stock and/or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of any redeemed shares of our common stock or preferred stock shall be the fair market value (as defined in our Certificate of Incorporation) of those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may be paid in cash or any other of our debt or equity securities or any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in its sole discretion may decide to only redeem some (and not all) of such persons shares, which may include the selection of the most recently purchased or acquired shares, selection by lot or selection by such other manner as the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provide at least 15 days prior written notice of the date on which we plan to effect the redemption (unless waived by such person); provided, that the redemption date may be the date on which written notice is given to such person if the cash (or any other of our debt or equity securities) necessary to effect the redemption has been deposited in trust for the benefit of such person and is subject to immediate withdrawal by such person upon surrender of the stock certificates for the redeemed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date of the redemption, any and all rights relating to the redeemed shares shall cease and terminate and such person shall only possess the right to obtain cash (or such other of our debt or equity securities) payable upon the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terms and conditions as the board of directors may determine. </w:t>
            </w:r>
          </w:p>
        </w:tc>
      </w:tr>
    </w:tbl>
    <w:p>
      <w:pPr>
        <w:pStyle w:val="TextBody"/>
        <w:bidi w:val="0"/>
        <w:spacing w:before="240" w:after="0"/>
        <w:jc w:val="left"/>
        <w:rPr>
          <w:rFonts w:ascii="Times New Roman" w:hAnsi="Times New Roman"/>
          <w:sz w:val="20"/>
        </w:rPr>
      </w:pPr>
      <w:r>
        <w:rPr>
          <w:rFonts w:ascii="Times New Roman" w:hAnsi="Times New Roman"/>
          <w:i/>
          <w:sz w:val="20"/>
        </w:rPr>
        <w:t>REIT Restrictions</w:t>
      </w:r>
      <w:r>
        <w:rPr>
          <w:rFonts w:ascii="Times New Roman" w:hAnsi="Times New Roman"/>
          <w:sz w:val="20"/>
        </w:rPr>
        <w:t xml:space="preserve">. For us to qualify as a REIT under the Code, our stock must be beneficially owned by 100 or more persons during at least 335 days of a taxable year of 12 months or during a proportionate part of a shorter taxable year. In addition, not more than 50% of the value of the outstanding shares of our stock may be owned, directly or indirectly, by five or fewer individuals (as defined in the Code to include specified tax-exempt entities) during the last half of a taxable year. To ensure that these ownership requirements and other requirements for continued qualification as a REIT are met and to otherwise protect us from the consequences of a concentration of ownership among our stockholders, our Certificate of Incorporation contains provisions restricting the ownership or transfer of shares 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relevant sections of our Certificate of Incorporation provide that, subject to the exceptions and the constructive ownership rules described below, no person (as defined in our Certificate of Incorporation) may beneficially or constructively own more than 9.8% in value of our aggregate outstanding stock, or more than 9.8% in value or number (whichever is more restrictive) of the outstanding shares of any class or series of our stock. We refer to these restrictions as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constructive ownership rules under the Code are complex and may cause stock owned, actually or constructively, by a group of related individuals or entities to be treated as owned by one individual or entity. As a result, the acquisition of less than 9.8% in value of our aggregate outstanding stock or less than 9.8% in value or number of our outstanding shares of any class or series of stock (including through the acquisition of an interest in an entity that owns, actually or constructively, any class or series of our stock) by an individual or entity could nevertheless cause that individual or entity, or another individual or entity, to own, constructively or beneficially, in excess of 9.8% in value of our aggregate outstanding stock or 9.8% in value or number of our outstanding shares of any class or series of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ownership limits, our Certificate of Incorporation prohibits any person from actually or constructively owning shares of our stock to the extent that such ownership would cause any of our income that would otherwise qualify as rents from real property for purposes of Section 856(d) of the Code to fail to qualify as such.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in its sole discretion, exempt a person from the ownership limits and certain other REIT limits on ownership and transfer of our stock described above, and may establish a different limit on ownership for that person. However, the board of directors may not exempt any person whose ownership of outstanding stock in violation of these limits would result in our failing to qualify as a REIT. In order to be considered by the board of directors for an exemption or a different limit on ownership, a person must make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undertakings as are reasonably necessary to ascertain that the persons beneficial or constructive ownership of our stock will not now or in the future jeopardize our ability to qualify as a REIT and must agree that any violation or attempted violation of those representations or undertakings (or other action that is contrary to the ownership limits and certain other REIT limits on ownership and transfer of our stock described above) will result in the shares of stock being automatically transferred to a trust as described below. As a condition of its waiver, the board of directors may require an opinion of counsel or United States Internal Revenue Service (IRS) ruling satisfactory to it with respect to our qualification as a REIT and may impose such other conditions as it deems appropriate in connection with the granting of the exemption or different limit on ownership.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waiver of the ownership limits or at any other time, the board of directors may from time to time increase the ownership limits for one or more persons and decrease the ownership limits for all other persons; provided that the new ownership limits may not, after giving effect to such increase and under certain assumptions stated in our Certificate of Incorporation, result in us being closely held within the meaning of Section 856(h) of the Code (without regard to whether the ownership interests are held during the last half of a taxable year). Reduced ownership limits will not apply to any person whose percentage ownership of our aggregate outstanding stock or of the shares of a class or series of our stock, as applicable, is in excess of such decreased ownership limits until such time as that persons percentage of our aggregate outstanding stock or of the shares of a class or series of stock, as applicable, equals or falls below the decreased ownership limits, but any further acquisition of shares of our stock or of a class or series of our stock, as applicable, in excess of such percentage ownership of shares of stock or of a class or series of stock will be in violation of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further prohibits: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transferring shares of our stock if the transfer would result in our aggregate outstanding stock being beneficially owned by fewer than 100 persons (determined without reference to any rules of attribution);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beneficially or constructively owning shares of our stock if that ownership would result in our failing to qualify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on transferability and ownership will not apply if the board of directors determines that it is no longer in our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or intends to acquire, beneficial or constructive ownership of shares of our stock that will or may violate the ownership limits or any of the other foregoing restrictions on transferability and ownership will be required to give notice to us immediately (or, in the case of a proposed or attempted transaction, at least 15 days prior to the transaction) and provide us with such other information as we may request in order to determine the effect, if any, of the transfer on our qualification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if there is any purported transfer of our stock or other event or change of circumstances that, if effective or otherwise,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Any ordinary dividend paid to the purported transferee prior to our discovery that the shares had been automatically transferred to a trust as described above must be repaid to the trustee upon demand. Our Certificate of Incorporation also provides for adjustments to the entitlement to receive extraordinary dividends and other distributions as between the purported transferee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 If the transfer to the trust as described above is not automatically effective for any reason, to prevent violation of the applicable restriction contained in our Certificate of Incorporation, the transfer of the excess shares will be automatically void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Shares of our stock transferred to the trustee are deemed to be offered for sale to us or our designee at a price per share equal to the lesser of (i) the price per share in the transaction that resulted in the transfer to the trust or, if the purported transferee did not give value for the shares in connection with the event causing the shares to be held in trust (e.g., in the case of a gift, devise or other similar transaction), the market price on the day of the event and (ii) the market price on the date we accept, or our designee accepts, the offer. We have the right to accept the offer until the trustee has sold the shares of our stock held in the trust pursuant to the clauses discussed below. Upon a sale to us, the interest of the charitable beneficiary in the shares sold terminates and the trustee must distribute the net proceeds of the sale to the purported transferee, except that the trustee may reduce the amount payable to the purported transferee by the amount of any ordinary dividends that we paid to the purported transferee prior to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and any ordinary dividends held by the trustee with respect to the stock will be paid to the charitable beneficiary. </w:t>
      </w:r>
    </w:p>
    <w:p>
      <w:pPr>
        <w:pStyle w:val="TextBody"/>
        <w:bidi w:val="0"/>
        <w:spacing w:before="240" w:after="0"/>
        <w:jc w:val="left"/>
        <w:rPr>
          <w:rFonts w:ascii="Times New Roman" w:hAnsi="Times New Roman"/>
          <w:sz w:val="20"/>
        </w:rPr>
      </w:pPr>
      <w:r>
        <w:rPr>
          <w:rFonts w:ascii="Times New Roman" w:hAnsi="Times New Roman"/>
          <w:sz w:val="20"/>
        </w:rPr>
        <w:t xml:space="preserve">If we do not buy the shares, the trustee must, as soon as reasonably practicable (and, if the shares are listed on a national securities exchange,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ordinary dividends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ordinary dividends held by the trustee with respect to such stock. In addition, if prior to discovery by us that shares of stock have been transferred to a trust, the shares of stock are sold by a purported transferee, then the shares will be deemed to have been sold on behalf of the trust and, to the extent that the purported transferee received an amount for or in respect of the shares that exceeds the amount that the purported transferee was entitled to receive as described above, the excess amount will be paid to the trustee upon demand. The purported transferee has no rights in the shares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indemnified by us or from the proceeds of sales of stock in the trust for its costs and expenses reasonably incurred in connection with conducting its duties and satisfying its obligations under our Certificate of Incorporation. The trustee will also be entitled to reasonable compensation for services provided as determined by agreement between the trustee and the board of directors, which compensation may be funded by us or the trust. If we pay any such indemnification or compensation, we are entitled on a first priority basis (subject to the trustees indemnification and compensation rights) to be reimbursed from the trust. To the extent the trust funds any such indemnification and compensation, the amounts available for payment to a purported transferee (or the charitable beneficiary) would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by us and must be unaffiliated with us and with any purported transferee. Prior to the sale of any shares by the trust, the trustee will receive, in trust for the beneficiary, all distributions paid by us with respect to the shares, and may also exercise all voting rights with respect to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General Corporation Law of the State of Delaware (the DGCL), effective as of the date that the shares have been transferred to the trust, the trustee will have the authority, at the trustees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rescind as void any vote cast by a purported transferee prior to our discovery that the shares have been transferred to the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recast the vote in accordance with the desires of the trustee acting for the benefit of the charitable beneficiary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if we have already taken corporate action, then the trustee may not rescind and recast the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our board of directors determines that a proposed or purported transfer would violate the restrictions on ownership and transfer of our stock set forth in our Certificate of Incorporation, our board of directors may take such action as it deems advisable to refuse to give effect to or to prevent the violation, including but not limited to, causing us to repurchase shares of our stock, refusing to give effect to the transfer on our books or instituting proceedings to enjoin the transfer.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end of each REIT taxable year, every owner of 5% or more (or such lower percentage as required by the Code or the Treasury regulations promulgated thereunder) of the outstanding shares of any class or series of our stock, must, upon request, provide us written notice of the persons name and address, the number of shares of each class and series of our stock that the person beneficially owns and a description of the manner in which the shares are held. Each such owner must also provide us with such additional information as we may request in order to determine the effect, if any, of such owners beneficial ownership on our qualification as a REIT and to ensure compliance with the ownership limits. In addition, each beneficial owner or constructive owner of our stock, and any person (including the stockholder of record) who is holding shares of our stock for a beneficial owner or constructive owner will, upon demand, be required to provide us with such information as we may request in good faith in order to determine our qualification as a REIT and to comply with the requirements of any taxing authority or governmental authority or to determine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 rights, preferences and privileges of the holders of our common stock may be affected by the rights, preferences and privileges granted to holders of preferred stock. Because our board of directors will have the power to establish the preferences and rights of each series of preferred stock, it may afford the stockholders of any series of preferred stock preferences, powers and rights senior to the rights of holders of shares of our common stock that could have the effect of delaying, deferring or preventing a change in control of American Tower. See Description of Preferred Stock for more information about our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Business Combination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Section 203 prohibits a publicly held Delaware corporation from engaging in a business combination with an interested stockholder for a period of three years after the person became an interested stockholder, unless the business combination or the transaction in which the stockholder became an interested stockholder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the prior three years owned, 15% or more of the corporations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and the nomination of candidates for election of directors, other than nominations made by, or at the direction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proxy access provisions in our By-Laws permit a stockholder, or a group of up to 20 stockholders who have owned at least three percent (3%) of the voting power of outstanding American Tower common stock continuously for at least three (3) years, to nominate and include in our proxy materials, qualifying director nominees constituting up to 25% of our Board of Directors. To be timely, any proxy access notice must be delivered in writing to our secretary not less than 120 days and not more than 150 days prior to the first anniversary of the preceding years annual meeting; provided that in the event that the date of the annual meeting is advanced by more than 30 days or delayed (other than as a result of adjournment) by more than 70 days from the one-year anniversary of the preceding years annual meeting, a stockholders notice must be received no later than the later of (a) the 120th day prior to such annual meeting and (b) the 10th day following the day on which notice of the date of such annual meeting was first publicly disclosed by us. The complete proxy access provisions for director nominations are set forth in our By-Laws. </w:t>
      </w:r>
    </w:p>
    <w:p>
      <w:pPr>
        <w:pStyle w:val="TextBody"/>
        <w:bidi w:val="0"/>
        <w:spacing w:before="240" w:after="0"/>
        <w:jc w:val="left"/>
        <w:rPr>
          <w:rFonts w:ascii="Times New Roman" w:hAnsi="Times New Roman"/>
          <w:sz w:val="20"/>
        </w:rPr>
      </w:pPr>
      <w:r>
        <w:rPr>
          <w:rFonts w:ascii="Times New Roman" w:hAnsi="Times New Roman"/>
          <w:sz w:val="20"/>
        </w:rPr>
        <w:t xml:space="preserve">These advance notice and proxy access procedures may impede stockholders ability to bring matters before a meeting of stockholders or make nominations for directors at a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includes provisions eliminating the personal liability of our directors to the fullest extent permitted by the DGCL and indemnifying our directors and officers to the fullest extent permitted by the DGCL. 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and officers, even though a derivative action, if successful, might otherwise benefit us and our stockholders. In addition, the value of investments in our securities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any or all of the directors may be removed at any time, either with or without cause, by a vote of a majority of the shares outstanding and entitled to vote. This provision may delay or prevent our stockholders from removing incumbent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ownership and transfer restrictions contained in our Certificate of Incorporation, and described above, may have the effect of inhibiting or impeding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our By-Laws provide that our By-Laws may be altered, amended, changed or repealed by (i) the approval or consent of not less than a majority of the total outstanding shares of stock entitled to vote generally in the election of directors or (ii) a majority of the entire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Change of control and merger, consolidation and asset sale provisions in our indentures for our outstanding notes and loan agreements for our credit facilities may discourage a takeover attempt. These provisions may make acquiring us more difficult.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traded on the New York Stock Exchange (the NYSE) under the symbol AMT.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Inc., P.O. Box 505000, Louisville, KY 40233, (866) 201-5087.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926217_8"/>
      <w:bookmarkEnd w:id="25"/>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the board of directors is empowered, without any approval of our stockholders, to issue shares of preferred stock in one or more series, to establish the number of shares in each series, and to fix the relative rights, preferences, powers, qualifications, limitations and restrictions of each such series. The prospectus supplement relating to any series of preferred stock we may offer will contain the specific terms of that series,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redeemable, and if so, the prices at which, and the terms and conditions on which, the shares may be redeemed, including the date or dates upon or after which the shares will be redeemable and the amount per share payable in case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shares of the series will be entitled to receive dividends or other distributions and, if so, the distribution rate on the shares, any restriction, limitation or condition upon the payment of the dividends or other distributions, whether dividends or other distributions will be cumulative, and the dates on which dividends or other distributions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preferential amount payable upon shares of the series in the event of voluntary or involuntary liquidation, dissolution or winding up of American Tower;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the series will be guaranteed;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convertible, or exchangeable for, shares of any other class or classes of stock or of any other series of stock, or any other securities of American Tower, and if so, the terms and conditions of such conversion or exchange, including price or rates of conversion at which, and the terms and conditions on which, the shares of the series may be converted or exchanged into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and conditions of the purchase or sinking fund provisions, if any,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each series and the number of shares that will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 if any, of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rights, preferences or limitations.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we are authorized to issue up to twenty million (20,000,000) shares of preferred stock, par value $0.01 per share. Some of the provisions described in the section Description of Common StockRestrictions on Ownership and Transfer may also apply to any shares of preferred stock we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926217_9"/>
      <w:bookmarkEnd w:id="26"/>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that will apply to any debt securities that we may offer pursuant to this prospectus and an applicable prospectus supplement. The specific terms of any offered debt securities, and the extent to which the general terms described in this section apply to these debt securities, will be described in the applicable prospectus supplement at the time of the offering. The prospectus supplement, which we will file with the SEC, may or may not modify the general terms found in this prospectus. For a complete description of any series of debt securities, you should read both this prospectus and the prospectus supplement that applies to that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the terms we, our, us and American Tower refer solely to American Tower Corporation (and not to any of its affiliates, including subsidiaries). As used in this prospectus, debt securities means the debentures, notes, bonds and other evidences of indebtedness offered pursuant to this prospectus and an applicable prospectus supplement and authenticated by the relevant trustee and delivered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under an indenture dated as of June 1, 2022 between us and U.S. Bank Trust Company, National Association, as trustee (the Senior Indenture). The Senior Indenture is included as an exhibit to the registration statement of which this prospectus is a part. We may issue subordinated debt under a separate indenture to be entered into between us and U.S. Bank Trust Company, National Association, as trustee, as supplemented from time to time. This indenture, as supplemented, is referred to in this prospectus as the Subordinated Indenture. References to the indenture in this prospectus refer to the Senior Indenture or the Subordinated Indenture, as applicable. References to the trustee in this prospectus refer to U.S. Bank Trust Company, National Association. If a different trustee or a different indenture for a series of debt securities is used, those details will be provided in a prospectus supplement and the forms of any other indentures will be filed with the SEC at the time they are used.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 and the debt securities, and indicated which material provisions will be described in an applicable prospectus supplement. For further information, you should read the indenture. The following summary is qualified in its entirety by the provisions of the indenture, including the provisions made part thereof by reference to the Trust Indenture Act of 1939, as amended (the Trust Indenture Act).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under the indenture are not limited in aggregate principal amount. We may issue debt securities at one or more times in one or more series. Each series of debt securities may have different terms. The terms of any series of debt securities will be described in, or determined by action taken pursuant to, a resolution of our board of directors or a committee appointed by our board of directors or in a supplement to the indenture relating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that series, except for the date of original issuance and the offering price, and will be consolidated with, and form a single series with, those outstanding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series of debt securities that we may offer will state the price or prices at which the debt securities will be offered and will contain the specific terms of that series.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each of the principal of and premium, if any, on the securities of the series is payable and the method of determination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securities of the series will bear interest, if any, or the method of calculating such rate or rates of interest, the date or dates from which interest will accrue or the method by which the date or dates will be determined, the interest payment dates on which any interest will be payable and the record date,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premium, if any) and interest, if any, on securities of the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securities may be exchanged or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the currency or currencies (including currency unit or units) in which, and the other terms and conditions upon which, securities of the series may be redeemed, in whole or in part, at our option, if we are to have that option with respect to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securities of the series in whole or in part pursuant to any sinking fund or analogous provision or upon the happening of a specified event or at the option of a holder thereof and the period or periods within which, the price or prices at which, and the other terms and conditions upon which securities of the series will be redeemed or purchased, in whole or in part, pursuant to such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multiples of $1,000 thereafter, the denominations in which securities of the series are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(including currency unit or units) in which payments of principal of (and premium, if any) and interest, if any, on the securities of the series will or may be payable, or in which the securities of the series will be denominated,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payments of principal of (and premium, if any), or interest, if any, on the securities of the series are to be made, at our or a holders election, in a currency or currencies (including currency unit or units) other than that in which the securities are denominated or designated to be payable, the currency or currencies (including currency unit or units) in which the payments are to be made, the terms and conditions of the payments and the manner in which the exchange rate with respect to the payments will be determined,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of (and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those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terms and conditions upon which, the securities of the series may or must be converted into our securities or exchanged for our securities or those of another enterprise;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securities of the series which will be payable upon declaration of acceleration of the maturity thereof pursuant to an event of default or the method by which that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modifications of or additions to the events of default or covenants with respect to securities of the series, or any modifications of or additions to subordination provisions with respect to the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subject to legal defeasance or covenant defeasance as provided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trustee, the identity of the registrar and any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of the series will be issued in whole or in part in global form, (i) the depositary for the global securities, (ii) the form of any legend that will be borne by the global securities, (iii) whether beneficial owners of interests in any securities of the series in global form may exchange those interests for certificated securities of that series and of like tenor of any authorized form and denomination and (iv) the circumstances under which any such exchange may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if any payment date with respect to debt securities falls on a day that is not a business day, we will make the payment on the next business day. The payment made on the next business day will be treated as though it had been made on the original payment date, and no interest will accrue on the payment for the additional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direct, unconditional, unsecured and unsubordinated obligations and will rank </w:t>
      </w:r>
      <w:r>
        <w:rPr>
          <w:rFonts w:ascii="Times New Roman" w:hAnsi="Times New Roman"/>
          <w:i/>
          <w:sz w:val="20"/>
        </w:rPr>
        <w:t xml:space="preserve">pari passu </w:t>
      </w:r>
      <w:r>
        <w:rPr>
          <w:rFonts w:ascii="Times New Roman" w:hAnsi="Times New Roman"/>
          <w:sz w:val="20"/>
        </w:rPr>
        <w:t xml:space="preserve">with all of our other unsecured senior obligations. However, the senior debt securities will be effectively junior to all of our secured obligations to the extent of the value of the assets securing those obligations. The debt securities will also be structurally subordinated to all liabilities, including trade payables and lease obligations, of our subsidiaries. The subordinated debt securities will be our direct, unconditional, unsecured and subordinated obligations and will be junior in right of payment to our existing and future senior obligations. The extent of subordination of the subordinated debt securities will be described below under Additional Provisions Applicable to Subordinated Debt Securities  Subordination of Subordinated Debt Securities, or as described in an accompanying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or in the prospectus supplement with respect to any series of debt securities, neither we nor our subsidiaries are restricted by the indenture from paying dividends or making distributions on our or their capital stock or purchasing or redeeming our or their capital stock. The indenture does not require the maintenance of any financial ratios or specified levels of net worth or liquidity. In addition, with certain exceptions, the indenture does not contain any covenants or other provisions that would limit our or our subsidiaries right to incur additional indebtedness or limit the amount of additional indebtedness, including senior or secured indebtedness that we can create, incur, assume or guarantee.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covenants contained in the indenture will be applicable to the series of debt securities to which the prospectus supplement relates so long as any of the debt securities of that series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furnish to the trustee, within 30 days after we are required to file such annual and quarterly reports, information, documents and other reports with the SEC, copies of our annual report and of the information, documents and other reports that we are required to file with the SEC pursuant to Section 13 or 15(d) of the Securities Exchange Act of 1934, as amended (the Exchange Act). The filing of the reports specified in Section 13 or 15(d) of the Exchange Act shall satisfy these reporting requirements. We will also comply with the other provisions of Section 314(a)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may not consolidate or merge with or into, or sell or convey all or substantially all of our assets in any one transaction or series of related transactions to another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resulting, surviving or transferee corporation, or our successor is a corporation organized under the laws of the United States, any state or the District of Columbia and expressly assumes by supplemental indenture all of our obligations under the indenture and all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default for the purpose of this provision means any event that is, or with the passage of time or the giving of notice or both would become,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a lease of all or substantially all of our assets, the successor will be substituted for us in the indenture with the same effect as if it had been an original party to such indenture. Thereafter, the successor may exercise our rights and powers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In the indenture, the term event of default with respect to debt securities of any series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interest, if any, on the debt securities of that series for 30 days after the date payment is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principal of or premium, if any, on the debt securities of that series when due, at maturity, upon any redemption,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comply with other covenants in the indenture or the debt securities of that series for 90 days after notice that compliance was required;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relating to certain events of bankruptcy or insolvency of us or breach of our reporting obligation) has occurred and is continuing, the trustee or the holders of not less than 25% in aggregate principal amount of the debt securities of that series may declare the entire principal of all the debt securities of the affected series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certain events of bankruptcy or insolvency of us occurs and is continuing, then the principal amount of all of the outstanding debt securities and any accrued interest thereon will automatically become due and payable immediately, without any declaration or other act by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aggregate principal amount of the debt securities of any series may, after satisfying conditions, rescind and annul any of the above-described declarations and consequences involving the debt securities of that series, except a continuing default or event of default in the payment of principal of, or interest or premium, if any, on the debt securities of the affected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imposes limitations on suits brought by holders of debt securities of any series against us. Except for actions for payment of overdue principal or interest, no holder of a debt security of any series may institute any action against us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an event of default and the continuance of that event of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or holders of at least 25% in aggregate principal amount of the outstanding debt securities of that series have requested that the trustee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have offered to the trustee security or indemnity reasonably satisfactory to the trustee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instituted the action within 60 days of the receipt of such notice,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received inconsistent direction by the holders of a majority in principal amount of the outstanding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annually with the trustee a certificate, signed by two officers of our company, stating whether or not the officers know of any default by us in the performance, observance or fulfillment of any condition or covenant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sole remedy for any breach of our obligation under the indenture to file or furnish reports or other financial information pursuant to section 314(a)(1) of the Trust Indenture Act (or as otherwise required by the indenture) shall be the payment of liquidated damages, and the holders will not have any right under the indenture to accelerate the maturity of the debt securities of the affected series as a result of any such breach. If any such breach continues for 90 days after notice thereof is given in accordance with the indenture, we will pay liquidated damages to all the holders of the debt securities of that series at a rate per annum equal to 0.25% per annum of the principal amount of the debt securities of that series from the 90th day following such notice to but not including the date on which the event of default relating to the reporting obligations referred to in this paragraph shall have been cured or waived. The provisions of the indenture described in this paragraph will not affect the rights of the holders of the debt securities of any series in the event of the occurrence of any other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the two succeeding paragraphs, the indenture provides that we and the trustee thereunder may, with the consent of the holders of not less than a majority in aggregate principal amount of the debt securities of any series then outstanding (including, without limitation, consents obtained in connection with a purchase of, or tender offer or exchange offer for, debt securities of that series), voting as one class, add any provisions to, or change in any manner, eliminate or modify in any way the provisions of, the indenture or modify in any manner the rights of the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amend or supplement the indenture or the debt securities of any series without the consent of any 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 successor corporation of our obligations under the indenture and the debt securities of any series in the case of a merger, amalgamation,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or events of default(s) for the protection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defect or inconsistency in the indenture or make any other provisions as we may deem necessary or desirable; provided, however, that no such provisions will materially adversely affect the interests of the holders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in accordance with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debt securities in addition to, or in place of, certificated debt securities of any series in a manner that does not materially and adversely affect any holders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indenture or the debt securities of any series to any provision of this Description of Debt Securities or Description of Securities in the prospectus supplement for that series to the extent that the provision in that description was intended to be a verbatim recitation of a provision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debt securities of any series in accordance with the limitations set forth in the indenture as of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all or any series of debt securities or that does not adversely affect the legal rights under the indenture of any such holder or any holder of a beneficial interest in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our obligations in respect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subject to the provisions of the supplemental indenture for that series, to provide for conversion rights, exchange rights and/or repurchase rights of holders of that series in connection with any reclassification or change of our common stock or in the event of any amalgamation, consolidation, merger or sale of all or substantially all of the assets of us or our subsidiaries substantially as an entirety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reduce the conversion price or exchange price applicable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increase the conversion rate or exchange ratio in the manner described in the supplemental indenture for that series, provided that the increase will not adversely affect the interests of the holders of that series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amend or supplement the indenture or the debt securities of any series as described in the prospectus supplement with respect to that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trustee may not,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final maturity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aggregate principal amount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amend or modify the calculation, or time of payment, of interest, including defaulted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or alter the method of computation of any amount payable on any debt security upon redemption, prepayment or purchase of any debt security or otherwise alter or waive any of the provisions with respect to the redemption of any debt security, or waive a redemption payment with respect to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or interest or premium, if any, on any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any debt security when due, or otherwise make any change in the provisions of the indenture relating to waivers of past defaults or the rights of holders of any debt security to receive payments of principal of, or premium, if any, or interest on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of the indenture with respect to modification and waiver (including waiver of certain covenants, waiver of a default or event of default in respect of debt securities of any series), except to increase the percentage required for modification or waiver or to provide for the consent of each affected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principal amount of outstanding debt securities of any series whose holders must consent to an amendment, supplement or waiver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ranking provisions of the Subordinated Indenture in a manner adverse to the holders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rights of holders of debt securities of any series that are exchangeable or convertible to receive payment or delivery of any consideration due upon the conversion or exchange of the debt securities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modify or amend the indenture or the debt securities of any series as may be described in the prospectus supplement with respect to that series of debt securities as requiring the consent of each holder affected thereby.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those debt securities),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Also, the establishment of such a trust will be conditioned on the delivery by us to the trustee of an opinion of counsel reasonably satisfactory to the trustee to the effect that, based upon applicable U.S. federal income tax law or a ruling published by the IRS, such a defeasance and discharge will not be deemed, or result in, a taxable event with respect to the holders. For the avoidance of doubt, such an opinion would require a change in current U.S. tax law. </w:t>
      </w:r>
    </w:p>
    <w:p>
      <w:pPr>
        <w:pStyle w:val="TextBody"/>
        <w:bidi w:val="0"/>
        <w:spacing w:before="240" w:after="0"/>
        <w:jc w:val="left"/>
        <w:rPr>
          <w:rFonts w:ascii="Times New Roman" w:hAnsi="Times New Roman"/>
          <w:sz w:val="20"/>
        </w:rPr>
      </w:pPr>
      <w:r>
        <w:rPr>
          <w:rFonts w:ascii="Times New Roman" w:hAnsi="Times New Roman"/>
          <w:sz w:val="20"/>
        </w:rPr>
        <w:t xml:space="preserve">We may also omit to comply with the restrictive covenants, if any, of any particular series of debt securities, other than our covenant to pay the amounts due and owing with respect to that series. Any such omission will not be an event of default with respect to the debt securities of that series,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Our obligations under the indenture and the debt securities of that series other than with respect to those covenants will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At our option, we may satisfy and discharge the indenture with respect to the debt securities of any series (except for specified obligations of the trustee and ours, including, among others, the obligations to apply money held in trust)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all debt securities of that series previously authenticated under the indenture have been delivered to the trustee for cancellation or (b) all debt securities of that series not yet delivered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for cancellation (i) have become due and payable by reason of the mailing of a notice of redemption or otherwise or (ii) will become due and payable within one year, and we have irrevocably deposited or caused to be deposited with the trustee as trust funds in trust solely for the benefit of the holders an amount sufficient to pay and discharge the entire indebtedness on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debt securities of that series has occurred or is continuing on the date of the deposit or will occur as a result of the deposit and the deposit will not result in a breach or violation of any other instrument to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and any applicable supplemental indenture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irrevocable instructions to the trustee to apply the deposited funds toward the payment of securities of that series at the stated maturity date or the redemption date,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relating to the satisfaction and discharge of the indenture as to that series have been satisfied.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Unclaimed Money </w:t>
      </w:r>
    </w:p>
    <w:p>
      <w:pPr>
        <w:pStyle w:val="TextBody"/>
        <w:bidi w:val="0"/>
        <w:spacing w:before="120" w:after="0"/>
        <w:jc w:val="left"/>
        <w:rPr>
          <w:rFonts w:ascii="Times New Roman" w:hAnsi="Times New Roman"/>
          <w:sz w:val="20"/>
        </w:rPr>
      </w:pPr>
      <w:r>
        <w:rPr>
          <w:rFonts w:ascii="Times New Roman" w:hAnsi="Times New Roman"/>
          <w:sz w:val="20"/>
        </w:rPr>
        <w:t xml:space="preserve">If money deposited with the trustee or paying agent for the payment of principal of, premium or accrued and unpaid interest, if any, on debt securities remains unclaimed for two years, the trustee and paying agent will pay the money back to us upon our request. However, the trustee and paying agent have the right to withhold paying the money back to us until they publish in a newspaper of general circulation in the City of New York, or mail to each holder, a notice stating that the money will be paid back to us if unclaimed after a date no less than 30 days from the publication or mailing. After the trustee or paying agent pays the money back to us, holders of debt securities entitled to the money must look to us for payment, subject to applicable law, and all liability of the trustee and the paying agent with respect to the money will cease.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and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registrar and paying agent will forward to the trustee any debt securities surrendered to them for transfer, exchange or payment, and the trustee will promptly cancel those debt securities in accordance with its customary procedures. We will not issue new debt securities to replace debt securities that we have paid or delivered to the trustee for cancellation or that any holder has converted.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permitted by law, purchase debt securities in the open market or by tender offer at any price or by private agreement. We may, at our option and to the extent permitted by law, reissue, resell or surrender to the trustee for cancellation any debt securities we purchase in this manner; provided that we not reissue or resell those debt securities if upon reissuance or resale, they would constitute restricted securities within the meaning of Rule 144 under the Securities Act. Debt securities surrendered to the trustee for cancellation may not be reissued or resold and will be promptly cancelled. </w:t>
      </w:r>
    </w:p>
    <w:p>
      <w:pPr>
        <w:pStyle w:val="TextBody"/>
        <w:bidi w:val="0"/>
        <w:spacing w:before="360" w:after="0"/>
        <w:jc w:val="left"/>
        <w:rPr>
          <w:rFonts w:ascii="Times New Roman" w:hAnsi="Times New Roman"/>
          <w:b/>
          <w:sz w:val="20"/>
        </w:rPr>
      </w:pPr>
      <w:r>
        <w:rPr>
          <w:rFonts w:ascii="Times New Roman" w:hAnsi="Times New Roman"/>
          <w:b/>
          <w:sz w:val="20"/>
        </w:rPr>
        <w:t xml:space="preserve">Replacement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replace mutilated, lost, destroyed or stolen debt securities at the holders expense upon delivery to the trustee of the mutilated debt securities or evidence of the loss, destruction or theft of the debt securities satisfactory to the trustee and us. In the case of a lost, destroyed or stolen debt security, we or the trustee may require, at the expense of the holder, indemnity satisfactory to us and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Issuance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our debt securities will be book-entry securities that are cleared and settled through the Depositary Trust Company (the DTC), a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Upon issuance, unless otherwise specified in the applicable prospectus supplement, all book-entry securities of the same series will be represented by one or more fully registered global securities. Each global security will be deposited with, or on behalf of, DTC and will be registered in the name of DTC or a nominee of DTC. DTC will thus be the only registered holder of any such securities and will be considered the sole owner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Purchasers may only hold interests in the global securities through DTC if they are participants in the DTC system. Purchasers may also hold interests through a securities intermediary  a bank, brokerage house or other institution that maintains securities accounts for customers  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with respect to a series of debt securities, the beneficial owner of book-entry securities represented by a global security may exchange the securities for definitive or paper securities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unwilling or unable to continue as depositary for such global security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under the Exchange Act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decide to allow some or all book-entry securities to be exchangeable for definitive securities in registered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under the indenture, and a holder of the securities has requested definitive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global security that is exchangeable will be exchangeable in whole for definitive securities in registered form with the same terms, and in the case of debt securities, in an equal aggregate principal amount in denominations of $2,000 and whole multiples of $1,000 (unless otherwise specified in the prospectus supplement). Definitive securities will be registered in the name or names of the person or persons specified by DTC in a written instruction to the registrar of the securities. DTC may base its written instruction upon directions it receives from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the applicable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laws of the State of New York, a banking organization within the meaning of the New York Banking Law, a member of the Federal Reserve System,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clearing corporation within the meaning of the New York Uniform Commercial Code and a clearing agency registered under the Exchange Act.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debt securities of any series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debt securities,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it would be required to eliminate such conflict within 90 days, apply to the SEC for permission to continue as trustee or resign. U.S. Bank Trust Company, National Association, as successor in interest to U.S. Bank National Association, is also the trustee under the trust and servicing agreement, as amended, related to our securitization transactions completed in March 2018 and March 2023.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directors, officers, employees, incorporators, stockholders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none of our past, present or future directors, officers, employees, incorporators, stockholders or agents in their capacity as such will have any liability for any of our obligations under the debt securities of any series or the indenture. Each holder of debt securities of any series by accepting a debt security waives and releases all such liability. The waiver and release are part of the consideration for issuance of the debt securities. The waiver may not be effective to waive liabilities under the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debt securities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Provisions Applicable to Subordinated Debt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our unsecured obligations under the Subordinated Indenture and will be subordinate in right of payment to certain other indebtedness as described below under Subordination of Subordinated Debt Securities or in the applicable prospectus supplement. The subordinated debt securities will be effectively subordinated to all of our secured debt, to the extent of the value of the assets securing that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subordinated debt securities will, as described in the applicable prospectus supplement, be subordinated in right of payment to the prior payment in full, in cash or cash equivalents, of all of our existing and future senior debt. As a result, the subordinated debt securities will be contractually subordinated to all of our senior debt and effectively subordinated to all debt and other obligations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Senior debt is defined in the Subordinated Indenture as, with respect to any person (as defined in the Subordinated Indenture), the principal of (and premium, if any) and interest on any indebtedness, whether outstanding at the date of the Subordinated Indenture or thereafter created or incurred, which is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notes, debentures, bonds or other similar instruments issued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such person evidencing the purchase price of property by such person or a subsidiary of such person, all conditional sale obligations of such person and all obligations of such person under any conditional sale or title retention agreement other than trade accounts payable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contingent or otherwise, of such person in respect of any letters of credit, bankers acceptance, security purchase facilities or similar credit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interest rate swap, cap or other agreements, interest rate future or option contracts, currency swap agreements, currency future or option contracts and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any factoring, securitization, sale of receivables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or obligations described in the six preceding bullet points of others and assumed or guaranteed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under performance guarantees, support agreements and other agreements in the nature thereof relating to the obligations of any subsidiary of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refundings, amendments and modifications of any indebtedness of the kind described in the eight preceding bullet points or of the instruments creating or evidencing the indebtedness, unless, in each case, by the terms of the instrument creating or evidencing the indebtedness or the renewal, extension, refunding, amendment and modification, it is provided that the indebtedness is not senior in right of payment to the subordinated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the type referred to in the preceding bullet points of others secured by a lien on the property or asset of such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for a particular series of subordinated debt securities, in the event of any distribution of our assets upon dissolution, winding up, liquidation or reorganization, the holders of senior debt shall first be paid in full in respect of principal, premium (if any) and interest before any such payments are made on account of the subordinated debt securities. In addition, in the event that (1) the subordinated debt securities are declared due and payable because of an event of default (other than under the circumstances described in the preceding sentence) and (2) any default has occurred and is continuing in the payment of principal, premium (if any), sinking funds or interest on any senior debt, then no payment shall be made on account of principal, premium (if any), sinking funds or interest on the subordinated debt securities until all such payments due in respect of the senior debt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the subordination provisions described above, in the event of liquidation or insolvency, any of our creditors who are not holders of senior debt may recover less, ratably, than holders of senior debt and may recover more, ratably, than holders of the subordinated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Deferral of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upon which we may defer payments of interest on subordinated debt securities of any series will be set forth in the relevant prospectus supplement and, to the extent necessary, in the supplemental indenture relating to that series. If any such terms are provided for, an interest payment properly deferred will not constitute a default in the payment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926217_10"/>
      <w:bookmarkEnd w:id="27"/>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guarantees of certain securities, including debt securities of our subsidiaries, for consideration that may include cash, consents or exchanges of existing securities. Such guarantees will be unsecured. Except as otherwise described in any applicable prospectus supplement, each guarantee will be a full and unconditional guarantee of the prompt payment, when due, of any amount owed to the holders of the guaranteed securities, and any other amounts due pursuant to any indenture, fiscal agency agreement or other contract governing such securities. We will describe the particular terms of any guarantee we offer in the applicable prospectus supplement, which may add, update or change the information on guarantees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accordingly its ability to make payments under its guarantees is subject to restrictions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guarantees we issue will not necessarily be complete and will be qualified in its entirety by reference to the applicable documents pursuant to which the guarantees will be issued, which will be filed with the SEC if we issue such guarantees. We urge you to read the applicable documents pursuant to which the guarantees will be issued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926217_11"/>
      <w:bookmarkEnd w:id="28"/>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fractional interests in shares of common or preferred stock, rather than shares of common or preferred stock, with those rights and subject to the terms and conditions that we may specify in a related prospectus supplement. If we do so, we will provide for a depositary (either a bank or trust company depositary that has its principal office in the United States) to issue receipts for depositary shares, each of which will represent a fractional interest in a share of common or preferred stock. The shares of common or preferred stock underlying the depositary shares will be deposited under a deposit agreement between us and the depositary. The prospectus supplement will include the name and address of the depositary. </w:t>
      </w:r>
    </w:p>
    <w:p>
      <w:pPr>
        <w:pStyle w:val="TextBody"/>
        <w:bidi w:val="0"/>
        <w:spacing w:before="480" w:after="0"/>
        <w:jc w:val="center"/>
        <w:rPr>
          <w:rFonts w:ascii="Times New Roman" w:hAnsi="Times New Roman"/>
          <w:b/>
          <w:sz w:val="20"/>
        </w:rPr>
      </w:pPr>
      <w:bookmarkStart w:id="29" w:name="toc926217_12"/>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or equity securities. Each warrant will entitle the holder to purchase for cash the amount of debt or equity securities at the exercise price stated or determinable in the prospectus supplement for the warrants. We may issue warrants independently or together with any offered securities. The warrants may be attached to or separate from those offered securities. We will issue the warrants under warrant agreements to be entered into between us and a bank or trust company, as warrant agent, all as described in a related prospectus supplement. The warrant agent will act solely as our agent in connection with the warrants and will not assume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that we may offer will contain the specific terms of the warrants.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for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the warrants are to be issued and the number of warrants issued with each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of the number or amount of securities receivable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securities purchasable upon exercise of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and after which the warrants and the securities purchasable upon exercise of the warrants will be separately transferable,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or minimum number of warrants that may be exercised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926217_13"/>
      <w:bookmarkEnd w:id="30"/>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us to sell to the holders, a specified number of shares of common stock, preferred stock or depositary shares at a future date or dates. Alternatively, the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purchase contracts are issued or may be determined by a specific reference to a formula set forth in the purchase contracts. The purchase contracts may provide for settlement by delivery by us or on our behalf of shares of the underlying security, or they may provide for settlement by reference or linkage to the value, performance or trading price of the underlying security. The purchase contracts may be issued separately or as part of purchase units consisting of a purchase contract and debt securities, preferred stock or debt obligations of third parties, including U.S. treasury securities, other purchase contracts or common stock, or other securities or property, securing the holders obligations to purchase or sell, as the case may be, the common stock, preferred stock, depository shares or other security or property under the purchase contracts. The purchase contracts may require us to make periodic payments to the holders thereof or vice versa, and these payments may be unsecured or prefunded on some basis and may be paid on a current or on a deferred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 </w:t>
      </w:r>
    </w:p>
    <w:p>
      <w:pPr>
        <w:pStyle w:val="TextBody"/>
        <w:bidi w:val="0"/>
        <w:spacing w:before="480" w:after="0"/>
        <w:jc w:val="center"/>
        <w:rPr>
          <w:rFonts w:ascii="Times New Roman" w:hAnsi="Times New Roman"/>
          <w:b/>
          <w:sz w:val="20"/>
        </w:rPr>
      </w:pPr>
      <w:bookmarkStart w:id="31" w:name="toc926217_14"/>
      <w:bookmarkEnd w:id="3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purchase contracts, warrants, debt securities, guarantees, shares of preferred stock, shares of common stock or any combination of such of our securities (but not securities of third parties), as specified in a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926217_15"/>
      <w:bookmarkEnd w:id="32"/>
      <w:r>
        <w:rPr>
          <w:rFonts w:ascii="Times New Roman" w:hAnsi="Times New Roman"/>
          <w:b/>
          <w:sz w:val="20"/>
        </w:rPr>
        <w:t xml:space="preserve">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applicable prospectus supplement, when we refer to the holders of securities as being entitled to specified rights or payments, we mean only the actual legal holders of the securities. While you will be the holder if you hold a security registered in your name, more often than not the holder actually will be a broker, bank or other financial institution or, in the case of a global security, the depositary. Our obligations, as well as the obligations of the trustee, any transfer agent, any registrar and any third parties employed by us, the trustee, any transfer agent and any registrar, run only to persons who are registered as holders of our securities, except as may be specifically provided for in the contract governing the securities. For example, once we make payment to the registered holder, we have no further responsibility for the payment even if that holder is legally required to pass the payment along to you as a street name customer but does not do so. </w:t>
      </w:r>
    </w:p>
    <w:p>
      <w:pPr>
        <w:pStyle w:val="TextBody"/>
        <w:bidi w:val="0"/>
        <w:spacing w:before="240" w:after="0"/>
        <w:jc w:val="left"/>
        <w:rPr>
          <w:rFonts w:ascii="Times New Roman" w:hAnsi="Times New Roman"/>
          <w:sz w:val="20"/>
        </w:rPr>
      </w:pPr>
      <w:r>
        <w:rPr>
          <w:rFonts w:ascii="Times New Roman" w:hAnsi="Times New Roman"/>
          <w:sz w:val="20"/>
        </w:rPr>
        <w:t xml:space="preserve">Holding securities in accounts at banks, brokers or other financial institutions is called holding in street name. If you hold our securities in street name, we will recognize only the bank or broker, or the financial institution the bank or broker uses to hold the securities, as a holder. These intermediary banks, brokers, other financial institutions and depositaries pass along principal, interest, dividends and other payments, if any, on the securities, either because they agree to do so in their customer agreements or because they legally are required to do so. This means that if you are an indirect holder, you will need to coordinate with the institution through which you hold your interest in a security in order to determine how the provisions involving holders described in this prospectus and any applicable prospectus supplement actually will apply to you. For example, if the debt security in which you hold a beneficial interest in street name can be repaid at the option of the holder, you cannot redeem it yourself by following the procedures described in the prospectus supplement that applies to that security. Instead, you would need to cause the institution through which you hold your interest to take those actions on your behalf. Your institution may have procedures and deadlines different from or additional to those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our securities in street name or through other indirect means, you should check with the institution through which you hold your interest in a security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payments and notices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voting,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and when you should notify it to exercise on your behalf any rights or options that may exist under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direct holder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pursue rights under the securities if there were a default or other event triggering the need for holders to act to protect their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926217_16"/>
      <w:bookmarkEnd w:id="3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from time to time, in one or more transactions,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terms of the offering of the securities covered by this prospectus,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and the amounts of securities underwritten or purchased by each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and the proceeds to us and any discounts, commissions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we use underwriters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Generally, the underwriters obligations to purchase the securities will be subject to customary conditions.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contracts will be subject only to those conditions set forth in the applicable prospectus supplement, and the applicable prospectus supplement will set forth any commissions we pay for solicitation of these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persons participating in this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offered by this prospectus will be sold, if necessary, in such jurisdictions only through registered or licensed brokers or dealers. If a jurisdiction requires that the offering be made by a registered or licensed broker or dealer and the underwriters or any affiliate of the underwriters is a registered or licensed broker or dealer in that jurisdiction, the offering shall be deemed to be made by the underwriters or such affiliate on behalf of the issuer in such jurisdiction. In addition,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926217_17"/>
      <w:bookmarkEnd w:id="34"/>
      <w:r>
        <w:rPr>
          <w:rFonts w:ascii="Times New Roman" w:hAnsi="Times New Roman"/>
          <w:b/>
          <w:sz w:val="20"/>
        </w:rPr>
        <w:t xml:space="preserve">MATERIAL U.S. FEDERAL INCOME TAX CONSIDERATIONS RELATED TO OUR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our qualification and taxation as a REIT. The opinion of our tax counsel, Sullivan &amp; Worcester LLP, attached hereto as Exhibit 8.1 addresses our qualification and taxation as a REIT since January 1, 2012, as set forth in this summary. For a discussion of U.S. federal income tax considerations that may be relevant to persons considering the purchase of our stock covered by this prospectus, please see the section entitled Material U.S. Federal Income Tax Considerations Relevant to Holders of Our Stock in this prospectus. For a discussion of U.S. federal income tax considerations that may be relevant to persons considering the purchase of our debt securities covered by this prospectus, please see the section entitled Material U.S. Federal Income Tax Considerations Relevant to Holders of Our Debt Securities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qualification and treatment of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We have received private letter rulings from the IRS with respect to some but not all of the matters described in this summary, but we cannot assure you that the IRS or a court will agree with all of the statements made in this summary. The IRS could, for example, take a different position from that described in this summary with respect to our assets, acquisitions, operations, valuations, restructurings or other matters, including with respect to matters similar to, but subsequent or unrelated to, those matters addressed in the IRS private letter rulings issued to us; furthermore, while private letter rulings from the IRS generally are binding on the IRS, we and our tax counsel cannot rely on the private letter rulings if applicable law has changed or if the factual representations, assumptions or undertakings made in our letter ruling requests to the IRS are untrue or incomplete in any material respect. If successful, IRS challenges could result in significant tax liabilities for applicable parties. In addition, this summary is not exhaustive of all possible tax consequences related to our qualification and taxation as a REIT, and does not discuss any estate, gift, state, local or foreign tax consequences. For all these reasons, we urge any holder of or prospective acquiror of our securities to consult their own tax advisor about the federal income tax and other tax consequences of our qualification and taxation as a REIT.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taxed as a REIT under Sections 856 through 860 of the Code, commencing with our 2012 taxable year. Our REIT election, assuming continuing compliance with the then applicable qualification tests, has continued and will continue in effect for subsequent taxable years. Although no assurance can be given, we believe that from and after our 2012 taxable year we have been organized and have operated, and will continue to be organized and to operate, in a manner that qualified us and will continue to qualify us to be taxed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subject to the discussion below, we have been organized and have qualified for taxation as a REIT under the Code for our 2012 through 2021 taxable years, and that our current and anticipated investments and plan of operation will enable us to continue to meet the requirements for qualification and taxation as a REIT under the Code. Our tax counsels opinions are conditioned (a) upon the assumption that our Certificate of Incorporation, communications site licenses, colocation agreements, and all other applicable legal documents to which we have been or are a party have been and will be complied with by all parties to those documents, (b) upon the accuracy and completeness of the factual matters described in this prospectus, (c) upon the accuracy and completeness of the factual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to us and to our tax counsel by accountants and appraisers, (d) upon private letter rulings issued to us by the IRS as to certain federal income tax matters, (e) upon representations made by us to the IRS in connection with those rulings, and (f)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w:t>
      </w:r>
    </w:p>
    <w:p>
      <w:pPr>
        <w:pStyle w:val="TextBody"/>
        <w:bidi w:val="0"/>
        <w:spacing w:before="240" w:after="0"/>
        <w:jc w:val="left"/>
        <w:rPr>
          <w:rFonts w:ascii="Times New Roman" w:hAnsi="Times New Roman"/>
          <w:sz w:val="20"/>
        </w:rPr>
      </w:pPr>
      <w:r>
        <w:rPr>
          <w:rFonts w:ascii="Times New Roman" w:hAnsi="Times New Roman"/>
          <w:sz w:val="20"/>
        </w:rPr>
        <w:t xml:space="preserve">Our continued qualification and taxation as a REIT will depend upon our compliance with various qualification tests imposed under the Code and summarized below. Our ability to satisfy the REIT asset tests will depend in part upon our board of directors good faith analysis of the fair market values of our assets, some of which are not susceptible to a precise determination. Our compliance with the REIT income and quarterly asset requirements also depends upon our ability to successfully manage the composition of our income and assets on an ongoing basis. In particular, we periodically explore and occasionally consummate merger and acquisition opportunities, and any consummated transaction would have to be structured to manage successfully the REIT income, asset and distribution tests given the particular size, timing and type of transaction. While we believe that we have satisfied and will satisfy these tests, our tax counsel does not review compliance with these tests on a continuing basis. If we fail to qualify for taxation as a REIT in any year or terminate or revoke our REIT election, then we will be subject to federal income taxation as if we were a corporation taxed under subchapter C of the Code (a C corporation), and our stockholders will be taxed like stockholders of regular C corporations, meaning that federal income tax generally will be applied at both the corporate and stockholder levels. In this event, we could be subject to significant tax liabilities, and the amount of cash available for payment or distribution to our securityholders could be reduced or eliminated. </w:t>
      </w:r>
    </w:p>
    <w:p>
      <w:pPr>
        <w:pStyle w:val="TextBody"/>
        <w:bidi w:val="0"/>
        <w:spacing w:before="240" w:after="0"/>
        <w:jc w:val="left"/>
        <w:rPr>
          <w:rFonts w:ascii="Times New Roman" w:hAnsi="Times New Roman"/>
          <w:sz w:val="20"/>
        </w:rPr>
      </w:pPr>
      <w:r>
        <w:rPr>
          <w:rFonts w:ascii="Times New Roman" w:hAnsi="Times New Roman"/>
          <w:sz w:val="20"/>
        </w:rPr>
        <w:t xml:space="preserve">As a REIT, we generally are not subject to federal income tax on our net income distributed as dividends to our stockholders. Distributions to our stockholders generally are included in our stockholders income as dividends to the extent of our available current or accumulated earnings and profits. Our current or accumulated earnings and profits generally are allocated first to distributions made on our outstanding preferred stock, if any, and thereafter to distributions made on our common stock. For all these purposes, our distributions include cash distributions, any in kind distributions of property that we might make, and deemed or constructive distributions resulting from capital market activities (such as some redemptions),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our qualification for taxation as a REIT and the fact that we generally will not pay federal income tax on amounts we distribute to our stockholders, we may still be subject to federal tax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income tax rates on any undistributed real estate investment trust taxable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disposition of foreclosure property, as described in Section 856(e) of the Code, that is held primarily for sale to customers in the ordinary course of a trade or business or other nonqualifying income from foreclosure property, we will be subject to tax on this income at the highest regular corporate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transactionsthat is, dispositions at a gain of inventory or property held primarily for sale to customers in the ordinary course of a trade or business other than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dispositions of foreclosure property and other than dispositions excepted by statutory safe harborswe will be subject to tax on this income at a 100%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75% gross income test or the 95% gross income test described below but nonetheless maintain our qualification for taxation as a REIT because of specified cure provisions, we will be subject to tax at a 100% rate on an amount based on the magnitude of the failure, as adjusted to reflect the profit margin associated with our gross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REIT requirements described below but nonetheless maintain our qualification for taxation as a REIT because of specified exceptions or cure provisions, we may be subject to a tax of at least $50,000 per failure. In the case of certain REIT asset test failures, the tax will be the greater of $50,000 per failure or the highest regular corporate income tax rate multiplied by the net income generated by the nonqualifying assets that caused us to fail the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distribute for any calendar year at least the sum of 85% of our REIT ordinary income for that year, 95% of our REIT capital gain net income for that year and any undistributed taxable income from prior periods, we will be subject to a 4% nondeductible excise tax on the excess of the required distribution over the amounts actually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REIT asset where our adjusted tax basis in the asset is determined by reference to its adjusted tax basis in the hands of a C corporation, and we later dispose of that asset within five years of the acquisition, we will generally pay tax at the highest regular corporate income tax rate on the lesser of (i) the excess of the fair market value of the asset over the C corporations adjusted tax basis in the asset (each as of the date the asset ceased to be owned by the C corporation), and (ii) the gain we recognize in the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corporation in a transaction where we succeed to its tax attributes or if we liquidate a domestic taxable REIT subsidiary, as defined by Section 856(l) of the Code (TRS), then to preserve our qualification for taxation as a REIT we must generally distribute inherited C corporation earnings and profits, if any, by the end of our taxable year in which the acquisition or liquidation occurs. However, if we fail to do so, relief provisions would allow us to maintain our qualification for taxation as a REIT provided we distribute any subsequently discovered C corporation earnings and profits and pay an interest charge in respect of the period of delayed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subsidiaries that are C corporations, including our TRSs, generally will be required to pay federal corporate income tax on their earnings, and a 100% tax may be imposed on any transaction between us and one of our TRSs that does not reflect arms length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countries may impose taxes on our and our subsidiaries and partnerships assets and operations within their jurisdictions. As a REIT, neither we nor our stockholders are expected to benefit from foreign tax credits arising from those taxes.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then we will be subject to federal income tax in the same manner as a regular C corporation. In addition, we generally will be disqualified from taxation as a REIT for the four taxable years following the taxable year in which the termination of our REIT status is effective. Relief provisions under the Code may allow us to continue to qualify for taxation as a REIT even if we fail to comply with various REIT requirements, all as described in more detail below. However, it is impossible to state whether in any particular circumstance we would be entitled to the benefit of these relief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REIT Qualification Requirements </w:t>
      </w:r>
    </w:p>
    <w:p>
      <w:pPr>
        <w:pStyle w:val="TextBody"/>
        <w:bidi w:val="0"/>
        <w:spacing w:before="120" w:after="0"/>
        <w:jc w:val="left"/>
        <w:rPr>
          <w:rFonts w:ascii="Times New Roman" w:hAnsi="Times New Roman"/>
          <w:sz w:val="20"/>
        </w:rPr>
      </w:pPr>
      <w:r>
        <w:rPr>
          <w:rFonts w:ascii="Times New Roman" w:hAnsi="Times New Roman"/>
          <w:i/>
          <w:sz w:val="20"/>
        </w:rPr>
        <w:t xml:space="preserve">General Requirements. </w:t>
      </w:r>
      <w:r>
        <w:rPr>
          <w:rFonts w:ascii="Times New Roman" w:hAnsi="Times New Roman"/>
          <w:sz w:val="20"/>
        </w:rPr>
        <w:t xml:space="preserve">Section 856(a) of 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managed by one or more trustees 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would be taxable, but for Sections 856 through 859 of the Code, as a domestic 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a financial institution or an insurance company subject to special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closely held, meaning that during the last half of each taxable year, not more than 50% in value of the outstanding stock is owned, directly or indirectly, by five or fewer individuals (as defined in the Code to include specified tax-exempt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meets other tests regarding the nature of its income and assets and the amount of its distributions, all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856(b) of the Code provides that conditions (1) through (4) must be met during the entire taxable year and that condition (5) must be met during at least 335 days of a taxable year of 12 months, or during a proportionate part of a taxable year of less than 12 months. Although we cannot be sure, we believe that we have met conditions (1) through (7) during each of the requisite periods ending on or before the close of our most recently completed taxable year, and that we will continue to meet these conditions in our current and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To help comply with condition (6), our Certificate of Incorporation restricts transfers of our stock that would otherwise result in concentrated ownership positions. These restrictions, however, do not guarantee that we have previously satisfied, and cannot guarantee that we will in all cases be able to continue to satisfy, the stock ownership requirements described in condition (6). If we comply with applicable Treasury regulations to ascertain the ownership of our outstanding stock and do not know, or by exercising reasonable diligence would not have known, that we failed condition (6), then we will be treated as having met condition (6). Accordingly, we have complied and will continue to comply with these regulations, including by requesting annually from record holders of significant percentages of our stock information regarding the ownership of our stock. A stockholder that fails or refuses to comply with the request is required by Treasury regulations to submit a statement with its federal income tax return disclosing its actual ownership of our stock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that we will not automatically fail to qualify for taxation as a REIT if we do not meet conditions (1) through (6), provided we can establish that such failure was due to reasonable cause and not due to willful neglect. Each such excused failure will result in the imposition of a $50,000 penalty instead of REIT disqualification. This relief provision may apply to a failure of the applicable conditions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i/>
          <w:sz w:val="20"/>
        </w:rPr>
        <w:t>Our Wholly Owned Subsidiaries and Our Investments Through Partnerships</w:t>
      </w:r>
      <w:r>
        <w:rPr>
          <w:rFonts w:ascii="Times New Roman" w:hAnsi="Times New Roman"/>
          <w:sz w:val="20"/>
        </w:rPr>
        <w:t xml:space="preserve">. Except in respect of TRSs as described below, Section 856(i) of the Code provides that any corporation, 100% of whose stock is held by a REIT and its disregarded subsidiaries, is a qualified REIT subsidiary and shall not be treated as a separate corporation for federal income tax purposes. The assets, liabilities and items of income, deduction and credit of a qualified REIT subsidiary are treated as the REITs. We believe that each of our direct and indirect wholly owned subsidiaries, other than the TRSs described below (and entities whose equity is owned in whole or in part by such TRSs), will be either a qualified REIT subsidiary within the meaning of Section 856(i)(2) of the Code or a noncorporate entity that for federal income tax purposes is not treated as separate from its owner under Treasury regulations issued under Section 7701 of the Code (each such entity referred to as a QRS). Thus, in applying all of the REIT qualification requirements described in this summary, all assets, liabilities and items of income, deduction and credit of our QRSs are treated as ours, and our investment in the stock and other securities of such QRSs will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and may in the future invest in real estate through one or more entities that are treated as partnerships for federal income tax purposes, including limited or general partnerships, limited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or foreign entities. In the case of a REIT that is a partner in a partnership, Treasury regulations under the Code provide that, for purposes of the REIT qualification requirements regarding income and assets described below, the REIT is generally deemed to own its proportionate share, based on respective capital interests, of the income and assets of the partnership (except that for purposes of the 10% value test, described below, the REITs proportionate share of the partnerships assets is based on its proportionate interest in the equity and specified debt securities issued by the partnership). In addition, for these purposes, the character of the assets and items of gross income of the partnership generally remains the same in the hands of the REIT. In contrast, for purposes of the distribution requirements described below, a REIT must take into account as a partner its share of the partnerships income as determined under the general federal income tax rules governing partners and partnerships under Subchapter K of the Code. </w:t>
      </w:r>
    </w:p>
    <w:p>
      <w:pPr>
        <w:pStyle w:val="TextBody"/>
        <w:bidi w:val="0"/>
        <w:spacing w:before="240" w:after="0"/>
        <w:jc w:val="left"/>
        <w:rPr>
          <w:rFonts w:ascii="Times New Roman" w:hAnsi="Times New Roman"/>
          <w:sz w:val="20"/>
        </w:rPr>
      </w:pPr>
      <w:r>
        <w:rPr>
          <w:rFonts w:ascii="Times New Roman" w:hAnsi="Times New Roman"/>
          <w:i/>
          <w:sz w:val="20"/>
        </w:rPr>
        <w:t>Subsidiary REITs</w:t>
      </w:r>
      <w:r>
        <w:rPr>
          <w:rFonts w:ascii="Times New Roman" w:hAnsi="Times New Roman"/>
          <w:sz w:val="20"/>
        </w:rPr>
        <w:t xml:space="preserve">. We have invested and may invest in real estate through one or more entities that are intended to qualify for taxation as REITs. Our subsidiary REITs generally have been and will be subject to the various REIT qualification requirements and other limitations described in this summary or that are otherwise applicable. If one of our subsidiary REITs were to fail to qualify for taxation as a REIT, then (a) the subsidiary REIT would become subject to U.S. corporate income tax as a regular C corporation, as described above, and (b) our ownership of shares in the subsidiary REIT would cease to be a qualifying real estate asset for purposes of the tests described under Asset Tests below. Thus, if a subsidiary REIT were to fail to qualify for taxation as a REIT, it could jeopardize our own ability to satisfy our REIT qualification requirements. We do not expect that the foregoing REIT asset tests would be violated if the subsidiary were treated as a TRS pursuant to a valid TRS election. Accordingly, we have made and expect to make protective TRS elections with respect to our subsidiary REITs and may implement other protective arrangements intended to avoid a cascading REIT failure if any of our intended subsidiary REITs were not to qualify for taxation as a REIT, but there can be no assurance that such protective elections or other arrangements will be effective to avoid or mitigate the resulting adverse consequences to us. </w:t>
      </w:r>
    </w:p>
    <w:p>
      <w:pPr>
        <w:pStyle w:val="TextBody"/>
        <w:bidi w:val="0"/>
        <w:spacing w:before="240" w:after="0"/>
        <w:jc w:val="left"/>
        <w:rPr>
          <w:rFonts w:ascii="Times New Roman" w:hAnsi="Times New Roman"/>
          <w:sz w:val="20"/>
        </w:rPr>
      </w:pPr>
      <w:r>
        <w:rPr>
          <w:rFonts w:ascii="Times New Roman" w:hAnsi="Times New Roman"/>
          <w:i/>
          <w:sz w:val="20"/>
        </w:rPr>
        <w:t>Taxable REIT Subsidiaries.</w:t>
      </w:r>
      <w:r>
        <w:rPr>
          <w:rFonts w:ascii="Times New Roman" w:hAnsi="Times New Roman"/>
          <w:sz w:val="20"/>
        </w:rPr>
        <w:t xml:space="preserve"> As a REIT, we are permitted to own any or all of the securities of a TRS, provided that no more than 20% of the total value of our assets, at the close of each quarter, is comprised of our investments in the stock or other securities of our TRSs. Very generally, a TRS is a subsidiary corporation other than a REIT in which a REIT directly or indirectly holds stock and that has made a joint election with such REIT to be treated as a TRS. A TRS is taxed as a regular C corporation, separate and apart from any affiliated REIT. We have made significant loans to our TRSs secured by towers, tower sites, or other interests in real property and have received a private letter ruling from the IRS that such loans will not be treated as a security for purposes of this TRS ownership limitation. Our ownership of stock and other securities in our TRSs is exempt from the 5% asset test, the 10% vote test and the 10% value test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corporation (other than a REIT and other than a QRS) in which a TRS directly or indirectly owns more than 35% of the voting power or value of the outstanding securities (excluding, for this purpose, certain straight debt securities) is automatically a TRS. Subject to the discussion below, we believe that we and each of our TRSs have complied with, and will continue to comply with, the requirements for TRS status at all times during which the subsidiarys TRS election is intended to be in effect, and we believe that the same will be true for any TRS that we later form or acquire.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TRSs can perform services for our tenants without disqualifying the rents and service fees that we receive from those tenants under the 75% gross income test or the 95% gross income test described below. Moreover, because our TRSs are taxed as C corporations that are separate from us, their assets, liabilities and items of income, deduction and credit generally are not imputed to us for purposes of the REIT qualification requirements described in this summary. Therefore, our TRSs may generally conduct activities that would be treated as prohibited transactions or would give rise to nonqualified income if conducted by us directly. </w:t>
      </w:r>
    </w:p>
    <w:p>
      <w:pPr>
        <w:pStyle w:val="TextBody"/>
        <w:bidi w:val="0"/>
        <w:spacing w:before="240" w:after="0"/>
        <w:jc w:val="left"/>
        <w:rPr>
          <w:rFonts w:ascii="Times New Roman" w:hAnsi="Times New Roman"/>
          <w:sz w:val="20"/>
        </w:rPr>
      </w:pPr>
      <w:r>
        <w:rPr>
          <w:rFonts w:ascii="Times New Roman" w:hAnsi="Times New Roman"/>
          <w:sz w:val="20"/>
        </w:rPr>
        <w:t xml:space="preserve">Restrictions and sanctions are imposed on TRSs and their affiliated REITs to ensure that the TRSs will be subject to an appropriate level of federal income taxation. For example, if a TRS pays interest, rent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to its affiliated REIT in an amount that exceeds what an unrelated third party would have paid in an arms length transaction, then the REIT generally will be subject to an excise tax equal to 100% of the excessive portion of the payment. Further, if in comparison to an arms length transaction, a third-party tenant has overpaid rent or related service charges to the REIT in exchange for underpaying the TRS for services rendered, and if the REIT has not adequately compensated the TRS for services provided to or on behalf of the third-party tenant, then the REIT may be subject to an excise tax equal to 100% of the undercompensation to the TRS. Based on our transfer pricing analyses and policies, we believe that our TRSs have received and will continue to receive at least arms length compensation from our tenants or from us for the services they provide to our tenants or us. There can be no assurance that arrangements involving our TRSs will not result in the imposition of one or more of these restrictions or sanctions, but we do not believe that we or our TRSs are or will be subject to these impositions. </w:t>
      </w:r>
    </w:p>
    <w:p>
      <w:pPr>
        <w:pStyle w:val="TextBody"/>
        <w:bidi w:val="0"/>
        <w:spacing w:before="240" w:after="0"/>
        <w:jc w:val="left"/>
        <w:rPr>
          <w:rFonts w:ascii="Times New Roman" w:hAnsi="Times New Roman"/>
          <w:sz w:val="20"/>
        </w:rPr>
      </w:pPr>
      <w:r>
        <w:rPr>
          <w:rFonts w:ascii="Times New Roman" w:hAnsi="Times New Roman"/>
          <w:i/>
          <w:sz w:val="20"/>
        </w:rPr>
        <w:t>Our Assets as Real Property</w:t>
      </w:r>
      <w:r>
        <w:rPr>
          <w:rFonts w:ascii="Times New Roman" w:hAnsi="Times New Roman"/>
          <w:sz w:val="20"/>
        </w:rPr>
        <w:t xml:space="preserve">. Treasury regulations define real property for purposes of Section 856 of the Code to mean land or improvements thereon, such as buildings or other inherently permanent structures, including items which are structural components of such buildings or structures, and including interests in real property. Pursuant to these regulations, we believe that all or substantially all of our towers and the sites on which they are located (including any fencing, shelters and permanently installed backup generators) and our data centers (including their integrated core systems) are and will remain real property or interests in real property for purposes of Section 856 of the Code. We further believe that the portions of our intangible assets determined by our board of directors to be derived from and inseparable from our tower rental, colocation, and other real property rental businesses are and will remain interests in real property or real property for purposes of Section 856 of the Code. </w:t>
      </w:r>
    </w:p>
    <w:p>
      <w:pPr>
        <w:pStyle w:val="TextBody"/>
        <w:bidi w:val="0"/>
        <w:spacing w:before="240" w:after="0"/>
        <w:jc w:val="left"/>
        <w:rPr>
          <w:rFonts w:ascii="Times New Roman" w:hAnsi="Times New Roman"/>
          <w:sz w:val="20"/>
        </w:rPr>
      </w:pPr>
      <w:r>
        <w:rPr>
          <w:rFonts w:ascii="Times New Roman" w:hAnsi="Times New Roman"/>
          <w:sz w:val="20"/>
        </w:rPr>
        <w:t xml:space="preserve">Further, although there can be no assurance in this regard, we believe that our loans that are intended to be mortgages on real property for purposes of the REIT income and asset tests described below have in fact so qualified and will continue to qualify, to the extent that those loans are directly secured by real property or are indirectly and ultimately secured by real property pursuant to IRS guidance articulated in Revenue Ruling 80-280. </w:t>
      </w:r>
    </w:p>
    <w:p>
      <w:pPr>
        <w:pStyle w:val="TextBody"/>
        <w:bidi w:val="0"/>
        <w:spacing w:before="240" w:after="0"/>
        <w:jc w:val="left"/>
        <w:rPr>
          <w:rFonts w:ascii="Times New Roman" w:hAnsi="Times New Roman"/>
          <w:sz w:val="20"/>
        </w:rPr>
      </w:pPr>
      <w:r>
        <w:rPr>
          <w:rFonts w:ascii="Times New Roman" w:hAnsi="Times New Roman"/>
          <w:i/>
          <w:sz w:val="20"/>
        </w:rPr>
        <w:t>Income Tests</w:t>
      </w:r>
      <w:r>
        <w:rPr>
          <w:rFonts w:ascii="Times New Roman" w:hAnsi="Times New Roman"/>
          <w:sz w:val="20"/>
        </w:rPr>
        <w:t xml:space="preserve">. We must satisfy two gross income tests annually to maintain our qualification for taxation as a REIT. First, at least 75% of our gross income for each taxable year must be derived from investments relating to real property, including rents from real property within the meaning of Section 856(d) of the Code, interest and gain from mortgages on real property or on interests in real property, income and gain from foreclosure property, gain from the sale or other disposition of real property (including specified ancillary personal property treated as real property under the Code), or dividends on and gain from the sale or disposition of shares in other REITs (but excluding in all cases any gains subject to the 100% tax on prohibited transactions). When we receive new capital in exchange for our stock or in a public offering of our five-year or longer debt instruments, income attributable to the temporary investment of this new capital in stock or a debt instrument, if received or accrued within one year of our receipt of the new capital, is generally also qualifying income under the 75% gross income test. Second, at least 95% of our gross income for each taxable year must consist of income that is qualifying income for purposes of the 75% gross income test, other types of interest and dividends, gain from the sale or disposition of stock or securities, amounts described under Section 856(c)(5)(J)(ii) of the Code as producing income described in Section 856(c)(2) of the Code on account of either an IRS private letter ruling issued to us or administrative guidance, or any combination of these. Gross income from our sale of property that we hold primarily for sale to customers in the ordinary course of business, income and gain from specified hedging transactions that are clearly and timely identified as such, and income from the repurchase or discharge of indebtedness is excluded from both the numerator and the denominator in both gross income tests. In addition, specified foreign currency gains will be excluded from gross income for purposes of one or both of the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Although we will use our best efforts to ensure that the income generated by our investments will be of a type that satisfies both the 75% and 95% gross income tests, there can be no assurance that we will be successful in this regard.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qualify as rents from real property within the meaning of Section 856(d) of the Code, several requirements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rent received generally must not be based on the income or profits of any person, but may be based on a fixed percentage or percentages of receipts or sales. With respect to various obligations of ours that we pass through to our tenants, such as ground rents and property taxes, the passed-through amounts paid by our tenants are generally considered additional rental income received by us. We have received a private letter ruling from the IRS to the effect that, so long as the passed-through amounts are actually paid over to our own obligees, otherwise qualifying amounts we receive from our tenants that include passed-through amounts will be treated in full as qualifying under the 75% and 95% gross income tests, even if the passed-through amounts are based on income or profits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Rents generally do not qualify if the REIT owns 10% or more by vote or value of stock of the tenant (or 10% or more of the interests in the assets or net profits of the tenant, if the tenant is not a corporation), whether directly or after application of attribution rules. We generally do not intend to lease or license property to any party if rents from that property would not qualify as rents from real property, but application of the 10% ownership rule is dependent upon complex attribution rules and circumstances that may be beyond our control. Our Certificate of Incorporation generally disallows transfers or purported acquisitions, directly or by attribution, of our stock to the extent necessary to maintain our qualification for taxation as a REIT under the Code, but there can be no assurance that these restrictions will be effective to prevent our qualification for taxation as a REIT from being jeopardized under the 10% affiliated tenant rule. Furthermore, there can be no assurance that we will be able to monitor and enforce these restrictions, nor will our stockholders necessarily be aware of ownership of our stock attributed to them under the IRCs attribution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limited exception to the above prohibition on earning rents from real property from a 10% affiliated tenant where the tenant is a TRS. If at least 90% of the leased/licensed space of a property is leased/licensed to tenants other than TRSs and 10% affiliated tenants, and if the TRSs rent to us for space at that property is substantially comparable to the rents paid by nonaffiliated tenants for comparable space at the property, then otherwise qualifying rents paid by the TRS to us will not be disqualified on account of the rule prohibiting 10% affiliated tenants. At some of our tower sites, data centers and other facilities, we may license space to a TRS so that, for example, the TRS can operate a backhaul antenna or other asset. In any such instance, we expect the total rents we receive from leasing/licensing space to our TRSs will qualify for the limited rental exception to a 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rents to qualify, a REIT generally must not manage the property or furnish or render services to the tenants of the property, except through an independent contractor from whom it derives no income or through one of its TRSs. There is an exception to this rule permitting a REIT to perform customary management and tenant services of the sort that a tax-exempt organization could perform without being considered in receipt of unrelated business taxable income as defined in Section 512(b)(3) of the Code (UBTI). In addition, a de minimis amount of noncustomary services provided to tenants will not disqualify income as rents from real property as long as the value of the impermissible tenant services does not exceed 1% of the gross income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rent attributable to personal property leased in connection with a lease of real property is 15% or less of the total rent received under the lease, then the rent attributable to personal property will qualify as rents from real property; if this 15% threshold is exceeded, then the rent attributable to personal property will not so qualify. The portion of rental income treated as attributable to personal property is determined according to the ratio of the fair market value of the personal property to the total fair market value of the real and personal property that is rented.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rents from real property includes both charges we receive for services customarily rendered in connection with the rental of comparable real property in the same geographic area, as well as, in the opinion of our tax counsel, Sullivan &amp; Worcester LLP, charges we receive for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by our TRSs that are not geographically customary whether or not the charges are separately stated. We believe that our revenues from TRS-provided services qualify as rents from real property for one or both of these reasons.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many of the services we render at our tower sites, data centers and other facilities, we believe that these services have been and are of the type that are usually or customarily performed in connection with the rental of tower space, colocation space and other real property in the relevant geographic areas and that can be performed by a tax-exempt organization without generating UBTI, and that these services thus satisfy both customary standards above so that we may provide them without utilizing a TRS. Therefore, we believe that our provision of these customary services has not and will not cause rents and customary services revenues received with respect to our properties to fail to qualify as rents from real property. Impermissible tenant services at tower sites, data centers and other facilities generally have been and are expected to be provided by one or more independent contractors or TRSs under appropriate arrangements in order to avoid jeopardizing the qualification of our rental and related services revenues as rents from real property. If, contrary to our expectation, the IRS or a court were to determine that one or more services we provide to our tenants directly (and not through an independent contractor or a TRS) constitute impermissible tenant services, and that the amount of gross receipts we receive that is attributable to the provision of such services during a taxable year at a site or facility exceeds 1% of all gross receipts we received or accrued during such taxable year with respect to that site or facility, then all of the rents from that site or facility for such taxable year will be nonqualifying income for purposes of the 75% and 95% gross income tests. Although rents at any one site or facility are generally immaterial to our compliance with the 75% and 95% gross income tests, a finding by the IRS or a court of sufficient impermissible tenant services at a large number of sites or facilities could possibly jeopardize our ability to comply with the 95% gross income test, and, in an extreme case, possibly even jeopardize our ability to comply with the 75% gross income test. Under those circumstances, however, we expect that we would qualify for the gross income tests relief provision described below, and thereby would preserve our qualification for taxation as a REIT; however, the penalty taxes associated with this relief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In applying the above criteria, each lease or license of space is evaluated separately from each other lease or license, except that the 1% threshold for impermissible tenant services is applied on a site-by-site basis, as described above. For purposes of Section 856 of the Code, we believe that each site license under our master license agreements may be tested separately from each other site license under the above criteria, and we have received a private letter ruling from the IRS to that effect.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foreign properties, we have maintained, and will continue to maintain, appropriate books and records for our foreign properties in applicable local currencies. Accordingly, for federal income tax purposes, including presumably the 75% and 95% gross income tests summarized above, our income, gains and losses from our foreign operations that are not held in TRSs will generally be calculated first in the applicable local currency, and then translated into U.S. dollars at appropriate exchange rates as necessary. On the periodic repatriation of monies from such foreign operations to the United States, we will be required to recognize foreign exchange gains or losses; however, we believe that the foreign exchange gains we recognize from repatriation generally will constitute real estate foreign exchange gains under Section 856(n)(2) of the Code, and will thus be excluded from the 75% and 95% gross income tests summarized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own interests in entities that are controlled foreign corporations for federal income tax purposes (CFCs), we are deemed to receive our allocable share of certain income (referred to as Subpart F Income) earned by such CFCs whether or not that income is actually distributed to us. Numerous exceptions apply in determining whether an item of income is Subpart F Income, including exceptions for rent received from an unrelated person and derived in the active conduct of a trade or business. Rents from real property are generally treated as earned in an active trade or business if the landlord/licensor regularly performs active and substantial management and operational functions with respect to the property while it is leased or licensed, but only if such activities are performed through the landlord/licensors own officers or staff of employees. We believe that our CFCs generally satisfy this active rental exception, and accordingly we have not recognized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 not expect to recognize material amounts of Subpart F Income. Further, we must also include in gross income the global intangible low-taxed income in respect of our CFCs. Pursuant to administrative guidance from the IRS, our global intangible low-taxed income and any Subpart F Income that we recognize qualifies under the 95% gross income test. However, we do not believe that our global intangible low-taxed income or our Subpart F Income qualifies under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Other than sales of foreclosure property, any gain that we realize on the sale of property held as inventory or other property held primarily for sale to customers in the ordinary course of a trade or business, together known as dealer gains, may be treated as income from a prohibited transaction that is subject to a penalty tax at a 100% rate. The 100% tax does not apply to gains from the sale of property that is held through a TRS, although such income will be subject to tax in the hands of the TRS at regular corporate income tax rates; we may therefore utilize our TRSs in transactions in which we might otherwise recognize dealer gains. Whether property is held as inventory or primarily for sale to customers in the ordinary course of a trade or business is a question of fact that depends on all the facts and circumstances surrounding each particular transaction. Sections 857(b)(6)(C) and (E) of the Code provide safe harbors pursuant to which limited sales of real property held for at least two years and meeting specified additional requirements will not be treated as prohibited transactions. However, compliance with the safe harbors is not always achievable in practice. We attempt to structure our activities to avoid transactions that are prohibited transactions, or otherwise conduct such activities through TRSs; but, there can be no assurance as to whether the IRS might successfully assert that one or more of our dispositions is subject to the 100% penalty tax.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gain from dispositions of assets that we have recognized, or will recognize, in connection with our disposition of assets or other transactions, including through any partnerships, will generally qualify as income that satisfies the 75% and 95% gross income tests, and will not be dealer gains or subject to the 100% penalty tax. This is because our general intent has been and is to: (a) own and use our assets with a view to long-term income production and capital appreciation; (b) engage in the business of developing, owning, leasing and managing our existing towers and other properties and acquiring, developing, owning, leasing and managing new towers and properties; and (c) make occasional dispositions of our assets consistent with our long-term ownership objectives.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gross income test or the 95% gross income test in any taxable year, we may nevertheless qualify for taxation as a REIT for that year if we satisfy the following requirements: (a) our failure to meet the test is due to reasonable cause and not due to willful neglect; and (b) after we identify the failure, we file a schedule describing each item of our gross income included in the 75% gross income test or the 95% gross income test for that taxable year. Even if this relief provision does apply, a 100% tax is imposed upon the greater of the amount by which we failed the 75% gross income test or the amount by which we failed the 95% gross income test, with adjustments, multiplied by a fraction intended to reflect our profitability for the taxable year. This relief provision may apply to a failure of the applicable income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75% and 95% gross income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 xml:space="preserve">Asset Tests. </w:t>
      </w:r>
      <w:r>
        <w:rPr>
          <w:rFonts w:ascii="Times New Roman" w:hAnsi="Times New Roman"/>
          <w:sz w:val="20"/>
        </w:rPr>
        <w:t xml:space="preserve">At the close of each calendar quarter of each taxable year, we must also satisfy the following asset percentage tests in order to qualify for taxation as a REIT for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defined as real property (including interests in real property and interests in mortgages on real property or on interests in real property), ancillary personal property to the extent that rents attributable to such personal property are treated as rents from real property in accordance with the rules described above, cash and cash items, shares in other REITs, debt instruments issued by publicly offered REITs as defined in Section 562(c)(2) of the Code, government securities and temporary investments of new capital (that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 or debt instrument that we hold that is attributable to any amount received by us (a) in exchange for our stock or (b) in a public offering of our five-year or longer debt instruments, but in each case only for the one-year period commencing with our receipt of the new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securities other than those securities that count favorably toward the preceding 75% asset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investments included in the preceding 25% asset class, the value of any one non-REIT issuers securities that we own may not exceed 5% of the value of our total assets. In addition, we may not own more than 10% of the vote or value of any one non-REIT issuers outstanding securities, unless the securities are straight debt securities or otherwise excepted as described below. Our stock and other securities in a TRS are exempted from these 5% and 10% asset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20% of the value of our total assets may be represented by stock or other securities of our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nonqualified publicly offered REIT debt instruments as defined in Section 856(c)(5)(L)(ii)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although the matter is not free from doubt, our investments in the equity or debt of a TRS of ours, to the extent that and during the period in which they qualify as temporary investments of new capital, will be treated as real estate assets, and not as securities, for purposes of the above REIT asset tests.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 private letter ruling we have received from the IRS and subsequently finalized Treasury regulations, we have developed, and our board of directors has adopted and utilized, a valuation model that determines the portions of our intangible assets that are derived from and inseparable from our real property and our rental businesses. For purposes of the above REIT asset tests, the fair market values of our assets are as determined by our board of directors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above REIT asset tests must be satisfied at the close of each calendar quarter of each taxable year as a REIT. After a REIT meets the asset tests at the close of any quarter, it will not lose its qualification for taxation as a REIT in any subsequent quarter solely because of fluctuations in the values of its assets, including if the fluctuations are caused by changes in the foreign currency exchange rate used to value any foreign assets. This grandfathering rule may be of limited benefit to a REIT such as us that makes periodic acquisitions of both qualifying and nonqualifying REIT assets. When a failure to satisfy the above asset tests results from an acquisition of securities or other property during a quarter, the failure can be cured by disposition of sufficient nonqualifying assets within 30 days after the close of that quarter.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fail the 5% asset test, the 10% vote test or the 10% value test at the close of any quarter and we do not cure such failure within 30 days after the close of that quarter, that failure will nevertheless be excused if (a) the failure is de minimis and (b) within 6 months after the last day of the quarter in which we identify the failure, we either dispose of the assets causing the failure or otherwise satisfy the 5% asset test, the 10% vote test and the 10% value test. For purposes of this relief provision, the failure will be de minimis if the value of the assets causing the failure does not exceed $10,000,000. If our failure is not de minimis, or if any of the other REIT asset tests have been violated, we may nevertheless qualify for taxation as a REIT if (a) we provide the IRS with a description of each asset causing the failure, (b) the failure was due to reasonable cause and not willful neglect, (c) we pay a tax equal to the greater of (1) $50,000 or (2) the highest regular corporate income tax rate imposed on the net income generated by the assets causing the failure during the period of the failure, and (d) within 6 months after the last day of the quarter in which we identify the failure, we either dispose of the assets causing the failure or otherwise satisfy all of the REIT asset tests. These relief provisions may apply to a failure of the applicable asset tests even if the failure first occurred in a year prior to the taxable year in which the failure was discovered.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Code also provides an excepted securities safe harbor to the 10% value test that includes among other items (a) straight debt securities, (b) specified rental agreements in which payment is to be made in subsequent years, (c) any obligation to pay rents from real property, (d) securities issued by governmental entities that are not dependent in whole or in part on the profits of or payments from a nongovernmental entity, and (e) any security issued by another REIT. In addition, any debt instrument issued by an entity classified as a partnership for federal income tax purposes, and not otherwise excepted from the definition of a security for purposes of the above safe harbor, will not be treated as a security for purposes of the 10% value test if at least 75% of the partnerships gross income, excluding income from prohibited transactions, is qualifying income for purposes of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We have maintained and will continue to maintain records of the value of our assets to document our compliance with the above asset tests, and we intend to take actions as may be required to cure any failure to satisfy the tests within 30 days after the close of any quarter or within the six month periods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REIT asset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 xml:space="preserve">Annual Distribution Requirements. </w:t>
      </w:r>
      <w:r>
        <w:rPr>
          <w:rFonts w:ascii="Times New Roman" w:hAnsi="Times New Roman"/>
          <w:sz w:val="20"/>
        </w:rPr>
        <w:t xml:space="preserve">In order to qualify for taxation as a REIT under the Code, we are required to make annual distributions other than capital gain dividends to our stockholders in an amount at least equal to the excess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90% of our real estate investment trust taxable income and 90% of our net income after tax, if any, from property received in foreclosure, 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our noncash income (e.g., imputed rental income or income from transactions inadvertently failing to qualify as like-kind exchanges) exceeds 5% of our real estate investment trust taxable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our real estate investment trust taxable income is as defined under Section 857 of the Code and is computed without regard to the dividends paid deduction and our net capital gain and will generally be reduced by specified corporate-level income taxes that we pay (e.g., taxes on built-in gains). </w:t>
      </w:r>
    </w:p>
    <w:p>
      <w:pPr>
        <w:pStyle w:val="TextBody"/>
        <w:bidi w:val="0"/>
        <w:spacing w:before="240" w:after="0"/>
        <w:jc w:val="left"/>
        <w:rPr>
          <w:rFonts w:ascii="Times New Roman" w:hAnsi="Times New Roman"/>
          <w:sz w:val="20"/>
        </w:rPr>
      </w:pPr>
      <w:r>
        <w:rPr>
          <w:rFonts w:ascii="Times New Roman" w:hAnsi="Times New Roman"/>
          <w:sz w:val="20"/>
        </w:rPr>
        <w:t xml:space="preserve">The Code generally limits the deductibility of net interest expense paid or accrued on debt properly allocable to a trade or business to 30% of adjusted taxable income, subject to specified exceptions. Any deduction in excess of the limitation is carried forward and may be used in a subsequent year, subject to that years 30% limitation. Provided a taxpayer makes an election (which is irrevocable), the limitation on the deductibility of net interest expense does not apply to a trade or business involving real property development, redevelopment, construction, reconstruction, acquisition, conversion, rental, operation, management, leasing or brokerage, within the meaning of Section 469(c)(7)(C) of the Code. When this election is made, specified depreciable real property (including specified improvements) held by the electing real property trade or business must be depreciated under the alternative depreciation system under the Code, which generally imposes longer class lives. Treasury regulations provide that a real property trade or business includes a trade or business conducted by a REIT. We have made an election to be treated as a real property trade or business and accordingly do not expect the foregoing interest deduction limitations to apply to us or to the calculation of our real estate investment trust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must be paid in the taxable year to which they relate, or in the following taxable year if declared before we timely file our federal income tax return for the earlier taxable year and if paid on or before the first regular distribution payment after that declaration. If a dividend is declared in October, November or December to stockholders of record during one of those months and is paid during the following January, then for federal income tax purposes such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90% distribution requirements may be waived by the IRS if a REIT establishes that it failed to meet them by reason of distributions previously made to meet the requirements of the 4% excise tax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that we do not distribute all of our net capital gain and all of our real estate investment trust taxable income, as adjusted, we will be subject to federal income tax at corporate income tax rates on undistributed amounts to the extent not offset by our available net operating loss carryovers. If we fail to declare and pay dividends during each calendar year equal to at least the sum of (a) 85% of our ordinary income for such year, (b) 95% of our capital gain net income for such year, and (c) any undistributed net taxable income from prior periods, we will be subject to a nondeductible 4% excise tax on the excess of such required distribution over the sum of (i) the amounts actually distributed, plus (ii) the amounts of income we retained and on which we have paid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We may be able to rectify a failure to pay sufficient dividends for any year by paying deficiency dividends to stockholders in a later year. These deficiency dividends may be included in our deduction for dividends paid for the earlier year, but an interest charge would be imposed upon us for the delay in distribution. While the payment of a deficiency dividend will apply to a prior year for purposes of our REIT distribution requirements and our dividends paid deduction, it will be treated as an additional distribution to the stockholders receiving it in the year such dividend is paid.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distribution requirements above, to preserve our qualification for taxation as a REIT we are required to timely distribute all C corporation earnings and profits that we inherit from acquired corporations,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Acquisitions of C Corporations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our first taxable year as a REIT, we have engaged in and may in the future engage in transactions where we acquire all of the outstanding stock of a C corporation. From and after our first taxable year as a REIT, except to the extent we have made or do make an applicable TRS election, each of our acquired entities and their various wholly-owned corporate and noncorporate subsidiaries generally became or will become our QRSs. Thus, after such acquisitions, all assets, liabilities and items of income, deduction and credit of the acquired and then disregarded entities have been and will be treated as ours for purposes of the various REIT qualification tests described above. In addition, we generally have been and will be treated as the successor to the acquired (and then disregarded) entities federal income tax attributes, such as those entities (a) adjusted tax bases in their assets and their depreciation schedules; and (b) earnings and profits for federal income tax purposes, if any. The carryover of these attributes creates REIT implications such as built-in gains tax exposure and additional distribution requirements, as described below. However, when we make an election under Section 338(g) of the Code with respect to corporations that we acquire, we generally will not be subject to such attribute carryovers in respect of attributes existing prior to such election.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liquidate a TRS, convert a TRS to a QRS, or combine a TRS with an existing QRS, this generally constitutes a tax-free liquidation of the TRS into us, and we generally succeed to the former TRSs tax attributes such as adjusted tax bases, depreciation schedules, and earnings and profits. The carryover of these attributes creates REIT implications such as built-in gains tax exposure and additional distribution requirements, as described below. </w:t>
      </w:r>
    </w:p>
    <w:p>
      <w:pPr>
        <w:pStyle w:val="TextBody"/>
        <w:bidi w:val="0"/>
        <w:spacing w:before="240" w:after="0"/>
        <w:jc w:val="left"/>
        <w:rPr>
          <w:rFonts w:ascii="Times New Roman" w:hAnsi="Times New Roman"/>
          <w:sz w:val="20"/>
        </w:rPr>
      </w:pPr>
      <w:r>
        <w:rPr>
          <w:rFonts w:ascii="Times New Roman" w:hAnsi="Times New Roman"/>
          <w:i/>
          <w:sz w:val="20"/>
        </w:rPr>
        <w:t xml:space="preserve">Built-in Gains from C Corporations. </w:t>
      </w:r>
      <w:r>
        <w:rPr>
          <w:rFonts w:ascii="Times New Roman" w:hAnsi="Times New Roman"/>
          <w:sz w:val="20"/>
        </w:rPr>
        <w:t xml:space="preserve">Notwithstanding our qualification and taxation as a REIT, under specified circumstances we may be subject to corporate income taxation if we acquire a REIT asset where our adjusted tax basis in the asset is determined by reference to the adjusted tax basis of the asset as owned by a C corporation (such as an asset that we hold in a QRS following the liquidation or other conversion of a former TRS). For instance, we may be subject to federal income taxation on all or part of the built-in gain that was present on the last date an asset was owned by a C corporation, if we succeed to a carryover tax basis in that asset directly or indirectly from such C corporation and if we sell the asset during the five-year period beginning on the day the asset ceased being owned by such C corporation. In addition, if any assets so acquired are depreciated as personal property rather than real property, we may file appropriate accounting method changes in order that applicable assets will be depreciated in a fashion more commensurate with their status as real property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856 of the Code. The depreciation recapture resulting under Section 481(a) of the Code from these accounting method changes will be subject to applicable federal corporate income tax liability, including under Sections 337(d) and 1374 of the Code. We generally do not expect our occasional sale of assets to result in the imposition of a material built-in gains tax liability. If and when we do sell assets that may have associated built-in gains tax exposure, then we make appropriate provision for the associated tax liabilities on our financial statements. </w:t>
      </w:r>
    </w:p>
    <w:p>
      <w:pPr>
        <w:pStyle w:val="TextBody"/>
        <w:bidi w:val="0"/>
        <w:spacing w:before="240" w:after="0"/>
        <w:jc w:val="left"/>
        <w:rPr>
          <w:rFonts w:ascii="Times New Roman" w:hAnsi="Times New Roman"/>
          <w:sz w:val="20"/>
        </w:rPr>
      </w:pPr>
      <w:r>
        <w:rPr>
          <w:rFonts w:ascii="Times New Roman" w:hAnsi="Times New Roman"/>
          <w:i/>
          <w:sz w:val="20"/>
        </w:rPr>
        <w:t>Earnings and Profits</w:t>
      </w:r>
      <w:r>
        <w:rPr>
          <w:rFonts w:ascii="Times New Roman" w:hAnsi="Times New Roman"/>
          <w:sz w:val="20"/>
        </w:rPr>
        <w:t xml:space="preserve">. Following a liquidation of a TRS or other corporate acquisition, we must generally distribute all of the C corporation earnings and profits inherited in that transaction, if any, no later than the end of our taxable year in which the transaction occurs, in order to preserve our qualification for taxation as a REIT. However, if we fail to do so, relief provisions would allow us to maintain our qualification for taxation as a REIT provided we distribute any subsequently discovered C corporation earnings and profits and pay an interest charge in respect of the period of delayed distribution. C corporation earnings and profits that we inherit are, in general, specially allocated under a priority rule to the earliest possible distributions following the event causing the inheritance, and only then is the balance of our earnings and profits for the taxable year allocated among our distributions to the extent not already treated as a distribution of C corporation earnings and profits under the priority rule. Special rules apply if we liquidate a foreign TRS, including as to the federal income tax bases in the assets that carry over to us, and as to the foreign earnings and profits which we must generally include as additional, recognized dividend income that counts favorably toward the 95% gross income test but not the 75% gross income test. In general, we will be required to distribute to our stockholders as additional dividend income, by the end of our taxable year in which the liquidation or conversion occurs, the accumulated earnings and profits of the liquidated foreign TRS.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926217_18"/>
      <w:bookmarkEnd w:id="35"/>
      <w:r>
        <w:rPr>
          <w:rFonts w:ascii="Times New Roman" w:hAnsi="Times New Roman"/>
          <w:b/>
          <w:sz w:val="20"/>
        </w:rPr>
        <w:t xml:space="preserve">MATERIAL U.S. FEDERAL INCOME TAX CONSIDERATIONS RELEVANT TO HOLDERS 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acquisition, ownership and disposition of our stock. The opinion of our tax counsel, Sullivan &amp; Worcester LLP, attached hereto as Exhibit 8.1 addresses these considerations, as set forth in this summary. Our tax counsels opinions are conditioned (a) upon the assumption that our Certificate of Incorporation, communications site licenses, and all other applicable legal documents to which we have been or are a party have been and will be complied with by all parties to those documents, (b) upon the accuracy and completeness of the factual matters described in this prospectus, (c) upon private letter rulings issued to us by the IRS as to certain federal income tax matters, (d) upon representations made by us to the IRS in connection with those rulings and (e)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and their stockholders,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our stockholders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common stock, preferred stock, warrants, purchase contracts, units or depositary shares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consequences of acquiring, owning and disposing of stock in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In addition, this summary is not exhaustive of all possible tax consequences, and does not discuss any estate, gift, state, local or foreign tax consequences or the Medicare tax on net investment income. For all these reasons, we urge any holder of or prospective acquiror of our stock to consult their own tax advisor about the federal income tax and other tax consequences of the acquisition, ownership and disposition of our stock.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based on existing law, and is limited to investors who acquire and own shares of our stock as investment assets rather than as inventory or as property used in a trade or business.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marks-to-market our stock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stockholder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owns 10% or more (by vote or value, directly or constructively under the Code) of any class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stockholder (as defined below) whose investment in our stock is effectively connected with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shareholder (as defined in Section 897(k)(3)(A)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foreign pension fund (as defined in Section 897(l)(2) of the Code) or any entity wholly owned by one or more qualified foreign pension funds;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subject to special tax accounting rules under Section 451(b) of the Code may be subject to special rules not discussed below, and such investors are encouraged to consult with their own tax advisors regarding the application and federal income tax consequences of these rules. Further, all investors considering purchasing our stock are urged to consult their own tax advisors concerning the application of U.S. federal income tax laws to their particular situation as well as any consequences of the purchase, ownership and disposition of our stock arising under the laws of any state, local or non-U.S.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stockholder. For purposes of this summary, a U.S. stockholder is a beneficial owner of our stock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stockholder is not overridden by an applicable tax treaty. Conversely, a non-U.S. stockholder is a beneficial owner of our stock that is not an entity (or other arrangement) treated as a partnership for federal income tax purposes and is not a U.S.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stock, the tax treatment of a partner in the partnership generally will depend upon the tax status of the partner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of the partnership. Any entity (or other arrangement) treated as a partnership for federal income tax purposes that is a holder of our stock and the partners in such a partnership (as determined for federal income tax purposes) are urged to consult their own tax advisors about the federal income tax consequences and other tax consequences of the acquisition, ownership and disposition of our stock.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our stockholders will be subject to tax in the same manner as stockholders of a regular C corporation. In that event, to the extent of our current and accumulated earnings and profits, all distributions to our stockholders will generally be taxable as ordinary dividends potentially eligible for preferential tax rates described below and, for our corporate stockholders and subject to limitations in the Code, will be eligible for the dividends received deduction.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expect to make distributions to our stockholders from time to time. These distributions may include cash distributions, in kind distributions of property, and deemed or constructive distributions resulting from capital market activities. The U.S. federal income tax treatment of our distributions will vary based on the status of the recipient stockholder as more fully described below under the headings Taxation of Taxable U.S. Stockholders, Taxation of Tax-Exempt U.S. Stockholders, and Taxation of Non-U.S.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302 of the Code treats a redemption of our stock for cash only as a distribution under Section 301 of the Code, taxable as a dividend to the extent of our available current or accumulated earnings and profits, unless the redemption satisfies one of the tests set forth in Section 302(b) of the Code enabling the redemption to be treated as a sale or exchange of the shares of our stock. The redemption for cash only will be treated as a sale or exchange if it (a) is substantially disproportionate with respect to the surrendering stockholders ownership in us, (b) results in a complete termination of the surrendering stockholders entire share interest in us, or (c) is not essentially equivalent to a dividend with respect to the surrendering stockholder, all within the meaning of Section 302(b) of the Code. In determining whether any of these tests have been met, a stockholder must generally take into account shares of our stock considered to be owned by such stockholder by reason of constructive ownership rules set forth in the Code, as well as shares of our stock actually owned by such stockholder. In addition, if a redemption is treated as a distribution under the preceding tests, then a stockholders tax basis in the redeemed shares of our stock generally will be transferred to the stockholders remaining shares of our stock, if any, and if such stockholder owns no other shares of our stock, such basis generally may be transferred to a related person or may be lost entirely. Because the determination as to whether a stockholder will satisfy any of the tests of Section 302(b) of the Code depends upon the facts and circumstances at the time that shares of our stock are redeemed, we urge you to consult your own tax advisor to determine your particular tax treatment of any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noncorporate U.S. stockholders, to the extent that their total adjusted income does not exceed applicable thresholds, the maximum federal income tax rate for long-term capital gains and most corporate dividends is generally 15%. For those noncorporate U.S. stockholders whose total adjusted income exceeds the applicable thresholds, the maximum federal income tax rate for long-term capital gains and most corporate dividends is generally 20%. However, because we are not generally subject to federal income tax on the portion of our real estate investment trust taxable income distributed to our stockholders, dividends on our stock generally are not eligible for these preferential tax rates, except that any distribution of C corporation earnings and profits, taxed built-in gain items and recognized dividend income in respect of foreign earnings and profits from qualifying TRSs will potentially be eligible for these preferential tax rates for qualified dividend income. As a result, our ordinary dividends are generally taxed at the higher federal income tax rates applicable to ordinary income (subject to the lower effective tax rates applicable to qualified REIT dividends via the deduction-without-outlay mechanism of Section 199A of the Code, which is generally available for taxable years before 2026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noncorporate U.S. stockholders that meet specified holding period requirements). To summarize, the preferential federal income tax rates for long-term capital gains and for qualified dividends generally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capital gains, if any, recognized on the disposition of shares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distributions designated as long-term capital gain dividends (except to the extent attributable to real estate depreciation recapture, in which case the distributions are subject to a maximum 25% federal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dividend income, if any, received by us from C corporations such as domestic TRSs and qualifying foreign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earnings and profits that we inherit from C corporations;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to the extent attributable to income upon which we have paid federal corporate income tax (such as sale gains subject to taxes on built-in gains), net of the corporate income taxes thereon.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long as we qualify for taxation as a REIT, a distribution to our U.S. stockholders that we do not designate as a capital gain dividend generally will be treated as an ordinary income dividend to the extent of our available current or accumulated earnings and profits (subject to the lower effective tax rates applicable to qualified REIT dividends via the deduction-without-outlay mechanism of Section 199A of the Code, which is generally available for taxable years before 2026 to our noncorporate U.S. stockholders that meet specified holding period requirements). Distributions made out of our current or accumulated earnings and profits that we properly designate as capital gain dividends generally will be taxed as long-term capital gains, as described below, to the extent they do not exceed our actual net capital gain for the taxable year. However, corporate U.S. stockholders may be required to treat up to 20% of any capital gain dividend as ordinary income under Section 291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retain net capital gain income and treat it as constructively distributed. In that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capital gains tax rates on retained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be taxed on its designated proportionate share of our retained net capital gains as though that amount was distributed and designated as a capital gain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receive a credit or refund for its designated proportionate share of the tax that we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increase its adjusted basis in our stock by the excess of the amount of its proportionate share of these retained net capital gains over the U.S. stockholders proportionate share of the tax that we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we and our corporate stockholders will make commensurate adjustments in our respective earnings and profits for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elect to retain our net capital gains in this fashion, we will notify our U.S. stockholders of the relevant tax information within 60 days after the close of the affected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for any taxable year we designate capital gain dividends for our U.S. stockholders, then a portion of the capital gain dividends we designate will be allocated to the holders of a particular class of stock on a percentage basis equal to the ratio of the amount of the total dividends paid or made available for the year to the holders of that class of stock to the total dividends paid or made available for the year to holders of all outstanding classes of our stock. We will similarly designate the portion of any dividend that is to be taxed to noncorporate U.S. stockholders at preferential maximum rates (including any qualified dividend income and any capital gains attributable to real estate depreciation recapture that are subject to a maximum 25% federal income tax rate) so that the designations will be proportionate among all outstanding classes of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Distributions in excess of our current or accumulated earnings and profits will not be taxable to a U.S. stockholder to the extent that they do not exceed the U.S. stockholders adjusted tax basis in our stock, but will reduce the U.S. stockholders basis in such stock. To the extent that these excess distributions exceed a U.S. stockholders adjusted basis in such stock, they will be included in income as capital gain, with long-term gain generally taxed to noncorporate U.S. stockholders at preferential maximum rates. No U.S. stockholder may include on its federal income tax return any of our net operating losses or any of our capital losses. In addition, no portion of any of our dividends is eligible for the dividends received deduction for corporate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 dividend is declared in October, November or December to stockholders of record during one of those months and is paid during the following January, then for federal income tax purposes the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generally recognize gain or loss equal to the difference between the amount realized and the U.S. stockholders adjusted basis in our stock that is sold or exchanged. This gain or loss will be capital gain or loss, and will be long-term capital gain or loss if the U.S. stockholders holding period in the stock exceeds one year. In addition, any loss upon a sale or exchange of our stock held for six months or less will generally be treated as a long-term capital loss to the extent of any long-term capital gain dividends we paid on such stock during the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disposition of our stock in an amount that exceeds certain thresholds beginning as low as $2,000,000 (and currently described in more detail in the instructions to IRS Form 8886), it is possible that the provisions of Treasury regulations involving reportable transactions could apply, with a resulting requirement to separately disclose the loss-generating transaction to the IRS. Failure to comply with these requirements could result in significant penalties. </w:t>
      </w:r>
    </w:p>
    <w:p>
      <w:pPr>
        <w:pStyle w:val="TextBody"/>
        <w:bidi w:val="0"/>
        <w:spacing w:before="240" w:after="0"/>
        <w:jc w:val="left"/>
        <w:rPr>
          <w:rFonts w:ascii="Times New Roman" w:hAnsi="Times New Roman"/>
          <w:sz w:val="20"/>
        </w:rPr>
      </w:pPr>
      <w:r>
        <w:rPr>
          <w:rFonts w:ascii="Times New Roman" w:hAnsi="Times New Roman"/>
          <w:sz w:val="20"/>
        </w:rPr>
        <w:t xml:space="preserve">Noncorporate U.S. stockholders who borrow funds to finance their acquisition of our stock could be limited in the amount of deductions allowed for the interest paid on the indebtedness incurred. Under Section 163(d) of the Code, interest paid or accrued on indebtedness incurred or continued to purchase or carry property held for investment is generally deductible only to the extent of the investors net investment income. A U.S. stockholders net investment income will include ordinary income dividend distributions received from us and, only if an appropriate election is made by the U.S. stockholder, capital gain dividend distributions and qualified dividends received from us; however, distributions treated as a nontaxable return of the stockholders basis will not enter into the computation of net investment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federal income taxation of tax-exempt entities are complex, and the following discussion is intended only as a summary of material consequences to such investors of an investment in our stock. If you are a tax-exempt stockholder, we urge you to consult your own tax advisor to determine the impact of federal, state, local and foreign tax laws, including any tax return filing and other reporting requirements, with respect to your acquisition of or investment in our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stockholders that are tax-exempt pension plans, individual retirement accounts or other qualifying tax-exempt entities, and that receive (a) distributions from us, or (b) proceeds from the sale of our stock, should not have such amounts treated as UBTI, provided in each case (x) that the stockholder has not financed its acquisition of our stock with acquisition indebtedness within the meaning of the Code, (y) that the stock is not otherwise used in an unrelated trade or business of the tax-exempt entity, and (z) that, consistent with our present intent, we do not hold a residual interest in a real estate mortgage investment conduit or otherwise hold mortgage assets or conduct mortgage securitization activities that generate excess inclusion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non-U.S. stockholders are complex, and the following discussion is intended only as a summary of material consequences to such investors of an investment in our stock. If you are a non-U.S. stockholder, we urge you to consult your own tax advisor to determine the impact of U.S. federal, state, local and foreign tax laws, including any tax return filing and other reporting requirements, with respect to your acquisition of or investment in our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a non-U.S. stockholders receipt of (a) distributions from us, and (b) proceeds from the sale of our stock, will not be treated as income effectively connected with a U.S. trade or business and a non-U.S. stockholder will therefore not be subject to the often higher federal tax and withholding rates, branch profits taxes and increased reporting and filing requirements that apply to income effectively connected with a U.S. trade or business. This expectation and a number of the determinations below are predicated on our stock (including our common stock) being listed on a U.S. national securities exchange, such as the NYSE. Each class of our stock has been listed on a U.S. national securities exchange; however, we can provide no assurance that our common stock will continue to be so listed in future taxable years or that any class of our stock that we may issue in the future will be so listed. </w:t>
      </w:r>
    </w:p>
    <w:p>
      <w:pPr>
        <w:pStyle w:val="TextBody"/>
        <w:bidi w:val="0"/>
        <w:spacing w:before="240" w:after="0"/>
        <w:jc w:val="left"/>
        <w:rPr>
          <w:rFonts w:ascii="Times New Roman" w:hAnsi="Times New Roman"/>
          <w:sz w:val="20"/>
        </w:rPr>
      </w:pPr>
      <w:r>
        <w:rPr>
          <w:rFonts w:ascii="Times New Roman" w:hAnsi="Times New Roman"/>
          <w:i/>
          <w:sz w:val="20"/>
        </w:rPr>
        <w:t xml:space="preserve">Distributions. </w:t>
      </w:r>
      <w:r>
        <w:rPr>
          <w:rFonts w:ascii="Times New Roman" w:hAnsi="Times New Roman"/>
          <w:sz w:val="20"/>
        </w:rPr>
        <w:t xml:space="preserve">A distribution by us to a non-U.S. stockholder that is not designated as a capital gain dividend will be treated as an ordinary income dividend to the extent that it is made out of our current or accumulated earnings and profits. A distribution of this type will generally be subject to U.S. federal income tax and withholding at the rate of 30%, or at a lower rate if the non-U.S. stockholder has in the manner prescribed by the IRS demonstrated to the applicable withholding agent its entitlement to benefits under a tax treaty. Because we cannot determine our current and accumulated earnings and profits until the end of the taxable year, withholding at the statutory rate of 30% or applicable lower treaty rate will generally be imposed on the gross amount of any distribution to a non-U.S. stockholder that we make and do not designate as a capital gain dividend. Notwithstanding this potential withholding on distributions in excess of our current and accumulated earnings and profits, these excess portions of distributions are a nontaxable return of capital to the extent that they do not exceed the non-U.S. stockholders adjusted basis in our stock, and the nontaxable return of capital will reduce the adjusted basis in such stock. To the extent that distributions in excess of our current and accumulated earnings and profits exceed the non-U.S. stockholders adjusted basis in our stock, the distributions will give rise to federal income tax liability only in the unlikely event that the non-U.S. stockholder would otherwise be subject to tax on any gain from the sale or exchange of such stock, as described below under the heading Dispositions of Our Stock. A non-U.S. stockholder may seek a refund from the IRS of amounts withheld on distributions to it in excess of such stockholders allocable share of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a class of our stock is listed on a U.S. national securities exchange, capital gain dividends that we declare and pay to a non-U.S. stockholder on shares of that class of stock, as well as dividends to a non-U.S. stockholder on shares of that class of stock attributable to our sale or exchange of United States real property interests within the meaning of Section 897 of the Code (USRPIs) will not be subject to withholding as though those amounts were effectively connected with a U.S. trade or business, and non-U.S. stockholders will not be required to file U.S. federal income tax returns or pay branch profits tax in respect of these dividends. Instead, these dividends will generally be treated as ordinary dividends and subject to withholding in the manner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Tax treaties may reduce the withholding obligations on our distributions. Under some treaties, however, rates below 30% that are applicable to ordinary income dividends from U.S. corporations may not apply to ordinary income dividends from a REIT or may apply only if the REIT meets specified additional conditions. A non-U.S. stockholder must generally use an applicable IRS Form W-8, or substantially similar form, to claim tax treaty benefits. If the amount of tax withheld with respect to a distribution to a non-U.S. stockholder exceeds the stockholders U.S. federal income tax liability with respect to the distribution, the non-U.S. stockholder may file for a refund of the excess from the IRS. Treasury regulations also provide special rules to determine whether,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of determining the applicability of a tax treaty, our distributions to a non-U.S. stockholder that is an entity should be treated as paid to the entity or to those owning an interest in that entity, and whether the entity or its owners are entitled to benefits under the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class of our stock was not listed on a U.S. national securities exchange and we made a distribution on that stock that was attributable to gain from the sale or exchange of a USRPI, then a non-U.S. stockholder holding that stock would be taxed as if the distribution was gain effectively connected with a trade or business in the United States conducted by the non-U.S. stockholder. In addition, the applicable withholding agent would be required to withhold from a distribution to such a non-U.S. stockholder, and remit to the IRS, up to 21% of the maximum amount of any distribution that was or could have been designated as a capital gain dividend. The non-U.S. stockholder also would generally be subject to the same treatment as a U.S. stockholder with respect to the distribution (subject to any applicable alternative minimum tax and a special alternative minimum tax in the case of a nonresident alien individual), would be subject to fulsome U.S. federal income tax return reporting requirements, and, in the case of a corporate non-U.S. stockholder, may owe the up to 30% branch profits tax under Section 884 of the Code (or lower applicable tax treaty rate) in respect of these amounts. </w:t>
      </w:r>
    </w:p>
    <w:p>
      <w:pPr>
        <w:pStyle w:val="TextBody"/>
        <w:bidi w:val="0"/>
        <w:spacing w:before="240" w:after="0"/>
        <w:jc w:val="left"/>
        <w:rPr>
          <w:rFonts w:ascii="Times New Roman" w:hAnsi="Times New Roman"/>
          <w:sz w:val="20"/>
        </w:rPr>
      </w:pPr>
      <w:r>
        <w:rPr>
          <w:rFonts w:ascii="Times New Roman" w:hAnsi="Times New Roman"/>
          <w:i/>
          <w:sz w:val="20"/>
        </w:rPr>
        <w:t xml:space="preserve">Dispositions of Our Stock. </w:t>
      </w:r>
      <w:r>
        <w:rPr>
          <w:rFonts w:ascii="Times New Roman" w:hAnsi="Times New Roman"/>
          <w:sz w:val="20"/>
        </w:rPr>
        <w:t xml:space="preserve">If, as expected, our stock is not a USRPI, then a non-U.S. stockholders gain on the sale of our stock generally will not be subject to U.S. federal income taxation or withholding. We expect that our stock will not be a USRPI because one or both of the following exemptions will be available at all times. </w:t>
      </w:r>
    </w:p>
    <w:p>
      <w:pPr>
        <w:pStyle w:val="TextBody"/>
        <w:bidi w:val="0"/>
        <w:spacing w:before="240" w:after="0"/>
        <w:jc w:val="left"/>
        <w:rPr>
          <w:rFonts w:ascii="Times New Roman" w:hAnsi="Times New Roman"/>
          <w:sz w:val="20"/>
        </w:rPr>
      </w:pPr>
      <w:r>
        <w:rPr>
          <w:rFonts w:ascii="Times New Roman" w:hAnsi="Times New Roman"/>
          <w:sz w:val="20"/>
        </w:rPr>
        <w:t xml:space="preserve">First, for so long as a class of our stock is listed on a U.S. national securities exchange, a non-U.S. stockholders gain on the sale of that stock will not be subject to U.S. federal income taxation as a sale of a USRPI. Second, shares of our stock will not constitute USRPIs if we are a domestically controlled REIT. We will be a domestically controlled REIT if less than 50% of the value of our stock (including any future class of stock that we may issue) is held, directly or indirectly, by non-U.S. stockholders at all times during the preceding five years, after applying specified presumptions regarding the ownership of shares of our stock as described in Section 897(h)(4)(E) of the Code. For these purposes, we believe that the statutory ownership presumptions apply to validate our status as a domestically controlled REIT. Accordingly, we believe that we are and will remain a domestically controlled REIT.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gain on the sale of our stock is subject to U.S. federal income taxation (for example, because neither of the above exemptions were then available, i.e., that class of our stock was not then listed on a U.S. national securities exchange and we were not a domestically controlled REIT), then (a) a non-U.S. stockholder would generally be subject to the same treatment as a U.S. stockholder with respect to its gain (subject to any applicable alternative minimum tax and a special alternative minimum tax in the case of nonresident alien individuals), (b) the non-U.S. stockholder would also be subject to fulsome U.S. federal income tax return reporting requirements, and (c) a purchaser of that class of our stock from the non-U.S. stockholder may be required to withhold 15% of the purchase price paid to the non-U.S. stockholder and to remit the withheld amount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backup withholding and foreign account withholding may apply to distributions or proceeds paid to our stockholders. Information returns will be filed with the IRS in connection with distributions on our stock made to, and proceeds of dispositions of our stock effected by, certain stockholders. In addition, certain U.S. stockholders may be subject to backup withholding in respect of such amounts if they do not provide their taxpayer identification numbers to the person from whom they receive payments. Non-U.S. stockholders may be required to comply with applicable certification procedures to establish that they are not U.S. stockholders in order to obtain exemption from backup withholding and any available exemption from information reporting requirements. The amount of any backup withholding from a payment to a U.S. or non-U.S. stockholder will be allowed as a credit against the stockholders U.S. federal income tax liability and may entitle the stockholder to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any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dividends on our stock. In general, to avoid withholding, any non-U.S. intermediary through which a stockholder owns our stock must establish its compliance with the foregoing regime, and a non-U.S. stockholder must provide specified documentation (usually an applicable IRS Form W-8) containing information about its identity, its status, and if required its direct and indirect U.S. owners. Non-U.S. stockholders and stockholders who hold our stock through a non-U.S. intermediary are urged to consult their own tax advisor regarding foreign account tax compliance. </w:t>
      </w:r>
    </w:p>
    <w:p>
      <w:pPr>
        <w:pStyle w:val="TextBody"/>
        <w:bidi w:val="0"/>
        <w:spacing w:before="240" w:after="0"/>
        <w:jc w:val="left"/>
        <w:rPr>
          <w:rFonts w:ascii="Times New Roman" w:hAnsi="Times New Roman"/>
          <w:sz w:val="20"/>
        </w:rPr>
      </w:pPr>
      <w:r>
        <w:rPr>
          <w:rFonts w:ascii="Times New Roman" w:hAnsi="Times New Roman"/>
          <w:sz w:val="20"/>
        </w:rPr>
        <w:t xml:space="preserve">To satisfy withholding obligations, the applicable withholding agent may collect the amount of U.S. federal tax required to be withheld by reducing to cash for remittance to the IRS a sufficient portion of the property that the stockholder would otherwise receive or own, and the stockholder may bear brokerage or other costs for this withholding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926217_19"/>
      <w:bookmarkEnd w:id="36"/>
      <w:r>
        <w:rPr>
          <w:rFonts w:ascii="Times New Roman" w:hAnsi="Times New Roman"/>
          <w:b/>
          <w:sz w:val="20"/>
        </w:rPr>
        <w:t xml:space="preserve">MATERIAL U.S. FEDERAL INCOME TAX CONSIDERATIONS RELEVANT TO HOLDERS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purchase of fixed rate debt securities covered by this prospectus. A discussion of the specific U.S. federal income tax considerations that may be relevant to persons considering the purchase of convertible debt securities, short-term debt securities (generally, debt securities having maturities of not more than one year), floating rate debt securities or foreign currency debt securities,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which does not represent tax advice, is based on laws, regulations, rulings and decisions now in effect, all of which are subject to change (potentially with retroactive effect) or possible differing interpretations. This summary deals only with debt securities that will be held as capital assets and, except where otherwise specifically stated, is addressed only to persons who purchase debt securities in the initial offering.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debt securities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debt securities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any state, local, foreign or other tax considerations not specifically addressed below or the Medicare tax on net investment income. In addition, prospective purchasers of debt securities who are subject to special tax accounting rules under Section 451(b) of the Code may be subject to special rules not discussed below, and such prospective purchasers are encouraged to consult with their own tax advisors regarding the application and federal income tax consequences of these rules. Further, all prospective purchasers of debt securities should review the accompanying prospectus supplements for summaries of special federal income tax considerations that may be relevant to a particular issue of debt securities, and are urged to consult their own tax advisors concerning the application of U.S. federal income tax laws and other tax consequences to their particular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Holder. For purposes of this summary, a U.S. Holder is a beneficial owner of a debt security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Holder is not overridden by an applicable tax treaty. Conversely, a Non-U.S. Holder is a beneficial owner of a debt security that is not an entity (or other arrangement) treated as a partnership for U.S. federal income tax purposes and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debt securities, the tax treatment of a partner in the partnership generally will depend upon the tax status of the partner and the activities of the partnership. Any entity (or other arrangement) treated as a partnership for federal income tax purposes that is a holder of our debt securities and the partners in such a partnership (as determined for federal income tax purposes) are urged to consult their own tax advisors about the federal income tax consequences and other tax consequences of the acquisition, ownership and disposition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we may choose or be obligated to pay amounts in excess of the stated interest or principal on our debt securities or redeem debt securities (including with any applicable premium) prior to their stated maturity. Notwithstanding the possibility of such payments, under applicable Treasury regulations, payments on debt securities that are subject to either a remote or incidental contingency may be ignored. For this reason, unless we give notice in the accompanying prospectus supplement to the contrary, we intend to take the position that our debt securities will not be treated as contingent payment debt instruments under the applicable Treasury regulations. Our determination that our debt securities are not contingent payment debt instruments is not binding on the IRS. Our determination that our debt securities are not contingent payment debt instruments is binding on you unless you disclose your contrary position to the IRS in the manner prescribed by applicable Treasury regulations. If the IRS were to challenge successfully this determination and our debt securities were treated as contingent payment debt instruments, you might be required, among other things, to accrue interest income (regardless of your method of accounting for federal income tax purposes) at a rate higher than the stated interest rate on our debt securities, and treat as ordinary income, rather than as capital gain, any gain recognized on a sale, exchange or redemption of a debt security. Prospective purchasers of our debt securities are urged to consult their tax advisors regarding the tax consequences of debt securities being treated as contingent payment debt instruments. The remainder of this discussion assumes that our debt securities will not be treated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i/>
          <w:sz w:val="20"/>
        </w:rPr>
        <w:t>Payments of Interest</w:t>
      </w:r>
      <w:r>
        <w:rPr>
          <w:rFonts w:ascii="Times New Roman" w:hAnsi="Times New Roman"/>
          <w:sz w:val="20"/>
        </w:rPr>
        <w:t xml:space="preserve">. Payments of qualified stated interest (as defined below under Original Issue Discount) on a debt security will be taxable to a U.S. Holder as ordinary interest income at the time that such payments are accrued or are received (in accordance with the U.S. Holders method of tax accounting). </w:t>
      </w:r>
    </w:p>
    <w:p>
      <w:pPr>
        <w:pStyle w:val="TextBody"/>
        <w:bidi w:val="0"/>
        <w:spacing w:before="240" w:after="0"/>
        <w:jc w:val="left"/>
        <w:rPr>
          <w:rFonts w:ascii="Times New Roman" w:hAnsi="Times New Roman"/>
          <w:sz w:val="20"/>
        </w:rPr>
      </w:pPr>
      <w:r>
        <w:rPr>
          <w:rFonts w:ascii="Times New Roman" w:hAnsi="Times New Roman"/>
          <w:i/>
          <w:sz w:val="20"/>
        </w:rPr>
        <w:t>Purchase, Sale, Exchange, Retirement or other Disposition of Debt Securities</w:t>
      </w:r>
      <w:r>
        <w:rPr>
          <w:rFonts w:ascii="Times New Roman" w:hAnsi="Times New Roman"/>
          <w:sz w:val="20"/>
        </w:rPr>
        <w:t xml:space="preserve">. A U.S. Holders tax basis in a debt security generally will equal the cost of such debt security to such U.S. Holder, increased by (as described below) any amounts includible in income by the U.S. Holder as original issue discount (OID) and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discount, and reduced by (as described below) any amortized premium and any payments other than payments of qualified stated interest made on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retirement or other disposition of a debt security, a U.S. Holder generally will recognize gain or loss equal to the difference between the amount realized on the sale, exchange or retirement (less any accrued qualified stated interest (as defined below under Original Issue Discount), which will be taxable as such) and the U.S. Holders adjusted tax basis in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with respect to market discount, gain or loss recognized by a U.S. Holder generally will be long-term capital gain or loss if the U.S. Holder has held the debt security for more than one year at the time of disposition. Long-term capital gains recognized by a noncorporate U.S. Holder, including an individual, generally are subject to tax at a lower rate than short-term capital gains or ordinary income.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Original Issue Discount</w:t>
      </w:r>
      <w:r>
        <w:rPr>
          <w:rFonts w:ascii="Times New Roman" w:hAnsi="Times New Roman"/>
          <w:sz w:val="20"/>
        </w:rPr>
        <w:t xml:space="preserve">. In addition to, or as an alternative to, bearing qualified stated interest (as defined below), a debt security may be issued with OID. U.S. Holders of debt securities with OID generally will be subject to the special tax accounting rules for obligations issued with OID provided by the Code and certain regulations promulgated thereunder. Debt securities issued with OID will be referred to as original issue discount debt securities. Notice will be given in the accompanying prospectus supplement when we determine that a particular debt security is an original issue discount debt security. U.S. Holders of such original issue discount debt securities should be aware that, as described in greater detail below, they generally must include OID in ordinary gross income for federal income tax purposes as it accrues, in advance of the receipt of cash attributable to that income.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will generally be considered to be issued with OID if its stated redemption price at maturity (as defined below) exceeds its issue price (as defined below) by an amount equal to or greater than the product of 0.25% of such stated redemption price multiplied by the number of complete years to maturity. The stated redemption price at maturity of a debt security is generally the sum of all payments to be made on the debt security other than qualified stated interest (as defined below). Qualified stated interest is generally stated interest that is unconditionally payable in cash or in property (other than our debt instruments) at least annually during the entire term of a debt security at a single fixed rate or, subject to certain conditions, based on one or more interest indices. The issue price of each debt security in a particular offering will generally be the first price at which a substantial amount of that particular offering is sold to the public (ignoring sales to underwriters, placement agents or wholesalers). </w:t>
      </w:r>
    </w:p>
    <w:p>
      <w:pPr>
        <w:pStyle w:val="TextBody"/>
        <w:bidi w:val="0"/>
        <w:spacing w:before="240" w:after="0"/>
        <w:jc w:val="left"/>
        <w:rPr>
          <w:rFonts w:ascii="Times New Roman" w:hAnsi="Times New Roman"/>
          <w:sz w:val="20"/>
        </w:rPr>
      </w:pPr>
      <w:r>
        <w:rPr>
          <w:rFonts w:ascii="Times New Roman" w:hAnsi="Times New Roman"/>
          <w:sz w:val="20"/>
        </w:rPr>
        <w:t xml:space="preserve">In general, each U.S. Holder of an original issue discount debt security, whether such U.S. Holder uses the cash or the accrual method of tax accounting, will be required to include in ordinary gross income the sum of the daily portions of OID on the debt security for all days during the taxable year that the U.S. Holder owns the debt security. The daily portions of OID on an original issue discount debt security are determined by allocating to each day in any accrual period a ratable portion of the OID allocable to that accrual period. Accrual periods may be any length and may vary in length over the term of an original issue discount debt security, provided that no accrual period is longer than one year and each scheduled payment of principal or interest occurs on either the final day or the first day of an accrual period. In the case of an initial U.S. Holder, the amount of OID on an original issue discount debt security allocable to each accrual period is determined by (a) multiplying the adjusted issue price (as defined below) of the original issue discount debt security at the beginning of the accrual period by the yield to maturity (as defined below) of such original issue discount debt security (appropriately adjusted to reflect the length of the accrual period) and (b) subtracting from that product the amount (if any) of qualified stated interest allocable to that accrual period. The yield to maturity of a debt security is the discount rate that causes the present value of all payments on the debt security as of its original issue date to equal the issue price of such debt security. The adjusted issue price of an original issue discount debt security at the beginning of any accrual period will generally be the sum of its issue price (generally including accrued interest, if any) and the amount of OID allocable to all prior accrual periods, reduced by the amount of all payments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payments of qualified stated interest (if any) made with respect to such debt security in all prior accrual periods. As a result of this constant-yield method of including OID in income, the amounts includible in income by a U.S. Holder in respect of an original issue discount debt security denominated in U.S. dollars generally are lesser in the early years and greater in the later years than the amounts that would be includible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A U.S. Holder generally may make an irrevocable election to include in its income its entire return on a debt security (i.e., the excess of all remaining payments to be received on the debt security, including payments of qualified stated interest, over the amount paid by such U.S. Holder for such debt security) under the constant-yield method described above. For debt securities purchased at a premium or bearing market discount in the hands of the U.S. Holder, the U.S. Holder making such election will also be deemed to have made the election (described below under Premium and Market Discount) to amortize premium or to accrue market discount in income currently on a constant-yield basis. </w:t>
      </w:r>
    </w:p>
    <w:p>
      <w:pPr>
        <w:pStyle w:val="TextBody"/>
        <w:bidi w:val="0"/>
        <w:spacing w:before="240" w:after="0"/>
        <w:jc w:val="left"/>
        <w:rPr>
          <w:rFonts w:ascii="Times New Roman" w:hAnsi="Times New Roman"/>
          <w:sz w:val="20"/>
        </w:rPr>
      </w:pPr>
      <w:r>
        <w:rPr>
          <w:rFonts w:ascii="Times New Roman" w:hAnsi="Times New Roman"/>
          <w:sz w:val="20"/>
        </w:rPr>
        <w:t xml:space="preserve">A subsequent U.S. Holder of an original issue discount debt security that purchases the debt security at a cost less than the sum of the remaining payments to be made on the debt security (other than payments of qualified stated interest), or an initial U.S. Holder that purchases an original issue discount debt security at a price other than the debt securitys issue price, also generally will be required to include in gross income the daily portions of OID, calculated as described above. However, if such U.S. Holder acquires the original issue discount debt security with acquisition premium (i.e., at a price greater than its adjusted issue price, which in the case of an initial U.S. Holder would be the issue price), the U.S. Holder is required to reduce its periodic inclusions of OID income by a portion of the acquisition premium equal to the ratio of the OID that would otherwise be includable in such U.S. Holders income with respect to the debt security during the current taxable year, over the total remaining OID on the debt security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debt securities may be subject to special redemption, repayment or interest rate reset features, as indicated in the applicable prospectus supplement. Debt securities containing such features, in particular original issue discount debt securities, may be subject to special rules that differ from the general rules described above. Purchasers of debt securities with such features should carefully examine the accompanying prospectus supplement and are urged to consult their own tax advisors with respect to such debt securities because the tax consequences with respect to such features, and especially with respect to OID, will depend, in part, on the particular terms of the purchased debt securities. </w:t>
      </w:r>
    </w:p>
    <w:p>
      <w:pPr>
        <w:pStyle w:val="TextBody"/>
        <w:bidi w:val="0"/>
        <w:spacing w:before="240" w:after="0"/>
        <w:jc w:val="left"/>
        <w:rPr>
          <w:rFonts w:ascii="Times New Roman" w:hAnsi="Times New Roman"/>
          <w:sz w:val="20"/>
        </w:rPr>
      </w:pPr>
      <w:r>
        <w:rPr>
          <w:rFonts w:ascii="Times New Roman" w:hAnsi="Times New Roman"/>
          <w:i/>
          <w:sz w:val="20"/>
        </w:rPr>
        <w:t>Premium and Market Discount</w:t>
      </w:r>
      <w:r>
        <w:rPr>
          <w:rFonts w:ascii="Times New Roman" w:hAnsi="Times New Roman"/>
          <w:sz w:val="20"/>
        </w:rPr>
        <w:t xml:space="preserve">. A U.S. Holder of a debt security that purchases the debt security at a cost greater than the sum of the remaining payments to be made on the debt security (other than payments of qualified stated interest) will be considered to have purchased the debt security at a premium, and may elect to amortize such premium (as an offset to interest income), using a constant-yield method, over the remaining term of the debt security. Such election, once made, generally applies to all debt securities held or subsequently acquired by the U.S. Holder on or after the first taxable year to which the election applies and may not be revoked without the consent of the IRS. A U.S. Holder that elects to amortize such premium must reduce its tax basis in a debt security by the amount of the premium amortized during its holding period. Original issue discount debt securities purchased at a premium will not be subject to the OID rules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U.S. Holder that does not elect to amortize bond premium, the amount of bond premium will be included in the U.S. Holders tax basis when the debt security matures or is disposed of by the U.S. Holder. Therefore, a U.S. Holder that does not elect to amortize such premium and that holds the debt security to maturity generally will be required to treat the premium as a capital loss when the debt security matures. If the non-electing U.S. Holder disposes of the debt security prior to maturity, the premium will decrease the gain or increase the loss that the U.S. Holder would otherwise recognize on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of a debt security purchases the debt security at a price that is lower than the sum of the remaining payments to be made on the debt security (other than payments of qualified stated interest)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case of an original issue discount debt security, its adjusted issue price, by at least 0.25% of the sum of the remaining payments to be made on the debt security (other than payments of qualified stated interest) multiplied by the number of remaining whole years to maturity, the debt security will be considered to have market discount in the hands of such U.S. Holder. In such case, gain realized by the U.S. Holder on the disposition of the debt security generally will be treated as ordinary income to the extent of the market discount that accrued on the debt security while held by such U.S. Holder. In addition, the U.S. Holder could be required to defer the deduction of the interest paid on any indebtedness incurred or maintained to purchase or carry the debt security. In general terms, market discount on a debt security will be treated as accruing ratably over the term of such debt security or, at the election of the U.S. Holder, under a constant-yield method. </w:t>
      </w:r>
    </w:p>
    <w:p>
      <w:pPr>
        <w:pStyle w:val="TextBody"/>
        <w:bidi w:val="0"/>
        <w:spacing w:before="240" w:after="0"/>
        <w:jc w:val="left"/>
        <w:rPr>
          <w:rFonts w:ascii="Times New Roman" w:hAnsi="Times New Roman"/>
          <w:sz w:val="20"/>
        </w:rPr>
      </w:pPr>
      <w:r>
        <w:rPr>
          <w:rFonts w:ascii="Times New Roman" w:hAnsi="Times New Roman"/>
          <w:sz w:val="20"/>
        </w:rPr>
        <w:t xml:space="preserve">A U.S. Holder may elect to include market discount in income on a current basis as it accrues (on either a ratable or constant-yield basis), in lieu of treating a portion of any gain realized on a sale of a debt security as ordinary income. If a U.S. Holder elects to include market discount on a current basis, the interest deduction deferral rule described above will not apply. Any such election, if made, applies to all market discount bonds acquired by the U.S. Holder on or after the first day of the first taxable year to which such election applies and is revocable only with the consent of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present U.S. federal income tax law, and subject to the discussions below under Information Reporting, Backup Withholding and Foreign Account Withholding: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withholding of U.S. federal income tax generally will be required with respect to the payment by us or any issuing and paying agent on a debt security owned by a Non-U.S. Holder, provided that (i) the beneficial owner does not actually or constructively own 10% or more of the total combined voting power of all classes of our stock entitled to vote within the meaning of Section 871(h)(3) of the Code and the regulations thereunder, (ii) the beneficial owner is not a CFC to which we are a related person within the meaning of Section 864(d)(4) of the Code, and (iii) the beneficial owner provides a statement signed under penalties of perjury that includes its name and address and certifies that it is a Non-U.S. Holder in compliance with applicable requirements, generally made, under current procedures, on an applicable IRS Form W-8 (or satisfies certain documentary evidence requirements for establishing that it is a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Holder will generally not be subject to U.S. federal income tax on gain realized on the sale, exchange or redemption of a debt security, unless such gain is effectively connected with the conduct by the Non-U.S. Holder of a trade or business in the United States (and, if an income tax treaty applies, is attributable to a U.S. permanent establishment or fixed base maintained by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Non-U.S. Holder is subject to withholding at a rate in excess of a reduced rate for which such holder is eligible under a tax treaty or otherwise, such Non-U.S. Holder may be able to obtain a refund of or credit for any amounts withheld in excess of the applicable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Non-U.S. Holder generally will be taxed in the same manner as a U.S. Holder with respect to interest income that is effectively connected with its U.S. trade or business (and, if an income tax treaty applies, is attributable to a U.S. permanent establishment or fixed base maintained by the Non-U.S. Holder). In addition, under certain circumstances, effectively connected interest income of a corporate Non-U.S. Holder may be subject to a branch profits tax imposed at a 30% rate (as reduced by an applicable treaty). A Non-U.S. Holder with effectively connected income will, however, generally not be subject to withholding tax on interest income if, under current procedures, it delivers a properly completed IRS Form W-8ECI.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on our debt securities made to, and proceeds of dispositions of our debt securities effected by, certain holders. In addition, certain U.S. Holders may be subject to backup withholding in respect of such amounts if they do not provide their taxpayer identification numbers to the person from whom they receive payments. Non-U.S. Holders may be required to comply with applicable certification procedures to establish that they are not U.S. Holders in order to obtain exemption from backup withholding and any available exemption from information reporting requirements. The amount of any backup withholding from a payment to a U.S. or non-U.S. Holder will be allowed as a credit against the holders U.S. federal income tax liability and may entitle the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interest on our debt securities. In general, to avoid withholding, any non-U.S. intermediary through which a holder owns our debt securities must establish its compliance with the foregoing regime, and a Non-U.S. Holder must provide specified documentation (usually an applicable IRS Form W-8) containing information about its identity, its status, and if required its direct and indirect U.S. owners. Non-U.S. Holders and holders who hold our debt securities through a non-U.S. intermediary are urged to consult their own tax advisor regarding foreign account tax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oc926217_20"/>
      <w:bookmarkEnd w:id="37"/>
      <w:r>
        <w:rPr>
          <w:rFonts w:ascii="Times New Roman" w:hAnsi="Times New Roman"/>
          <w:b/>
          <w:sz w:val="20"/>
        </w:rPr>
        <w:t xml:space="preserve">VALIDITY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described in this prospectus will be passed upon for American Tower by Cleary Gottlieb Steen &amp; Hamilton LLP, New York, New York. Certain legal matters will be passed upon for American Tower by Edmund DiSanto, Esq., Executive Vice President, Chief Administrative Officer, General Counsel and Secretary of American Tower. The validity of the securities described in this prospectus will be passed upon for any underwriters or agents, as the case may be, by Shearman &amp; Sterling LLP, New York, New York. Our qualification and taxation as a REIT, and the associated consequences to holders of our stock, have been passed upon by Sullivan &amp; Worcester LLP, Boston, Massachusetts. </w:t>
      </w:r>
    </w:p>
    <w:p>
      <w:pPr>
        <w:pStyle w:val="TextBody"/>
        <w:bidi w:val="0"/>
        <w:spacing w:before="480" w:after="0"/>
        <w:jc w:val="center"/>
        <w:rPr>
          <w:rFonts w:ascii="Times New Roman" w:hAnsi="Times New Roman"/>
          <w:b/>
          <w:sz w:val="20"/>
        </w:rPr>
      </w:pPr>
      <w:bookmarkStart w:id="38" w:name="toc926217_21"/>
      <w:bookmarkEnd w:id="3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480" w:after="0"/>
        <w:jc w:val="center"/>
        <w:rPr>
          <w:rFonts w:ascii="Times New Roman" w:hAnsi="Times New Roman"/>
          <w:b/>
          <w:sz w:val="20"/>
        </w:rPr>
      </w:pPr>
      <w:bookmarkStart w:id="39" w:name="toc926217_22"/>
      <w:bookmarkEnd w:id="3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You may also access the information we file electronically with the SEC through our website at www.americantower.com. Please note that the SECs website is included in this prospectus and any applicable prospectus supplement as an inactive textual reference only. The information contained on the SECs website and our website is not incorporated by reference into this prospectus and should not be considered to be part of this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any applicable prospectus supplement certain information we file with the SEC, which means that we can disclose important information to you by referring you to those documents. The information incorporated by reference is an important part of this prospectus. Certain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year ended December 31, 2021, filed with the SEC on February 25,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7">
              <w:r>
                <w:rPr>
                  <w:rStyle w:val="InternetLink"/>
                  <w:rFonts w:ascii="Times New Roman" w:hAnsi="Times New Roman"/>
                  <w:sz w:val="20"/>
                </w:rPr>
                <w:t>Form 10-Q</w:t>
              </w:r>
            </w:hyperlink>
            <w:r>
              <w:rPr>
                <w:rFonts w:ascii="Times New Roman" w:hAnsi="Times New Roman"/>
                <w:sz w:val="20"/>
              </w:rPr>
              <w:t xml:space="preserve"> for the quarter ended March 31, 2022, filed with the SEC on April 27,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portions of our </w:t>
            </w:r>
            <w:hyperlink r:id="rId18">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6, 2022 that are incorporated by reference into Part III of our Annual Report on Form 10-K for the year ended December 31,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March 1, 2022</w:t>
              </w:r>
            </w:hyperlink>
            <w:r>
              <w:rPr>
                <w:rFonts w:ascii="Times New Roman" w:hAnsi="Times New Roman"/>
                <w:sz w:val="20"/>
              </w:rPr>
              <w:t xml:space="preserve">, </w:t>
            </w:r>
            <w:hyperlink r:id="rId20">
              <w:r>
                <w:rPr>
                  <w:rStyle w:val="InternetLink"/>
                  <w:rFonts w:ascii="Times New Roman" w:hAnsi="Times New Roman"/>
                  <w:sz w:val="20"/>
                </w:rPr>
                <w:t>March 11, 2022</w:t>
              </w:r>
            </w:hyperlink>
            <w:r>
              <w:rPr>
                <w:rFonts w:ascii="Times New Roman" w:hAnsi="Times New Roman"/>
                <w:sz w:val="20"/>
              </w:rPr>
              <w:t xml:space="preserve">, </w:t>
            </w:r>
            <w:hyperlink r:id="rId21">
              <w:r>
                <w:rPr>
                  <w:rStyle w:val="InternetLink"/>
                  <w:rFonts w:ascii="Times New Roman" w:hAnsi="Times New Roman"/>
                  <w:sz w:val="20"/>
                </w:rPr>
                <w:t>March 29, 2022</w:t>
              </w:r>
            </w:hyperlink>
            <w:r>
              <w:rPr>
                <w:rFonts w:ascii="Times New Roman" w:hAnsi="Times New Roman"/>
                <w:sz w:val="20"/>
              </w:rPr>
              <w:t xml:space="preserve">, </w:t>
            </w:r>
            <w:hyperlink r:id="rId22">
              <w:r>
                <w:rPr>
                  <w:rStyle w:val="InternetLink"/>
                  <w:rFonts w:ascii="Times New Roman" w:hAnsi="Times New Roman"/>
                  <w:sz w:val="20"/>
                </w:rPr>
                <w:t>March 29, 2022</w:t>
              </w:r>
            </w:hyperlink>
            <w:r>
              <w:rPr>
                <w:rFonts w:ascii="Times New Roman" w:hAnsi="Times New Roman"/>
                <w:sz w:val="20"/>
              </w:rPr>
              <w:t xml:space="preserve">, </w:t>
            </w:r>
            <w:hyperlink r:id="rId23">
              <w:r>
                <w:rPr>
                  <w:rStyle w:val="InternetLink"/>
                  <w:rFonts w:ascii="Times New Roman" w:hAnsi="Times New Roman"/>
                  <w:sz w:val="20"/>
                </w:rPr>
                <w:t>April  1, 2022</w:t>
              </w:r>
            </w:hyperlink>
            <w:r>
              <w:rPr>
                <w:rFonts w:ascii="Times New Roman" w:hAnsi="Times New Roman"/>
                <w:sz w:val="20"/>
              </w:rPr>
              <w:t xml:space="preserve"> and </w:t>
            </w:r>
            <w:hyperlink r:id="rId24">
              <w:r>
                <w:rPr>
                  <w:rStyle w:val="InternetLink"/>
                  <w:rFonts w:ascii="Times New Roman" w:hAnsi="Times New Roman"/>
                  <w:sz w:val="20"/>
                </w:rPr>
                <w:t>May 19, 2022</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116 Huntington Avenue, Boston, Massachusetts 02116, Telephone: (617) 375-7500, Attention: Investor Relations.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53507/000105350725000025/amt-20241231.htm" TargetMode="External"/><Relationship Id="rId4" Type="http://schemas.openxmlformats.org/officeDocument/2006/relationships/hyperlink" Target="http://www.sec.gov/Archives/edgar/data/../../../ix?doc=/Archives/edgar/data/1053507/000105350725000102/amt-20250331.htm" TargetMode="External"/><Relationship Id="rId5" Type="http://schemas.openxmlformats.org/officeDocument/2006/relationships/hyperlink" Target="http://www.sec.gov/Archives/edgar/data/../../../ix?doc=/Archives/edgar/data/1053507/000105350725000092/amt-20250401.htm" TargetMode="External"/><Relationship Id="rId6" Type="http://schemas.openxmlformats.org/officeDocument/2006/relationships/hyperlink" Target="http://www.sec.gov/Archives/edgar/data/../../../ix?doc=/Archives/edgar/data/1053507/000105350725000002/amt-20250102.htm" TargetMode="External"/><Relationship Id="rId7" Type="http://schemas.openxmlformats.org/officeDocument/2006/relationships/hyperlink" Target="http://www.sec.gov/Archives/edgar/data/../../../ix?doc=/Archives/edgar/data/1053507/000105350725000010/amt-20250128.htm" TargetMode="External"/><Relationship Id="rId8" Type="http://schemas.openxmlformats.org/officeDocument/2006/relationships/hyperlink" Target="http://www.sec.gov/Archives/edgar/data/../../../ix?doc=/Archives/edgar/data/1053507/000105350725000012/amt-20250205.htm" TargetMode="External"/><Relationship Id="rId9" Type="http://schemas.openxmlformats.org/officeDocument/2006/relationships/hyperlink" Target="http://www.sec.gov/Archives/edgar/data/../../../ix?doc=/Archives/edgar/data/1053507/000105350725000039/amt-20250227.htm" TargetMode="External"/><Relationship Id="rId10" Type="http://schemas.openxmlformats.org/officeDocument/2006/relationships/hyperlink" Target="http://www.sec.gov/Archives/edgar/data/../../../ix?doc=/Archives/edgar/data/1053507/000105350725000042/amt-20250306.htm" TargetMode="External"/><Relationship Id="rId11" Type="http://schemas.openxmlformats.org/officeDocument/2006/relationships/hyperlink" Target="http://www.sec.gov/Archives/edgar/data/../../../ix?doc=/Archives/edgar/data/1053507/000105350725000044/amt-20250311.htm" TargetMode="External"/><Relationship Id="rId12" Type="http://schemas.openxmlformats.org/officeDocument/2006/relationships/hyperlink" Target="http://www.sec.gov/Archives/edgar/data/../../../ix?doc=/Archives/edgar/data/1053507/000119312525054806/d904653d8k.htm" TargetMode="External"/><Relationship Id="rId13" Type="http://schemas.openxmlformats.org/officeDocument/2006/relationships/hyperlink" Target="http://www.sec.gov/Archives/edgar/data/../../../ix?doc=/Archives/edgar/data/1053507/000105350725000087/amt-20250317.htm" TargetMode="External"/><Relationship Id="rId14" Type="http://schemas.openxmlformats.org/officeDocument/2006/relationships/hyperlink" Target="http://www.sec.gov/Archives/edgar/data/../../../ix?doc=/Archives/edgar/data/0001053507/000105350725000105/amt-20250514.htm" TargetMode="External"/><Relationship Id="rId15" Type="http://schemas.openxmlformats.org/officeDocument/2006/relationships/image" Target="media/image2.jpeg"/><Relationship Id="rId16" Type="http://schemas.openxmlformats.org/officeDocument/2006/relationships/hyperlink" Target="http://www.sec.gov/Archives/edgar/data/1053507/000105350722000017/amt-20211231.htm" TargetMode="External"/><Relationship Id="rId17" Type="http://schemas.openxmlformats.org/officeDocument/2006/relationships/hyperlink" Target="http://www.sec.gov/Archives/edgar/data/../../../ix?doc=/Archives/edgar/data/1053507/000105350722000068/amt-20220331.htm" TargetMode="External"/><Relationship Id="rId18" Type="http://schemas.openxmlformats.org/officeDocument/2006/relationships/hyperlink" Target="http://www.sec.gov/Archives/edgar/data/1053507/000105350722000059/americantowercorporation20.htm" TargetMode="External"/><Relationship Id="rId19" Type="http://schemas.openxmlformats.org/officeDocument/2006/relationships/hyperlink" Target="http://www.sec.gov/Archives/edgar/data/1053507/000105350722000023/amt-20220224.htm" TargetMode="External"/><Relationship Id="rId20" Type="http://schemas.openxmlformats.org/officeDocument/2006/relationships/hyperlink" Target="http://www.sec.gov/Archives/edgar/data/1053507/000105350722000025/amt-20220310.htm" TargetMode="External"/><Relationship Id="rId21" Type="http://schemas.openxmlformats.org/officeDocument/2006/relationships/hyperlink" Target="http://www.sec.gov/Archives/edgar/data/1053507/000119312522087505/d287752d8k.htm" TargetMode="External"/><Relationship Id="rId22" Type="http://schemas.openxmlformats.org/officeDocument/2006/relationships/hyperlink" Target="http://www.sec.gov/Archives/edgar/data/1053507/000105350722000055/amt-20220329.htm" TargetMode="External"/><Relationship Id="rId23" Type="http://schemas.openxmlformats.org/officeDocument/2006/relationships/hyperlink" Target="http://www.sec.gov/Archives/edgar/data/1053507/000119312522093656/d313612d8k.htm" TargetMode="External"/><Relationship Id="rId24" Type="http://schemas.openxmlformats.org/officeDocument/2006/relationships/hyperlink" Target="http://www.sec.gov/Archives/edgar/data/../../../ix?doc=/Archives/edgar/data/1053507/000105350722000078/amt-20220518.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114</Pages>
  <Words>68109</Words>
  <Characters>345018</Characters>
  <CharactersWithSpaces>413195</CharactersWithSpaces>
  <Paragraphs>4202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