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8" w:lineRule="exact"/>
        <w:rPr>
          <w:sz w:val="24"/>
          <w:szCs w:val="24"/>
          <w:color w:val="auto"/>
        </w:rPr>
      </w:pPr>
    </w:p>
    <w:p>
      <w:pPr>
        <w:ind w:left="540" w:hanging="517"/>
        <w:spacing w:after="0"/>
        <w:tabs>
          <w:tab w:leader="none" w:pos="5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53" w:lineRule="exact"/>
        <w:rPr>
          <w:sz w:val="24"/>
          <w:szCs w:val="24"/>
          <w:color w:val="auto"/>
        </w:rPr>
      </w:pPr>
    </w:p>
    <w:p>
      <w:pPr>
        <w:ind w:left="660" w:hanging="519"/>
        <w:spacing w:after="0"/>
        <w:tabs>
          <w:tab w:leader="none" w:pos="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3" w:lineRule="exact"/>
        <w:rPr>
          <w:sz w:val="24"/>
          <w:szCs w:val="24"/>
          <w:color w:val="auto"/>
        </w:rPr>
      </w:pPr>
    </w:p>
    <w:p>
      <w:pPr>
        <w:ind w:left="400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001-14195</w:t>
      </w:r>
    </w:p>
    <w:p>
      <w:pPr>
        <w:spacing w:after="0" w:line="35" w:lineRule="exact"/>
        <w:rPr>
          <w:sz w:val="24"/>
          <w:szCs w:val="24"/>
          <w:color w:val="auto"/>
        </w:rPr>
      </w:pPr>
    </w:p>
    <w:tbl>
      <w:tblPr>
        <w:tblLayout w:type="fixed"/>
        <w:tblInd w:w="320" w:type="dxa"/>
        <w:tblCellMar>
          <w:top w:w="0" w:type="dxa"/>
          <w:left w:w="0" w:type="dxa"/>
          <w:bottom w:w="0" w:type="dxa"/>
          <w:right w:w="0" w:type="dxa"/>
        </w:tblCellMar>
      </w:tblPr>
      <w:tr>
        <w:trPr>
          <w:trHeight w:val="354"/>
        </w:trPr>
        <w:tc>
          <w:tcPr>
            <w:tcW w:w="3320" w:type="dxa"/>
            <w:vAlign w:val="bottom"/>
          </w:tcPr>
          <w:p>
            <w:pPr>
              <w:spacing w:after="0"/>
              <w:rPr>
                <w:sz w:val="24"/>
                <w:szCs w:val="24"/>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28"/>
                <w:szCs w:val="28"/>
                <w:b w:val="1"/>
                <w:bCs w:val="1"/>
                <w:color w:val="auto"/>
              </w:rPr>
              <w:t>American Tower Corporation</w:t>
            </w:r>
          </w:p>
        </w:tc>
        <w:tc>
          <w:tcPr>
            <w:tcW w:w="2340" w:type="dxa"/>
            <w:vAlign w:val="bottom"/>
          </w:tcPr>
          <w:p>
            <w:pPr>
              <w:spacing w:after="0"/>
              <w:rPr>
                <w:sz w:val="24"/>
                <w:szCs w:val="24"/>
                <w:color w:val="auto"/>
              </w:rPr>
            </w:pPr>
          </w:p>
        </w:tc>
      </w:tr>
      <w:tr>
        <w:trPr>
          <w:trHeight w:val="185"/>
        </w:trPr>
        <w:tc>
          <w:tcPr>
            <w:tcW w:w="3320" w:type="dxa"/>
            <w:vAlign w:val="bottom"/>
          </w:tcPr>
          <w:p>
            <w:pPr>
              <w:spacing w:after="0"/>
              <w:rPr>
                <w:sz w:val="16"/>
                <w:szCs w:val="16"/>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340" w:type="dxa"/>
            <w:vAlign w:val="bottom"/>
          </w:tcPr>
          <w:p>
            <w:pPr>
              <w:spacing w:after="0"/>
              <w:rPr>
                <w:sz w:val="16"/>
                <w:szCs w:val="16"/>
                <w:color w:val="auto"/>
              </w:rPr>
            </w:pPr>
          </w:p>
        </w:tc>
      </w:tr>
      <w:tr>
        <w:trPr>
          <w:trHeight w:val="241"/>
        </w:trPr>
        <w:tc>
          <w:tcPr>
            <w:tcW w:w="3320" w:type="dxa"/>
            <w:vAlign w:val="bottom"/>
          </w:tcPr>
          <w:p>
            <w:pPr>
              <w:jc w:val="center"/>
              <w:ind w:left="149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940" w:type="dxa"/>
            <w:vAlign w:val="bottom"/>
          </w:tcPr>
          <w:p>
            <w:pPr>
              <w:spacing w:after="0"/>
              <w:rPr>
                <w:sz w:val="20"/>
                <w:szCs w:val="20"/>
                <w:color w:val="auto"/>
              </w:rPr>
            </w:pPr>
          </w:p>
        </w:tc>
        <w:tc>
          <w:tcPr>
            <w:tcW w:w="234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65-0723837</w:t>
            </w:r>
          </w:p>
        </w:tc>
      </w:tr>
      <w:tr>
        <w:trPr>
          <w:trHeight w:val="126"/>
        </w:trPr>
        <w:tc>
          <w:tcPr>
            <w:tcW w:w="3320" w:type="dxa"/>
            <w:vAlign w:val="bottom"/>
          </w:tcPr>
          <w:p>
            <w:pPr>
              <w:jc w:val="center"/>
              <w:ind w:left="1493"/>
              <w:spacing w:after="0" w:line="126"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3940" w:type="dxa"/>
            <w:vAlign w:val="bottom"/>
          </w:tcPr>
          <w:p>
            <w:pPr>
              <w:spacing w:after="0"/>
              <w:rPr>
                <w:sz w:val="10"/>
                <w:szCs w:val="10"/>
                <w:color w:val="auto"/>
              </w:rPr>
            </w:pPr>
          </w:p>
        </w:tc>
        <w:tc>
          <w:tcPr>
            <w:tcW w:w="2340" w:type="dxa"/>
            <w:vAlign w:val="bottom"/>
          </w:tcPr>
          <w:p>
            <w:pPr>
              <w:ind w:left="460"/>
              <w:spacing w:after="0" w:line="126"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3320" w:type="dxa"/>
            <w:vAlign w:val="bottom"/>
          </w:tcPr>
          <w:p>
            <w:pPr>
              <w:jc w:val="center"/>
              <w:ind w:left="1493"/>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3940" w:type="dxa"/>
            <w:vAlign w:val="bottom"/>
          </w:tcPr>
          <w:p>
            <w:pPr>
              <w:spacing w:after="0"/>
              <w:rPr>
                <w:sz w:val="14"/>
                <w:szCs w:val="14"/>
                <w:color w:val="auto"/>
              </w:rPr>
            </w:pPr>
          </w:p>
        </w:tc>
        <w:tc>
          <w:tcPr>
            <w:tcW w:w="234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336"/>
        </w:trPr>
        <w:tc>
          <w:tcPr>
            <w:tcW w:w="33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222 Berkeley Street</w:t>
            </w:r>
          </w:p>
        </w:tc>
        <w:tc>
          <w:tcPr>
            <w:tcW w:w="2340" w:type="dxa"/>
            <w:vAlign w:val="bottom"/>
          </w:tcPr>
          <w:p>
            <w:pPr>
              <w:spacing w:after="0"/>
              <w:rPr>
                <w:sz w:val="24"/>
                <w:szCs w:val="24"/>
                <w:color w:val="auto"/>
              </w:rPr>
            </w:pPr>
          </w:p>
        </w:tc>
      </w:tr>
      <w:tr>
        <w:trPr>
          <w:trHeight w:val="180"/>
        </w:trPr>
        <w:tc>
          <w:tcPr>
            <w:tcW w:w="3320" w:type="dxa"/>
            <w:vAlign w:val="bottom"/>
          </w:tcPr>
          <w:p>
            <w:pPr>
              <w:spacing w:after="0"/>
              <w:rPr>
                <w:sz w:val="15"/>
                <w:szCs w:val="15"/>
                <w:color w:val="auto"/>
              </w:rPr>
            </w:pPr>
          </w:p>
        </w:tc>
        <w:tc>
          <w:tcPr>
            <w:tcW w:w="39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Boston, Massachusetts 02116</w:t>
            </w:r>
          </w:p>
        </w:tc>
        <w:tc>
          <w:tcPr>
            <w:tcW w:w="2340" w:type="dxa"/>
            <w:vAlign w:val="bottom"/>
          </w:tcPr>
          <w:p>
            <w:pPr>
              <w:spacing w:after="0"/>
              <w:rPr>
                <w:sz w:val="15"/>
                <w:szCs w:val="15"/>
                <w:color w:val="auto"/>
              </w:rPr>
            </w:pPr>
          </w:p>
        </w:tc>
      </w:tr>
      <w:tr>
        <w:trPr>
          <w:trHeight w:val="162"/>
        </w:trPr>
        <w:tc>
          <w:tcPr>
            <w:tcW w:w="3320" w:type="dxa"/>
            <w:vAlign w:val="bottom"/>
          </w:tcPr>
          <w:p>
            <w:pPr>
              <w:spacing w:after="0"/>
              <w:rPr>
                <w:sz w:val="14"/>
                <w:szCs w:val="1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340" w:type="dxa"/>
            <w:vAlign w:val="bottom"/>
          </w:tcPr>
          <w:p>
            <w:pPr>
              <w:spacing w:after="0"/>
              <w:rPr>
                <w:sz w:val="14"/>
                <w:szCs w:val="14"/>
                <w:color w:val="auto"/>
              </w:rPr>
            </w:pPr>
          </w:p>
        </w:tc>
      </w:tr>
      <w:tr>
        <w:trPr>
          <w:trHeight w:val="234"/>
        </w:trPr>
        <w:tc>
          <w:tcPr>
            <w:tcW w:w="33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Telephone Number (617) 375-7500</w:t>
            </w:r>
          </w:p>
        </w:tc>
        <w:tc>
          <w:tcPr>
            <w:tcW w:w="2340" w:type="dxa"/>
            <w:vAlign w:val="bottom"/>
          </w:tcPr>
          <w:p>
            <w:pPr>
              <w:spacing w:after="0"/>
              <w:rPr>
                <w:sz w:val="20"/>
                <w:szCs w:val="20"/>
                <w:color w:val="auto"/>
              </w:rPr>
            </w:pPr>
          </w:p>
        </w:tc>
      </w:tr>
      <w:tr>
        <w:trPr>
          <w:trHeight w:val="162"/>
        </w:trPr>
        <w:tc>
          <w:tcPr>
            <w:tcW w:w="3320" w:type="dxa"/>
            <w:vAlign w:val="bottom"/>
          </w:tcPr>
          <w:p>
            <w:pPr>
              <w:spacing w:after="0"/>
              <w:rPr>
                <w:sz w:val="14"/>
                <w:szCs w:val="1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2340" w:type="dxa"/>
            <w:vAlign w:val="bottom"/>
          </w:tcPr>
          <w:p>
            <w:pPr>
              <w:spacing w:after="0"/>
              <w:rPr>
                <w:sz w:val="14"/>
                <w:szCs w:val="14"/>
                <w:color w:val="auto"/>
              </w:rPr>
            </w:pPr>
          </w:p>
        </w:tc>
      </w:tr>
      <w:tr>
        <w:trPr>
          <w:trHeight w:val="249"/>
        </w:trPr>
        <w:tc>
          <w:tcPr>
            <w:tcW w:w="3320" w:type="dxa"/>
            <w:vAlign w:val="bottom"/>
          </w:tcPr>
          <w:p>
            <w:pPr>
              <w:spacing w:after="0"/>
              <w:rPr>
                <w:sz w:val="21"/>
                <w:szCs w:val="21"/>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c>
          <w:tcPr>
            <w:tcW w:w="2340" w:type="dxa"/>
            <w:vAlign w:val="bottom"/>
          </w:tcPr>
          <w:p>
            <w:pPr>
              <w:spacing w:after="0"/>
              <w:rPr>
                <w:sz w:val="21"/>
                <w:szCs w:val="21"/>
                <w:color w:val="auto"/>
              </w:rPr>
            </w:pPr>
          </w:p>
        </w:tc>
      </w:tr>
      <w:tr>
        <w:trPr>
          <w:trHeight w:val="192"/>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9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Name of exchange on which registered</w:t>
            </w:r>
          </w:p>
        </w:tc>
      </w:tr>
      <w:tr>
        <w:trPr>
          <w:trHeight w:val="196"/>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Common Stock, $0.01 par value</w:t>
            </w:r>
          </w:p>
        </w:tc>
        <w:tc>
          <w:tcPr>
            <w:tcW w:w="39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8"/>
              </w:rPr>
              <w:t>AMT</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1.950% Senior Notes due 2026</w:t>
            </w:r>
          </w:p>
        </w:tc>
        <w:tc>
          <w:tcPr>
            <w:tcW w:w="39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AMT 26B</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0.450% Senior Notes due 2027</w:t>
            </w:r>
          </w:p>
        </w:tc>
        <w:tc>
          <w:tcPr>
            <w:tcW w:w="39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AMT 27C</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0.400% Senior Notes due 2027</w:t>
            </w:r>
          </w:p>
        </w:tc>
        <w:tc>
          <w:tcPr>
            <w:tcW w:w="39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AMT 27D</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4.125% Senior Notes due 2027</w:t>
            </w:r>
          </w:p>
        </w:tc>
        <w:tc>
          <w:tcPr>
            <w:tcW w:w="39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AMT 27F</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0.500% Senior Notes due 2028</w:t>
            </w:r>
          </w:p>
        </w:tc>
        <w:tc>
          <w:tcPr>
            <w:tcW w:w="39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AMT 28A</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0.875% Senior Notes due 2029</w:t>
            </w:r>
          </w:p>
        </w:tc>
        <w:tc>
          <w:tcPr>
            <w:tcW w:w="39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AMT 29B</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0.950% Senior Notes due 2030</w:t>
            </w:r>
          </w:p>
        </w:tc>
        <w:tc>
          <w:tcPr>
            <w:tcW w:w="39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AMT 30C</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3.900% Senior Notes due 2030</w:t>
            </w:r>
          </w:p>
        </w:tc>
        <w:tc>
          <w:tcPr>
            <w:tcW w:w="39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AMT 30D</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4.625% Senior Notes due 2031</w:t>
            </w:r>
          </w:p>
        </w:tc>
        <w:tc>
          <w:tcPr>
            <w:tcW w:w="39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AMT 31B</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1.000% Senior Notes due 2032</w:t>
            </w:r>
          </w:p>
        </w:tc>
        <w:tc>
          <w:tcPr>
            <w:tcW w:w="39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AMT 32</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3.625% Senior Notes due 2032</w:t>
            </w:r>
          </w:p>
        </w:tc>
        <w:tc>
          <w:tcPr>
            <w:tcW w:w="39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AMT 32B</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1.250% Senior Notes due 2033</w:t>
            </w:r>
          </w:p>
        </w:tc>
        <w:tc>
          <w:tcPr>
            <w:tcW w:w="39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AMT 33</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184"/>
        </w:trPr>
        <w:tc>
          <w:tcPr>
            <w:tcW w:w="3320" w:type="dxa"/>
            <w:vAlign w:val="bottom"/>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rPr>
              <w:t>4.100% Senior Notes due 2034</w:t>
            </w:r>
          </w:p>
        </w:tc>
        <w:tc>
          <w:tcPr>
            <w:tcW w:w="39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AMT 34A</w:t>
            </w:r>
          </w:p>
        </w:tc>
        <w:tc>
          <w:tcPr>
            <w:tcW w:w="23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New York Stock Exchange</w:t>
            </w:r>
          </w:p>
        </w:tc>
      </w:tr>
      <w:tr>
        <w:trPr>
          <w:trHeight w:val="311"/>
        </w:trPr>
        <w:tc>
          <w:tcPr>
            <w:tcW w:w="33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12(g) of the Act:</w:t>
            </w:r>
          </w:p>
        </w:tc>
        <w:tc>
          <w:tcPr>
            <w:tcW w:w="2340" w:type="dxa"/>
            <w:vAlign w:val="bottom"/>
          </w:tcPr>
          <w:p>
            <w:pPr>
              <w:spacing w:after="0"/>
              <w:rPr>
                <w:sz w:val="24"/>
                <w:szCs w:val="24"/>
                <w:color w:val="auto"/>
              </w:rPr>
            </w:pPr>
          </w:p>
        </w:tc>
      </w:tr>
      <w:tr>
        <w:trPr>
          <w:trHeight w:val="160"/>
        </w:trPr>
        <w:tc>
          <w:tcPr>
            <w:tcW w:w="3320" w:type="dxa"/>
            <w:vAlign w:val="bottom"/>
          </w:tcPr>
          <w:p>
            <w:pPr>
              <w:spacing w:after="0"/>
              <w:rPr>
                <w:sz w:val="13"/>
                <w:szCs w:val="13"/>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None</w:t>
            </w:r>
          </w:p>
        </w:tc>
        <w:tc>
          <w:tcPr>
            <w:tcW w:w="2340" w:type="dxa"/>
            <w:vAlign w:val="bottom"/>
          </w:tcPr>
          <w:p>
            <w:pPr>
              <w:spacing w:after="0"/>
              <w:rPr>
                <w:sz w:val="13"/>
                <w:szCs w:val="13"/>
                <w:color w:val="auto"/>
              </w:rPr>
            </w:pPr>
          </w:p>
        </w:tc>
      </w:tr>
      <w:tr>
        <w:trPr>
          <w:trHeight w:val="226"/>
        </w:trPr>
        <w:tc>
          <w:tcPr>
            <w:tcW w:w="726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 known seasoned issuer, as defined in Rule 405 of the Securities Act:  Yes </w:t>
            </w:r>
            <w:r>
              <w:rPr>
                <w:rFonts w:ascii="MS PGothic" w:cs="MS PGothic" w:eastAsia="MS PGothic" w:hAnsi="MS PGothic"/>
                <w:sz w:val="14"/>
                <w:szCs w:val="14"/>
                <w:color w:val="auto"/>
              </w:rPr>
              <w:t>☒</w:t>
            </w:r>
          </w:p>
        </w:tc>
        <w:tc>
          <w:tcPr>
            <w:tcW w:w="23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36"/>
        </w:trPr>
        <w:tc>
          <w:tcPr>
            <w:tcW w:w="726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234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9" w:lineRule="exact"/>
        <w:rPr>
          <w:sz w:val="24"/>
          <w:szCs w:val="24"/>
          <w:color w:val="auto"/>
        </w:rPr>
      </w:pPr>
    </w:p>
    <w:p>
      <w:pPr>
        <w:ind w:right="140" w:firstLine="316"/>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40" w:firstLine="316"/>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60" w:firstLine="316"/>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Layout w:type="fixed"/>
        <w:tblInd w:w="20" w:type="dxa"/>
        <w:tblCellMar>
          <w:top w:w="0" w:type="dxa"/>
          <w:left w:w="0" w:type="dxa"/>
          <w:bottom w:w="0" w:type="dxa"/>
          <w:right w:w="0" w:type="dxa"/>
        </w:tblCellMar>
      </w:tblPr>
      <w:tr>
        <w:trPr>
          <w:trHeight w:val="23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Accelerated filer</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0"/>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2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115" w:lineRule="exact"/>
        <w:rPr>
          <w:sz w:val="24"/>
          <w:szCs w:val="24"/>
          <w:color w:val="auto"/>
        </w:rPr>
      </w:pPr>
    </w:p>
    <w:p>
      <w:pPr>
        <w:ind w:right="240" w:firstLine="316"/>
        <w:spacing w:after="0" w:line="16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8" w:lineRule="exact"/>
        <w:rPr>
          <w:sz w:val="24"/>
          <w:szCs w:val="24"/>
          <w:color w:val="auto"/>
        </w:rPr>
      </w:pPr>
    </w:p>
    <w:p>
      <w:pPr>
        <w:ind w:right="160" w:firstLine="316"/>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ind w:left="320"/>
        <w:spacing w:after="0" w:line="138" w:lineRule="exact"/>
        <w:tabs>
          <w:tab w:leader="none" w:pos="5500" w:val="left"/>
          <w:tab w:leader="none" w:pos="596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91" w:lineRule="exact"/>
        <w:rPr>
          <w:sz w:val="24"/>
          <w:szCs w:val="24"/>
          <w:color w:val="auto"/>
        </w:rPr>
      </w:pPr>
    </w:p>
    <w:p>
      <w:pPr>
        <w:ind w:firstLine="316"/>
        <w:spacing w:after="0" w:line="163"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8" w:lineRule="exact"/>
        <w:rPr>
          <w:sz w:val="24"/>
          <w:szCs w:val="24"/>
          <w:color w:val="auto"/>
        </w:rPr>
      </w:pPr>
    </w:p>
    <w:p>
      <w:pPr>
        <w:ind w:right="180" w:firstLine="316"/>
        <w:spacing w:after="0" w:line="162" w:lineRule="exact"/>
        <w:rPr>
          <w:sz w:val="20"/>
          <w:szCs w:val="20"/>
          <w:color w:val="auto"/>
        </w:rPr>
      </w:pPr>
      <w:r>
        <w:rPr>
          <w:rFonts w:ascii="Times New Roman" w:cs="Times New Roman" w:eastAsia="Times New Roman" w:hAnsi="Times New Roman"/>
          <w:sz w:val="12"/>
          <w:szCs w:val="12"/>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Arial" w:cs="Arial" w:eastAsia="Arial" w:hAnsi="Arial"/>
          <w:sz w:val="12"/>
          <w:szCs w:val="12"/>
          <w:color w:val="auto"/>
        </w:rPr>
        <w:t>.</w:t>
      </w:r>
      <w:r>
        <w:rPr>
          <w:rFonts w:ascii="Times New Roman" w:cs="Times New Roman" w:eastAsia="Times New Roman" w:hAnsi="Times New Roman"/>
          <w:sz w:val="12"/>
          <w:szCs w:val="12"/>
          <w:color w:val="auto"/>
        </w:rPr>
        <w:t xml:space="preserve"> </w:t>
      </w:r>
      <w:r>
        <w:rPr>
          <w:rFonts w:ascii="MS PGothic" w:cs="MS PGothic" w:eastAsia="MS PGothic" w:hAnsi="MS PGothic"/>
          <w:sz w:val="12"/>
          <w:szCs w:val="12"/>
          <w:color w:val="auto"/>
        </w:rPr>
        <w:t>☐</w:t>
      </w:r>
    </w:p>
    <w:p>
      <w:pPr>
        <w:spacing w:after="0" w:line="19" w:lineRule="exact"/>
        <w:rPr>
          <w:sz w:val="24"/>
          <w:szCs w:val="24"/>
          <w:color w:val="auto"/>
        </w:rPr>
      </w:pPr>
    </w:p>
    <w:p>
      <w:pPr>
        <w:ind w:right="420" w:firstLine="316"/>
        <w:spacing w:after="0" w:line="309" w:lineRule="auto"/>
        <w:rPr>
          <w:sz w:val="20"/>
          <w:szCs w:val="20"/>
          <w:color w:val="auto"/>
        </w:rPr>
      </w:pPr>
      <w:r>
        <w:rPr>
          <w:rFonts w:ascii="Times New Roman" w:cs="Times New Roman" w:eastAsia="Times New Roman" w:hAnsi="Times New Roman"/>
          <w:sz w:val="12"/>
          <w:szCs w:val="12"/>
          <w:color w:val="auto"/>
        </w:rPr>
        <w:t>The aggregate market value of the voting and non-voting common stock held by non-affiliates of the registrant as of June 30, 2025 was $103.4 billion, based on the closing price of the registrant’s common stock as reported on the New York Stock Exchange as of the last business day of the registrant’s most recently completed second quarter.</w:t>
      </w:r>
    </w:p>
    <w:p>
      <w:pPr>
        <w:ind w:left="320"/>
        <w:spacing w:after="0"/>
        <w:rPr>
          <w:sz w:val="20"/>
          <w:szCs w:val="20"/>
          <w:color w:val="auto"/>
        </w:rPr>
      </w:pPr>
      <w:r>
        <w:rPr>
          <w:rFonts w:ascii="Times New Roman" w:cs="Times New Roman" w:eastAsia="Times New Roman" w:hAnsi="Times New Roman"/>
          <w:sz w:val="12"/>
          <w:szCs w:val="12"/>
          <w:color w:val="auto"/>
        </w:rPr>
        <w:t>As of February 17, 2026, there were 466,084,820 shares of common stock outstanding.</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ectPr>
          <w:pgSz w:w="11900" w:h="16838" w:orient="portrait"/>
          <w:cols w:equalWidth="0" w:num="1">
            <w:col w:w="11220"/>
          </w:cols>
          <w:pgMar w:left="320" w:top="227" w:right="359" w:bottom="1440" w:gutter="0" w:footer="0" w:header="0"/>
        </w:sectPr>
      </w:pPr>
    </w:p>
    <w:p>
      <w:pPr>
        <w:spacing w:after="0" w:line="24" w:lineRule="exact"/>
        <w:rPr>
          <w:sz w:val="24"/>
          <w:szCs w:val="24"/>
          <w:color w:val="auto"/>
        </w:rPr>
      </w:pPr>
    </w:p>
    <w:p>
      <w:pPr>
        <w:ind w:right="80" w:firstLine="316"/>
        <w:spacing w:after="0" w:line="276" w:lineRule="auto"/>
        <w:rPr>
          <w:sz w:val="20"/>
          <w:szCs w:val="20"/>
          <w:color w:val="auto"/>
        </w:rPr>
      </w:pPr>
      <w:r>
        <w:rPr>
          <w:rFonts w:ascii="Times New Roman" w:cs="Times New Roman" w:eastAsia="Times New Roman" w:hAnsi="Times New Roman"/>
          <w:sz w:val="12"/>
          <w:szCs w:val="12"/>
          <w:color w:val="auto"/>
        </w:rPr>
        <w:t>Portions of the definitive proxy statement (the “Definitive Proxy Statement”) to be filed with the Securities and Exchange Commission relative to the registrant’s 2026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7"/>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6"/>
              </w:rPr>
              <w:t>AMERICAN TOWER CORPORATION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gridSpan w:val="5"/>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0" w:type="dxa"/>
            <w:vAlign w:val="bottom"/>
            <w:gridSpan w:val="5"/>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7"/>
              </w:rPr>
              <w:t>FORM 10-K ANNUAL REPORT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00" w:type="dxa"/>
            <w:vAlign w:val="bottom"/>
            <w:gridSpan w:val="7"/>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7"/>
              </w:rPr>
              <w:t>FISCAL YEAR ENDED DECEMBER 31, 2025</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9300" w:type="dxa"/>
            <w:vAlign w:val="bottom"/>
            <w:gridSpan w:val="29"/>
            <w:vMerge w:val="restart"/>
          </w:tcPr>
          <w:p>
            <w:pPr>
              <w:spacing w:after="0" w:line="189"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300" w:type="dxa"/>
            <w:vAlign w:val="bottom"/>
            <w:gridSpan w:val="29"/>
            <w:vMerge w:val="continue"/>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0000FF"/>
                <w:w w:val="73"/>
              </w:rPr>
              <w:t>iii</w:t>
            </w:r>
          </w:p>
        </w:tc>
        <w:tc>
          <w:tcPr>
            <w:tcW w:w="0" w:type="dxa"/>
            <w:vAlign w:val="bottom"/>
          </w:tcPr>
          <w:p>
            <w:pPr>
              <w:spacing w:after="0"/>
              <w:rPr>
                <w:sz w:val="1"/>
                <w:szCs w:val="1"/>
                <w:color w:val="auto"/>
              </w:rPr>
            </w:pPr>
          </w:p>
        </w:tc>
      </w:tr>
      <w:tr>
        <w:trPr>
          <w:trHeight w:val="231"/>
        </w:trPr>
        <w:tc>
          <w:tcPr>
            <w:tcW w:w="10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Business</w:t>
            </w:r>
          </w:p>
        </w:tc>
        <w:tc>
          <w:tcPr>
            <w:tcW w:w="7620" w:type="dxa"/>
            <w:vAlign w:val="bottom"/>
            <w:gridSpan w:val="26"/>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Borders>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4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Overview</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bottom w:val="single" w:sz="8" w:color="0000FF"/>
            </w:tcBorders>
            <w:gridSpan w:val="12"/>
          </w:tcPr>
          <w:p>
            <w:pPr>
              <w:spacing w:after="0" w:line="204" w:lineRule="exact"/>
              <w:rPr>
                <w:sz w:val="20"/>
                <w:szCs w:val="20"/>
                <w:color w:val="auto"/>
              </w:rPr>
            </w:pPr>
            <w:r>
              <w:rPr>
                <w:rFonts w:ascii="Times New Roman" w:cs="Times New Roman" w:eastAsia="Times New Roman" w:hAnsi="Times New Roman"/>
                <w:sz w:val="18"/>
                <w:szCs w:val="18"/>
                <w:color w:val="0000FF"/>
                <w:w w:val="96"/>
              </w:rPr>
              <w:t>Products and Services</w:t>
            </w:r>
          </w:p>
        </w:tc>
        <w:tc>
          <w:tcPr>
            <w:tcW w:w="6580" w:type="dxa"/>
            <w:vAlign w:val="bottom"/>
            <w:gridSpan w:val="15"/>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2</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6"/>
              </w:rPr>
              <w:t>Strategy</w:t>
            </w:r>
          </w:p>
        </w:tc>
        <w:tc>
          <w:tcPr>
            <w:tcW w:w="7540" w:type="dxa"/>
            <w:vAlign w:val="bottom"/>
            <w:gridSpan w:val="25"/>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4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Regulatory Matters</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0000FF"/>
              <w:bottom w:val="single" w:sz="8" w:color="0000FF"/>
            </w:tcBorders>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7"/>
              </w:rPr>
              <w:t>Competition</w:t>
            </w:r>
          </w:p>
        </w:tc>
        <w:tc>
          <w:tcPr>
            <w:tcW w:w="460" w:type="dxa"/>
            <w:vAlign w:val="bottom"/>
            <w:tcBorders>
              <w:top w:val="single" w:sz="8" w:color="0000FF"/>
            </w:tcBorders>
            <w:gridSpan w:val="3"/>
          </w:tcPr>
          <w:p>
            <w:pPr>
              <w:spacing w:after="0"/>
              <w:rPr>
                <w:sz w:val="17"/>
                <w:szCs w:val="17"/>
                <w:color w:val="auto"/>
              </w:rPr>
            </w:pPr>
          </w:p>
        </w:tc>
        <w:tc>
          <w:tcPr>
            <w:tcW w:w="6780" w:type="dxa"/>
            <w:vAlign w:val="bottom"/>
            <w:gridSpan w:val="18"/>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4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Human Capital Resources</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top w:val="single" w:sz="8" w:color="0000FF"/>
            </w:tcBorders>
            <w:gridSpan w:val="14"/>
          </w:tcPr>
          <w:p>
            <w:pPr>
              <w:spacing w:after="0" w:line="204" w:lineRule="exact"/>
              <w:rPr>
                <w:sz w:val="20"/>
                <w:szCs w:val="20"/>
                <w:color w:val="auto"/>
              </w:rPr>
            </w:pPr>
            <w:r>
              <w:rPr>
                <w:rFonts w:ascii="Times New Roman" w:cs="Times New Roman" w:eastAsia="Times New Roman" w:hAnsi="Times New Roman"/>
                <w:sz w:val="18"/>
                <w:szCs w:val="18"/>
                <w:color w:val="0000FF"/>
              </w:rPr>
              <w:t>Executive Officers</w:t>
            </w:r>
          </w:p>
        </w:tc>
        <w:tc>
          <w:tcPr>
            <w:tcW w:w="6300" w:type="dxa"/>
            <w:vAlign w:val="bottom"/>
            <w:gridSpan w:val="13"/>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Borders>
              <w:top w:val="single" w:sz="8" w:color="0000FF"/>
            </w:tcBorders>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4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Available Information</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1A.</w:t>
            </w:r>
          </w:p>
        </w:tc>
        <w:tc>
          <w:tcPr>
            <w:tcW w:w="860" w:type="dxa"/>
            <w:vAlign w:val="bottom"/>
            <w:gridSpan w:val="5"/>
          </w:tcPr>
          <w:p>
            <w:pPr>
              <w:ind w:left="20"/>
              <w:spacing w:after="0" w:line="204" w:lineRule="exact"/>
              <w:rPr>
                <w:sz w:val="20"/>
                <w:szCs w:val="20"/>
                <w:color w:val="auto"/>
              </w:rPr>
            </w:pPr>
            <w:r>
              <w:rPr>
                <w:rFonts w:ascii="Times New Roman" w:cs="Times New Roman" w:eastAsia="Times New Roman" w:hAnsi="Times New Roman"/>
                <w:sz w:val="18"/>
                <w:szCs w:val="18"/>
                <w:color w:val="0000FF"/>
                <w:w w:val="88"/>
              </w:rPr>
              <w:t>Risk Factors</w:t>
            </w:r>
          </w:p>
        </w:tc>
        <w:tc>
          <w:tcPr>
            <w:tcW w:w="7400" w:type="dxa"/>
            <w:vAlign w:val="bottom"/>
            <w:gridSpan w:val="23"/>
          </w:tcPr>
          <w:p>
            <w:pPr>
              <w:spacing w:after="0"/>
              <w:rPr>
                <w:sz w:val="17"/>
                <w:szCs w:val="17"/>
                <w:color w:val="auto"/>
              </w:rPr>
            </w:pP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1B.</w:t>
            </w:r>
          </w:p>
        </w:tc>
        <w:tc>
          <w:tcPr>
            <w:tcW w:w="8260" w:type="dxa"/>
            <w:vAlign w:val="bottom"/>
            <w:gridSpan w:val="28"/>
          </w:tcPr>
          <w:p>
            <w:pPr>
              <w:ind w:left="20"/>
              <w:spacing w:after="0" w:line="204"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1C.</w:t>
            </w:r>
          </w:p>
        </w:tc>
        <w:tc>
          <w:tcPr>
            <w:tcW w:w="1000" w:type="dxa"/>
            <w:vAlign w:val="bottom"/>
            <w:gridSpan w:val="6"/>
          </w:tcPr>
          <w:p>
            <w:pPr>
              <w:ind w:left="20"/>
              <w:spacing w:after="0" w:line="204" w:lineRule="exact"/>
              <w:rPr>
                <w:sz w:val="20"/>
                <w:szCs w:val="20"/>
                <w:color w:val="auto"/>
              </w:rPr>
            </w:pPr>
            <w:r>
              <w:rPr>
                <w:rFonts w:ascii="Times New Roman" w:cs="Times New Roman" w:eastAsia="Times New Roman" w:hAnsi="Times New Roman"/>
                <w:sz w:val="18"/>
                <w:szCs w:val="18"/>
                <w:color w:val="0000FF"/>
                <w:w w:val="95"/>
              </w:rPr>
              <w:t>Cybersecurity</w:t>
            </w:r>
          </w:p>
        </w:tc>
        <w:tc>
          <w:tcPr>
            <w:tcW w:w="1000" w:type="dxa"/>
            <w:vAlign w:val="bottom"/>
            <w:gridSpan w:val="10"/>
          </w:tcPr>
          <w:p>
            <w:pPr>
              <w:spacing w:after="0"/>
              <w:rPr>
                <w:sz w:val="17"/>
                <w:szCs w:val="17"/>
                <w:color w:val="auto"/>
              </w:rPr>
            </w:pPr>
          </w:p>
        </w:tc>
        <w:tc>
          <w:tcPr>
            <w:tcW w:w="6260" w:type="dxa"/>
            <w:vAlign w:val="bottom"/>
            <w:gridSpan w:val="12"/>
          </w:tcPr>
          <w:p>
            <w:pPr>
              <w:spacing w:after="0"/>
              <w:rPr>
                <w:sz w:val="17"/>
                <w:szCs w:val="17"/>
                <w:color w:val="auto"/>
              </w:rPr>
            </w:pP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6"/>
          </w:tcPr>
          <w:p>
            <w:pPr>
              <w:ind w:left="20"/>
              <w:spacing w:after="0" w:line="204" w:lineRule="exact"/>
              <w:rPr>
                <w:sz w:val="20"/>
                <w:szCs w:val="20"/>
                <w:color w:val="auto"/>
              </w:rPr>
            </w:pPr>
            <w:r>
              <w:rPr>
                <w:rFonts w:ascii="Times New Roman" w:cs="Times New Roman" w:eastAsia="Times New Roman" w:hAnsi="Times New Roman"/>
                <w:sz w:val="18"/>
                <w:szCs w:val="18"/>
                <w:color w:val="0000FF"/>
              </w:rPr>
              <w:t>Properties</w:t>
            </w:r>
          </w:p>
        </w:tc>
        <w:tc>
          <w:tcPr>
            <w:tcW w:w="7260" w:type="dxa"/>
            <w:vAlign w:val="bottom"/>
            <w:gridSpan w:val="22"/>
          </w:tcPr>
          <w:p>
            <w:pPr>
              <w:spacing w:after="0"/>
              <w:rPr>
                <w:sz w:val="17"/>
                <w:szCs w:val="17"/>
                <w:color w:val="auto"/>
              </w:rPr>
            </w:pP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24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8"/>
          </w:tcPr>
          <w:p>
            <w:pPr>
              <w:ind w:left="20"/>
              <w:spacing w:after="0" w:line="204" w:lineRule="exact"/>
              <w:rPr>
                <w:sz w:val="20"/>
                <w:szCs w:val="20"/>
                <w:color w:val="auto"/>
              </w:rPr>
            </w:pPr>
            <w:r>
              <w:rPr>
                <w:rFonts w:ascii="Times New Roman" w:cs="Times New Roman" w:eastAsia="Times New Roman" w:hAnsi="Times New Roman"/>
                <w:sz w:val="18"/>
                <w:szCs w:val="18"/>
                <w:color w:val="0000FF"/>
                <w:w w:val="95"/>
              </w:rPr>
              <w:t>Legal Proceedings</w:t>
            </w:r>
          </w:p>
        </w:tc>
        <w:tc>
          <w:tcPr>
            <w:tcW w:w="6940" w:type="dxa"/>
            <w:vAlign w:val="bottom"/>
            <w:gridSpan w:val="20"/>
          </w:tcPr>
          <w:p>
            <w:pPr>
              <w:spacing w:after="0"/>
              <w:rPr>
                <w:sz w:val="17"/>
                <w:szCs w:val="17"/>
                <w:color w:val="auto"/>
              </w:rPr>
            </w:pP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25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8260" w:type="dxa"/>
            <w:vAlign w:val="bottom"/>
            <w:gridSpan w:val="28"/>
          </w:tcPr>
          <w:p>
            <w:pPr>
              <w:ind w:left="20"/>
              <w:spacing w:after="0" w:line="204" w:lineRule="exact"/>
              <w:rPr>
                <w:sz w:val="20"/>
                <w:szCs w:val="20"/>
                <w:color w:val="auto"/>
              </w:rPr>
            </w:pPr>
            <w:r>
              <w:rPr>
                <w:rFonts w:ascii="Times New Roman" w:cs="Times New Roman" w:eastAsia="Times New Roman" w:hAnsi="Times New Roman"/>
                <w:sz w:val="18"/>
                <w:szCs w:val="18"/>
                <w:color w:val="0000FF"/>
              </w:rPr>
              <w:t>Mine Safety Disclosures</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2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260" w:type="dxa"/>
            <w:vAlign w:val="bottom"/>
            <w:gridSpan w:val="28"/>
          </w:tcPr>
          <w:p>
            <w:pPr>
              <w:ind w:left="2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94"/>
              </w:rPr>
              <w:t>Dividends</w:t>
            </w:r>
          </w:p>
        </w:tc>
        <w:tc>
          <w:tcPr>
            <w:tcW w:w="7020" w:type="dxa"/>
            <w:vAlign w:val="bottom"/>
            <w:gridSpan w:val="22"/>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4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Performance Graph</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w w:val="97"/>
              </w:rPr>
              <w:t>Issuer Purchases of Equity Securities</w:t>
            </w:r>
          </w:p>
        </w:tc>
        <w:tc>
          <w:tcPr>
            <w:tcW w:w="5520" w:type="dxa"/>
            <w:vAlign w:val="bottom"/>
            <w:gridSpan w:val="8"/>
          </w:tcPr>
          <w:p>
            <w:pPr>
              <w:spacing w:after="0"/>
              <w:rPr>
                <w:sz w:val="17"/>
                <w:szCs w:val="17"/>
                <w:color w:val="auto"/>
              </w:rPr>
            </w:pP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8"/>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6.</w:t>
            </w:r>
          </w:p>
        </w:tc>
        <w:tc>
          <w:tcPr>
            <w:tcW w:w="8260" w:type="dxa"/>
            <w:vAlign w:val="bottom"/>
            <w:gridSpan w:val="28"/>
          </w:tcPr>
          <w:p>
            <w:pPr>
              <w:ind w:left="20"/>
              <w:spacing w:after="0" w:line="204" w:lineRule="exact"/>
              <w:rPr>
                <w:sz w:val="20"/>
                <w:szCs w:val="20"/>
                <w:color w:val="auto"/>
              </w:rPr>
            </w:pPr>
            <w:r>
              <w:rPr>
                <w:rFonts w:ascii="Times New Roman" w:cs="Times New Roman" w:eastAsia="Times New Roman" w:hAnsi="Times New Roman"/>
                <w:sz w:val="18"/>
                <w:szCs w:val="18"/>
                <w:color w:val="0000FF"/>
              </w:rPr>
              <w:t>[Reserved]</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7.</w:t>
            </w:r>
          </w:p>
        </w:tc>
        <w:tc>
          <w:tcPr>
            <w:tcW w:w="6320" w:type="dxa"/>
            <w:vAlign w:val="bottom"/>
            <w:gridSpan w:val="26"/>
          </w:tcPr>
          <w:p>
            <w:pPr>
              <w:ind w:left="20"/>
              <w:spacing w:after="0" w:line="204"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1940" w:type="dxa"/>
            <w:vAlign w:val="bottom"/>
            <w:gridSpan w:val="2"/>
          </w:tcPr>
          <w:p>
            <w:pPr>
              <w:spacing w:after="0"/>
              <w:rPr>
                <w:sz w:val="17"/>
                <w:szCs w:val="17"/>
                <w:color w:val="auto"/>
              </w:rPr>
            </w:pP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40" w:type="dxa"/>
            <w:vAlign w:val="bottom"/>
            <w:gridSpan w:val="11"/>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gridSpan w:val="25"/>
          </w:tcPr>
          <w:p>
            <w:pPr>
              <w:spacing w:after="0" w:line="204" w:lineRule="exact"/>
              <w:rPr>
                <w:sz w:val="20"/>
                <w:szCs w:val="20"/>
                <w:color w:val="auto"/>
              </w:rPr>
            </w:pPr>
            <w:r>
              <w:rPr>
                <w:rFonts w:ascii="Times New Roman" w:cs="Times New Roman" w:eastAsia="Times New Roman" w:hAnsi="Times New Roman"/>
                <w:sz w:val="18"/>
                <w:szCs w:val="18"/>
                <w:color w:val="0000FF"/>
              </w:rPr>
              <w:t>Executive Overview</w:t>
            </w:r>
          </w:p>
        </w:tc>
        <w:tc>
          <w:tcPr>
            <w:tcW w:w="1940" w:type="dxa"/>
            <w:vAlign w:val="bottom"/>
            <w:gridSpan w:val="2"/>
          </w:tcPr>
          <w:p>
            <w:pPr>
              <w:spacing w:after="0"/>
              <w:rPr>
                <w:sz w:val="17"/>
                <w:szCs w:val="17"/>
                <w:color w:val="auto"/>
              </w:rPr>
            </w:pP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11"/>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4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Non-GAAP Financial Measures</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1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4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Results of Operations: Years Ended December 31, 2025 and 2024</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1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18"/>
          </w:tcPr>
          <w:p>
            <w:pPr>
              <w:spacing w:after="0" w:line="204" w:lineRule="exact"/>
              <w:rPr>
                <w:sz w:val="20"/>
                <w:szCs w:val="20"/>
                <w:color w:val="auto"/>
              </w:rPr>
            </w:pPr>
            <w:r>
              <w:rPr>
                <w:rFonts w:ascii="Times New Roman" w:cs="Times New Roman" w:eastAsia="Times New Roman" w:hAnsi="Times New Roman"/>
                <w:sz w:val="18"/>
                <w:szCs w:val="18"/>
                <w:color w:val="0000FF"/>
                <w:w w:val="97"/>
              </w:rPr>
              <w:t>Liquidity and Capital Resources</w:t>
            </w:r>
          </w:p>
        </w:tc>
        <w:tc>
          <w:tcPr>
            <w:tcW w:w="2340" w:type="dxa"/>
            <w:vAlign w:val="bottom"/>
            <w:gridSpan w:val="6"/>
          </w:tcPr>
          <w:p>
            <w:pPr>
              <w:spacing w:after="0"/>
              <w:rPr>
                <w:sz w:val="17"/>
                <w:szCs w:val="17"/>
                <w:color w:val="auto"/>
              </w:rPr>
            </w:pPr>
          </w:p>
        </w:tc>
        <w:tc>
          <w:tcPr>
            <w:tcW w:w="3520" w:type="dxa"/>
            <w:vAlign w:val="bottom"/>
            <w:gridSpan w:val="3"/>
          </w:tcPr>
          <w:p>
            <w:pPr>
              <w:spacing w:after="0"/>
              <w:rPr>
                <w:sz w:val="17"/>
                <w:szCs w:val="17"/>
                <w:color w:val="auto"/>
              </w:rPr>
            </w:pP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1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4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16"/>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Accounting Standards Updates</w:t>
            </w:r>
          </w:p>
        </w:tc>
        <w:tc>
          <w:tcPr>
            <w:tcW w:w="5120" w:type="dxa"/>
            <w:vAlign w:val="bottom"/>
            <w:gridSpan w:val="6"/>
          </w:tcPr>
          <w:p>
            <w:pPr>
              <w:spacing w:after="0"/>
              <w:rPr>
                <w:sz w:val="17"/>
                <w:szCs w:val="17"/>
                <w:color w:val="auto"/>
              </w:rPr>
            </w:pP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16"/>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7A.</w:t>
            </w:r>
          </w:p>
        </w:tc>
        <w:tc>
          <w:tcPr>
            <w:tcW w:w="8260" w:type="dxa"/>
            <w:vAlign w:val="bottom"/>
            <w:gridSpan w:val="28"/>
          </w:tcPr>
          <w:p>
            <w:pPr>
              <w:ind w:left="20"/>
              <w:spacing w:after="0" w:line="204"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60" w:type="dxa"/>
            <w:vAlign w:val="bottom"/>
            <w:gridSpan w:val="2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gridSpan w:val="23"/>
          </w:tcPr>
          <w:p>
            <w:pPr>
              <w:ind w:left="20"/>
              <w:spacing w:after="0" w:line="204" w:lineRule="exact"/>
              <w:rPr>
                <w:sz w:val="20"/>
                <w:szCs w:val="20"/>
                <w:color w:val="auto"/>
              </w:rPr>
            </w:pPr>
            <w:r>
              <w:rPr>
                <w:rFonts w:ascii="Times New Roman" w:cs="Times New Roman" w:eastAsia="Times New Roman" w:hAnsi="Times New Roman"/>
                <w:sz w:val="18"/>
                <w:szCs w:val="18"/>
                <w:color w:val="0000FF"/>
                <w:w w:val="96"/>
              </w:rPr>
              <w:t>Financial Statements and Supplementary Data</w:t>
            </w:r>
          </w:p>
        </w:tc>
        <w:tc>
          <w:tcPr>
            <w:tcW w:w="1000" w:type="dxa"/>
            <w:vAlign w:val="bottom"/>
          </w:tcPr>
          <w:p>
            <w:pPr>
              <w:spacing w:after="0"/>
              <w:rPr>
                <w:sz w:val="17"/>
                <w:szCs w:val="17"/>
                <w:color w:val="auto"/>
              </w:rPr>
            </w:pPr>
          </w:p>
        </w:tc>
        <w:tc>
          <w:tcPr>
            <w:tcW w:w="4000" w:type="dxa"/>
            <w:vAlign w:val="bottom"/>
            <w:gridSpan w:val="4"/>
          </w:tcPr>
          <w:p>
            <w:pPr>
              <w:spacing w:after="0"/>
              <w:rPr>
                <w:sz w:val="17"/>
                <w:szCs w:val="17"/>
                <w:color w:val="auto"/>
              </w:rPr>
            </w:pP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60" w:type="dxa"/>
            <w:vAlign w:val="bottom"/>
            <w:gridSpan w:val="23"/>
            <w:shd w:val="clear" w:color="auto" w:fill="0000FF"/>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ITEM 9.</w:t>
            </w:r>
          </w:p>
        </w:tc>
        <w:tc>
          <w:tcPr>
            <w:tcW w:w="8260" w:type="dxa"/>
            <w:vAlign w:val="bottom"/>
            <w:gridSpan w:val="28"/>
          </w:tcPr>
          <w:p>
            <w:pPr>
              <w:ind w:left="20"/>
              <w:spacing w:after="0" w:line="204"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TOWER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CONTENTS—(Continued)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 ANNUAL REPORT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8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 9A.</w:t>
            </w:r>
          </w:p>
        </w:tc>
        <w:tc>
          <w:tcPr>
            <w:tcW w:w="17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w w:val="94"/>
              </w:rPr>
              <w:t>Controls and Procedures</w:t>
            </w:r>
          </w:p>
        </w:tc>
        <w:tc>
          <w:tcPr>
            <w:tcW w:w="6520" w:type="dxa"/>
            <w:vAlign w:val="bottom"/>
            <w:gridSpan w:val="12"/>
            <w:vMerge w:val="restart"/>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040" w:type="dxa"/>
            <w:vAlign w:val="bottom"/>
            <w:gridSpan w:val="2"/>
            <w:vMerge w:val="continue"/>
          </w:tcPr>
          <w:p>
            <w:pPr>
              <w:spacing w:after="0"/>
              <w:rPr>
                <w:sz w:val="15"/>
                <w:szCs w:val="15"/>
                <w:color w:val="auto"/>
              </w:rPr>
            </w:pPr>
          </w:p>
        </w:tc>
        <w:tc>
          <w:tcPr>
            <w:tcW w:w="1740" w:type="dxa"/>
            <w:vAlign w:val="bottom"/>
            <w:gridSpan w:val="5"/>
            <w:vMerge w:val="continue"/>
          </w:tcPr>
          <w:p>
            <w:pPr>
              <w:spacing w:after="0"/>
              <w:rPr>
                <w:sz w:val="15"/>
                <w:szCs w:val="15"/>
                <w:color w:val="auto"/>
              </w:rPr>
            </w:pPr>
          </w:p>
        </w:tc>
        <w:tc>
          <w:tcPr>
            <w:tcW w:w="6520" w:type="dxa"/>
            <w:vAlign w:val="bottom"/>
            <w:gridSpan w:val="12"/>
            <w:vMerge w:val="continue"/>
          </w:tcPr>
          <w:p>
            <w:pPr>
              <w:spacing w:after="0"/>
              <w:rPr>
                <w:sz w:val="15"/>
                <w:szCs w:val="15"/>
                <w:color w:val="auto"/>
              </w:rPr>
            </w:pPr>
          </w:p>
        </w:tc>
        <w:tc>
          <w:tcPr>
            <w:tcW w:w="188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4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Disclosure Controls and Procedures</w:t>
            </w: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w w:val="97"/>
              </w:rPr>
              <w:t>Management’s Annual Report on Internal Control over Financial Reporting</w:t>
            </w:r>
          </w:p>
        </w:tc>
        <w:tc>
          <w:tcPr>
            <w:tcW w:w="2820" w:type="dxa"/>
            <w:vAlign w:val="bottom"/>
            <w:gridSpan w:val="2"/>
          </w:tcPr>
          <w:p>
            <w:pPr>
              <w:spacing w:after="0"/>
              <w:rPr>
                <w:sz w:val="17"/>
                <w:szCs w:val="17"/>
                <w:color w:val="auto"/>
              </w:rPr>
            </w:pP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rPr>
              <w:t>Changes in Internal Control over Financial Reporting</w:t>
            </w:r>
          </w:p>
        </w:tc>
        <w:tc>
          <w:tcPr>
            <w:tcW w:w="2820" w:type="dxa"/>
            <w:vAlign w:val="bottom"/>
            <w:gridSpan w:val="2"/>
          </w:tcPr>
          <w:p>
            <w:pPr>
              <w:spacing w:after="0"/>
              <w:rPr>
                <w:sz w:val="17"/>
                <w:szCs w:val="17"/>
                <w:color w:val="auto"/>
              </w:rPr>
            </w:pP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4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9B.</w:t>
            </w:r>
          </w:p>
        </w:tc>
        <w:tc>
          <w:tcPr>
            <w:tcW w:w="13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0000FF"/>
                <w:w w:val="95"/>
              </w:rPr>
              <w:t>Other Information</w:t>
            </w:r>
          </w:p>
        </w:tc>
        <w:tc>
          <w:tcPr>
            <w:tcW w:w="6960" w:type="dxa"/>
            <w:vAlign w:val="bottom"/>
            <w:gridSpan w:val="15"/>
          </w:tcPr>
          <w:p>
            <w:pPr>
              <w:spacing w:after="0"/>
              <w:rPr>
                <w:sz w:val="17"/>
                <w:szCs w:val="17"/>
                <w:color w:val="auto"/>
              </w:rPr>
            </w:pP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9C.</w:t>
            </w:r>
          </w:p>
        </w:tc>
        <w:tc>
          <w:tcPr>
            <w:tcW w:w="8260" w:type="dxa"/>
            <w:vAlign w:val="bottom"/>
            <w:gridSpan w:val="17"/>
          </w:tcPr>
          <w:p>
            <w:pPr>
              <w:ind w:left="20"/>
              <w:spacing w:after="0" w:line="204"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2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8260" w:type="dxa"/>
            <w:vAlign w:val="bottom"/>
            <w:gridSpan w:val="17"/>
          </w:tcPr>
          <w:p>
            <w:pPr>
              <w:ind w:left="2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11.</w:t>
            </w:r>
          </w:p>
        </w:tc>
        <w:tc>
          <w:tcPr>
            <w:tcW w:w="1740" w:type="dxa"/>
            <w:vAlign w:val="bottom"/>
            <w:gridSpan w:val="5"/>
          </w:tcPr>
          <w:p>
            <w:pPr>
              <w:ind w:left="20"/>
              <w:spacing w:after="0" w:line="204" w:lineRule="exact"/>
              <w:rPr>
                <w:sz w:val="20"/>
                <w:szCs w:val="20"/>
                <w:color w:val="auto"/>
              </w:rPr>
            </w:pPr>
            <w:r>
              <w:rPr>
                <w:rFonts w:ascii="Times New Roman" w:cs="Times New Roman" w:eastAsia="Times New Roman" w:hAnsi="Times New Roman"/>
                <w:sz w:val="18"/>
                <w:szCs w:val="18"/>
                <w:color w:val="0000FF"/>
                <w:w w:val="93"/>
              </w:rPr>
              <w:t>Executive Compensation</w:t>
            </w:r>
          </w:p>
        </w:tc>
        <w:tc>
          <w:tcPr>
            <w:tcW w:w="2260" w:type="dxa"/>
            <w:vAlign w:val="bottom"/>
            <w:gridSpan w:val="6"/>
          </w:tcPr>
          <w:p>
            <w:pPr>
              <w:spacing w:after="0"/>
              <w:rPr>
                <w:sz w:val="17"/>
                <w:szCs w:val="17"/>
                <w:color w:val="auto"/>
              </w:rPr>
            </w:pPr>
          </w:p>
        </w:tc>
        <w:tc>
          <w:tcPr>
            <w:tcW w:w="4260" w:type="dxa"/>
            <w:vAlign w:val="bottom"/>
            <w:gridSpan w:val="6"/>
          </w:tcPr>
          <w:p>
            <w:pPr>
              <w:spacing w:after="0"/>
              <w:rPr>
                <w:sz w:val="17"/>
                <w:szCs w:val="17"/>
                <w:color w:val="auto"/>
              </w:rPr>
            </w:pP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12.</w:t>
            </w:r>
          </w:p>
        </w:tc>
        <w:tc>
          <w:tcPr>
            <w:tcW w:w="8260" w:type="dxa"/>
            <w:vAlign w:val="bottom"/>
            <w:gridSpan w:val="17"/>
          </w:tcPr>
          <w:p>
            <w:pPr>
              <w:ind w:left="20"/>
              <w:spacing w:after="0" w:line="204"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13.</w:t>
            </w:r>
          </w:p>
        </w:tc>
        <w:tc>
          <w:tcPr>
            <w:tcW w:w="7120" w:type="dxa"/>
            <w:vAlign w:val="bottom"/>
            <w:gridSpan w:val="16"/>
          </w:tcPr>
          <w:p>
            <w:pPr>
              <w:ind w:left="20"/>
              <w:spacing w:after="0" w:line="204"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40" w:type="dxa"/>
            <w:vAlign w:val="bottom"/>
          </w:tcPr>
          <w:p>
            <w:pPr>
              <w:spacing w:after="0"/>
              <w:rPr>
                <w:sz w:val="17"/>
                <w:szCs w:val="17"/>
                <w:color w:val="auto"/>
              </w:rPr>
            </w:pP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14.</w:t>
            </w:r>
          </w:p>
        </w:tc>
        <w:tc>
          <w:tcPr>
            <w:tcW w:w="5320" w:type="dxa"/>
            <w:vAlign w:val="bottom"/>
            <w:gridSpan w:val="14"/>
          </w:tcPr>
          <w:p>
            <w:pPr>
              <w:ind w:left="20"/>
              <w:spacing w:after="0" w:line="204"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2940" w:type="dxa"/>
            <w:vAlign w:val="bottom"/>
            <w:gridSpan w:val="3"/>
          </w:tcPr>
          <w:p>
            <w:pPr>
              <w:spacing w:after="0"/>
              <w:rPr>
                <w:sz w:val="17"/>
                <w:szCs w:val="17"/>
                <w:color w:val="auto"/>
              </w:rPr>
            </w:pP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20" w:type="dxa"/>
            <w:vAlign w:val="bottom"/>
            <w:tcBorders>
              <w:top w:val="single" w:sz="8" w:color="0000FF"/>
            </w:tcBorders>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0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2840" w:type="dxa"/>
            <w:vAlign w:val="bottom"/>
            <w:gridSpan w:val="9"/>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Exhibits, Financial Statement Schedules</w:t>
            </w:r>
          </w:p>
        </w:tc>
        <w:tc>
          <w:tcPr>
            <w:tcW w:w="5420" w:type="dxa"/>
            <w:vAlign w:val="bottom"/>
            <w:gridSpan w:val="8"/>
          </w:tcPr>
          <w:p>
            <w:pPr>
              <w:spacing w:after="0"/>
              <w:rPr>
                <w:sz w:val="16"/>
                <w:szCs w:val="16"/>
                <w:color w:val="auto"/>
              </w:rPr>
            </w:pPr>
          </w:p>
        </w:tc>
        <w:tc>
          <w:tcPr>
            <w:tcW w:w="18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6"/>
              </w:rPr>
              <w:t>Index to Exhibits</w:t>
            </w:r>
          </w:p>
        </w:tc>
        <w:tc>
          <w:tcPr>
            <w:tcW w:w="1500" w:type="dxa"/>
            <w:vAlign w:val="bottom"/>
            <w:gridSpan w:val="6"/>
          </w:tcPr>
          <w:p>
            <w:pPr>
              <w:spacing w:after="0"/>
              <w:rPr>
                <w:sz w:val="17"/>
                <w:szCs w:val="17"/>
                <w:color w:val="auto"/>
              </w:rPr>
            </w:pPr>
          </w:p>
        </w:tc>
        <w:tc>
          <w:tcPr>
            <w:tcW w:w="5420" w:type="dxa"/>
            <w:vAlign w:val="bottom"/>
            <w:gridSpan w:val="8"/>
          </w:tcPr>
          <w:p>
            <w:pPr>
              <w:spacing w:after="0"/>
              <w:rPr>
                <w:sz w:val="17"/>
                <w:szCs w:val="17"/>
                <w:color w:val="auto"/>
              </w:rPr>
            </w:pP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16.</w:t>
            </w:r>
          </w:p>
        </w:tc>
        <w:tc>
          <w:tcPr>
            <w:tcW w:w="8260" w:type="dxa"/>
            <w:vAlign w:val="bottom"/>
            <w:gridSpan w:val="17"/>
          </w:tcPr>
          <w:p>
            <w:pPr>
              <w:ind w:left="20"/>
              <w:spacing w:after="0" w:line="204" w:lineRule="exact"/>
              <w:rPr>
                <w:sz w:val="20"/>
                <w:szCs w:val="20"/>
                <w:color w:val="auto"/>
              </w:rPr>
            </w:pPr>
            <w:r>
              <w:rPr>
                <w:rFonts w:ascii="Times New Roman" w:cs="Times New Roman" w:eastAsia="Times New Roman" w:hAnsi="Times New Roman"/>
                <w:sz w:val="18"/>
                <w:szCs w:val="18"/>
                <w:color w:val="0000FF"/>
              </w:rPr>
              <w:t>Form 10-K Summary</w:t>
            </w: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4"/>
              </w:rPr>
              <w:t>Signatures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75</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60" w:type="dxa"/>
            <w:vAlign w:val="bottom"/>
            <w:tcBorders>
              <w:bottom w:val="single" w:sz="8" w:color="0000FF"/>
            </w:tcBorders>
            <w:gridSpan w:val="8"/>
          </w:tcPr>
          <w:p>
            <w:pPr>
              <w:spacing w:after="0" w:line="204" w:lineRule="exact"/>
              <w:rPr>
                <w:sz w:val="20"/>
                <w:szCs w:val="20"/>
                <w:color w:val="auto"/>
              </w:rPr>
            </w:pPr>
            <w:r>
              <w:rPr>
                <w:rFonts w:ascii="Times New Roman" w:cs="Times New Roman" w:eastAsia="Times New Roman" w:hAnsi="Times New Roman"/>
                <w:sz w:val="18"/>
                <w:szCs w:val="18"/>
                <w:color w:val="0000FF"/>
                <w:w w:val="96"/>
              </w:rPr>
              <w:t>Index to Consolidated Financial Statements</w:t>
            </w:r>
          </w:p>
        </w:tc>
        <w:tc>
          <w:tcPr>
            <w:tcW w:w="6240" w:type="dxa"/>
            <w:vAlign w:val="bottom"/>
            <w:gridSpan w:val="11"/>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Borders>
              <w:bottom w:val="single" w:sz="8" w:color="0000FF"/>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0000FF"/>
                <w:w w:val="95"/>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This Annual Report on Form 10-K (this “Annual Report”) contains statements about future events and expectations, or forward-looking statements, all of which are inherently uncertain. We have based those forward-looking statements on our current expectations and projections about future results. When we use words such as “anticipates,” “intends,” “plans,” “believes,” “estimates,” “expects” or similar expressions, we are making forward-looking statements. Examples of forward-looking statements include, but are not limited to, future prospects of growth in the communications infrastructure leasing industry, our relationships with our customers, the creditworthiness and financial strength of our customers, our ability to maintain or increase our market share, the effects of consolidation among companies in our industry and among our customers and other competitive and financial pressures, our plans to fund our future liquidity needs, our expectations for the closing of signed agreements, including divestitures, and the expected impacts of such agreements on our business, the expected impacts of strategic partnerships on our business, our substantial leverage and debt service obligations, our future financing transactions, our future operating results, the level of future expenditures by companies in this industry and other trends in this industry, the impacts of technology failures, including cybersecurity, data governance and data privacy incidents, on our business, our ability to operate our distinct data centers business, our ability to protect our rights to the land under our towers and buildings in which our data centers are located, changes in zoning, tax and other laws and regulations and administrative and judicial decisions, economic, political and other events, particularly those relating to our international operations, our future capital expenditure levels, the impact of technology changes on our industry and our business, our ability to remain qualified for taxation as a real estate investment trust (“REIT”), the amount and timing of any future distributions including those we are required to make as a REIT, the expected impact of our transformation initiatives on our business and natural disasters and similar events. These statements are based on our management’s beliefs and assumptions, which in turn are based on currently available information. These assumptions could prove inaccurate. These forward-looking statements may be found under the captions “Business” and “Management’s Discussion and Analysis of Financial Condition and Results of Operations,” as well as in this Annual Report generally.</w:t>
      </w:r>
    </w:p>
    <w:p>
      <w:pPr>
        <w:spacing w:after="0" w:line="30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You should keep in mind that any forward-looking statement we make in this Annual Report or elsewhere speaks only as of the date on which we make it. New risks and uncertainties arise from time to time, and it is impossible for us to predict these events or how they may affect us. In any event, these and other important factors, including those set forth in Item 1A of this Annual Report under the caption “Risk Factors,” may cause actual results to differ materially from those indicated by our forward-looking statements. We have no duty, and do not intend, to update or revise the forward-looking statements we make in this Annual Report, except as may be required by law. In light of these risks and uncertainties, you should keep in mind that the future events or circumstances described in any forward-looking statement we make in this Annual Report or elsewhere might not occur. References in this Annual Report to “we,” “our” and the “Company” refer to American Tower Corporation and its predecessor, as applicable, individually and collectively with its subsidiaries as the context requires.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43"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1"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8"/>
          <w:szCs w:val="18"/>
          <w:color w:val="auto"/>
        </w:rPr>
        <w:t>We are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We refer to this business, inclusive of our data center business discussed below, as our property operations, which accounted for 97% of our total revenues for the year ended December 31, 2025. We also offer tower-related services in the United States, which we refer to as our services operations. These services include site application, zoning and permitting, structural and mount analyses, and construction management services, together with program management offerings that support customer deployment needs from project scoping through construction. Our services operations primarily support our site leasing business, including the addition of new tenants and equipment on our sites. Our customers include our tenants, licensees and other payers.</w:t>
      </w:r>
    </w:p>
    <w:p>
      <w:pPr>
        <w:spacing w:after="0" w:line="12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Since inception, we have grown our communications real estate portfolio through acquisitions, long-term lease arrangements and site development. Our portfolio primarily consists of towers that we own and towers that we operate pursuant to long-term lease arrangements, as well as distributed antenna system (“DAS”) networks, which provide seamless coverage solutions in certain in-building and outdoor wireless environments. In addition to the communications sites in our portfolio, we manage rooftop and tower sites for property owners under various contractual arrangements. We also hold other telecommunications infrastructure, fiber and property interests that we lease primarily to communications service providers and third-party tower operators, and, as discussed further below, we hold a portfolio of highly interconnected data center facilities and related assets in the United States that we provide for the leasing of space primarily to enterprises, network operators, cloud providers and supporting service providers.</w:t>
      </w:r>
    </w:p>
    <w:p>
      <w:pPr>
        <w:spacing w:after="0" w:line="1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of December 31, 2025, our communications real estate portfolio of 149,686 communications sites included 42,224 communications sites in the U.S. &amp; Canada, 27,857 communications sites in Africa &amp; APAC (as defined below), 32,524 communications sites in Europe and 47,081 communications sites in Latin America, as well as (i) urban telecommunications assets in Argentina, Brazil, Colombia and Spain, (ii) other property interests in Canada and the United States and (iii) 30 operating data center facilities across eleven markets in the United States.</w:t>
      </w:r>
    </w:p>
    <w:p>
      <w:pPr>
        <w:spacing w:after="0" w:line="11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We operate as a real estate investment trust for U.S. federal income tax purposes (“REIT”). Accordingly, we generally are not required to pay U.S. federal income taxes on income generated by our REIT operations, including the income derived from leasing space on our towers and in our data centers, as we receive a dividends paid deduction for distributions to stockholders that offsets our REIT taxable income and gains. However, we remain obligated to pay U.S. federal income taxes on earnings from our domestic taxable REIT subsidiaries (“TRSs”). In addition, our international assets and operations, regardless of their classification for U.S. tax purposes, continue to be subject to taxation in the jurisdictions where those assets are held or those operations are conducted.</w:t>
      </w:r>
    </w:p>
    <w:p>
      <w:pPr>
        <w:spacing w:after="0" w:line="9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use of TRSs enables us to continue to engage in certain businesses and jurisdictions while complying with REIT qualification requirements. We may, from time to time, change the election of previously designated TRSs to be included as part of the REIT. As of December 31, 2025, our REIT-qualified businesses included our U.S. tower leasing business, a majority of our U.S. DAS networks business, our Services and Data Centers segments, as well as most of our operations in Canada, Costa Rica, France, Germany, Ghana, Kenya, Mexico, Nigeria, South Africa, Spain and Uganda.</w:t>
      </w:r>
    </w:p>
    <w:p>
      <w:pPr>
        <w:spacing w:after="0" w:line="10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We report our results in six segments: U.S. &amp; Canada property (which includes all assets in the United States and Canada, other than our data center facilities and related assets), Africa &amp; Asia-Pacific (“APAC”) property, Europe property, Latin America property, Data Centers and Services.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Operations</w:t>
      </w:r>
    </w:p>
    <w:p>
      <w:pPr>
        <w:spacing w:after="0" w:line="15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Our property operations accounted for 97%, 98% and 99% of our total revenues for the years ended December 31, 2025, 2024 and 2023, respectively. Our revenue is primarily generated from tenant leases. Within our tower leasing operations, our tenants lease space on our communications real estate, where they install and maintain their equipment. Rental payments vary considerably depending upon numerous factors, including, but not limited to, amount, type and position of tenant equipment on the tower, remaining tower capacity and tower location. Our costs typically include ground rent (which is primarily fixed under long-term lease agreements with annual cost escalations) and power and fuel costs, some or all of which may be passed through to our tenants, as well as property taxes and repair and maintenance expenses. Our property operations have generated consistent growth in revenue and typically have low cash flow volatility due to the following characteristics:</w:t>
      </w:r>
    </w:p>
    <w:p>
      <w:pPr>
        <w:spacing w:after="0" w:line="121" w:lineRule="exact"/>
        <w:rPr>
          <w:sz w:val="20"/>
          <w:szCs w:val="20"/>
          <w:color w:val="auto"/>
        </w:rPr>
      </w:pPr>
    </w:p>
    <w:p>
      <w:pPr>
        <w:ind w:left="640" w:right="60" w:hanging="318"/>
        <w:spacing w:after="0" w:line="280" w:lineRule="auto"/>
        <w:tabs>
          <w:tab w:leader="none" w:pos="63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Long-term tenant leases with contractual rent escalations. </w:t>
      </w:r>
      <w:r>
        <w:rPr>
          <w:rFonts w:ascii="Times New Roman" w:cs="Times New Roman" w:eastAsia="Times New Roman" w:hAnsi="Times New Roman"/>
          <w:sz w:val="16"/>
          <w:szCs w:val="16"/>
          <w:color w:val="auto"/>
        </w:rPr>
        <w:t>In general, our tenant leases for our communications sites with wireless carriers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initial non-cancellable terms of five to ten years with multiple renewal terms, with provisions that periodically increase the rent due under the lease, typically annually, based on a fixed escalation percentage (averaging approximately 3% in the United States) or an inflationary index in most of our international markets, or a combination of both. Based upon foreign currency exchange rates and the tenant leases in place as of December 31, 2025, we expect to generate over $54 billion of non-cancellable tenant lease revenue over future periods, before the impact of straight-line lease accounting.</w:t>
      </w:r>
    </w:p>
    <w:p>
      <w:pPr>
        <w:ind w:left="640" w:hanging="318"/>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Consistent demand for our sites. </w:t>
      </w:r>
      <w:r>
        <w:rPr>
          <w:rFonts w:ascii="Times New Roman" w:cs="Times New Roman" w:eastAsia="Times New Roman" w:hAnsi="Times New Roman"/>
          <w:sz w:val="18"/>
          <w:szCs w:val="18"/>
          <w:color w:val="auto"/>
        </w:rPr>
        <w:t>As a result of rapidly growing usage of mobile data and other wireless services and the corresponding wireless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capital spending trends in the markets we serve, we anticipate consistent demand for our communications sites. We believe that our global asset base positions us well to benefit from the increasing proliferation of advanced wireless devices and the increasing usage of high bandwidth applications on those devices. We have the ability to add new tenants and new equipment for existing tenants on our sites, which typically results in incremental revenue and modest incremental costs. Our site portfolio and our established tenant base provide us with a solid platform for new business opportunities, which has historically resulted in consistent and predictable organic revenue growth.</w:t>
      </w:r>
    </w:p>
    <w:p>
      <w:pPr>
        <w:spacing w:after="0" w:line="2" w:lineRule="exact"/>
        <w:rPr>
          <w:rFonts w:ascii="Times New Roman" w:cs="Times New Roman" w:eastAsia="Times New Roman" w:hAnsi="Times New Roman"/>
          <w:sz w:val="18"/>
          <w:szCs w:val="18"/>
          <w:color w:val="auto"/>
        </w:rPr>
      </w:pPr>
    </w:p>
    <w:p>
      <w:pPr>
        <w:ind w:left="640" w:right="120" w:hanging="318"/>
        <w:spacing w:after="0" w:line="244" w:lineRule="auto"/>
        <w:tabs>
          <w:tab w:leader="none" w:pos="609"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High lease renewal rates. </w:t>
      </w:r>
      <w:r>
        <w:rPr>
          <w:rFonts w:ascii="Times New Roman" w:cs="Times New Roman" w:eastAsia="Times New Roman" w:hAnsi="Times New Roman"/>
          <w:sz w:val="18"/>
          <w:szCs w:val="18"/>
          <w:color w:val="auto"/>
        </w:rPr>
        <w:t>Our tenants tend to renew leases because suitable alternative sites may not exist or be available and repositioning a site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network may be expensive and may adversely affect network quality. We define churn as tenant billings lost when a tenant cancels or does not renew its lease or, in limited circumstances, when the lease rates on existing leases are reduced. We derive our churn rate for a given year by dividing our tenant billings lost on this basis by our prior-year tenant billings. During the year ended December 31, 2025, churn was approximately 2% of our tenant billings, primarily driven by churn in our U.S. &amp; Canada property segment.</w:t>
      </w:r>
    </w:p>
    <w:p>
      <w:pPr>
        <w:ind w:left="640" w:right="380" w:hanging="318"/>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operating margins. </w:t>
      </w:r>
      <w:r>
        <w:rPr>
          <w:rFonts w:ascii="Times New Roman" w:cs="Times New Roman" w:eastAsia="Times New Roman" w:hAnsi="Times New Roman"/>
          <w:sz w:val="18"/>
          <w:szCs w:val="18"/>
          <w:color w:val="auto"/>
        </w:rPr>
        <w:t>Incremental operating costs associated with adding new tenants or equipment to an existing communications site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typically relatively minimal. Therefore, as tenants or equipment are added, the substantial majority of incremental revenue flows through to gross margin and operating profit. In addition, in many of our international markets, certain expenses, such as ground rent or power and fuel costs, are reimbursed or shared by our tenant base.</w:t>
      </w:r>
    </w:p>
    <w:p>
      <w:pPr>
        <w:spacing w:after="0" w:line="1" w:lineRule="exact"/>
        <w:rPr>
          <w:rFonts w:ascii="Times New Roman" w:cs="Times New Roman" w:eastAsia="Times New Roman" w:hAnsi="Times New Roman"/>
          <w:sz w:val="18"/>
          <w:szCs w:val="18"/>
          <w:color w:val="auto"/>
        </w:rPr>
      </w:pPr>
    </w:p>
    <w:p>
      <w:pPr>
        <w:ind w:left="640" w:right="1060" w:hanging="318"/>
        <w:spacing w:after="0" w:line="24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 maintenance capital expenditures. </w:t>
      </w:r>
      <w:r>
        <w:rPr>
          <w:rFonts w:ascii="Times New Roman" w:cs="Times New Roman" w:eastAsia="Times New Roman" w:hAnsi="Times New Roman"/>
          <w:sz w:val="18"/>
          <w:szCs w:val="18"/>
          <w:color w:val="auto"/>
        </w:rPr>
        <w:t>On average, we require relatively low amounts of annual capital expenditures to maintain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sites.</w:t>
      </w:r>
    </w:p>
    <w:p>
      <w:pPr>
        <w:spacing w:after="0" w:line="10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property business includes the operation of communications sites and managed networks, the leasing of property interests and, in select markets, the operation of fiber, the operation of data centers and the provision of backup power through shared generators and power solutions. Our presence in a number of markets at different relative stages of wireless development provides us with significant diversification and long-term growth potential. Our property segments accounted for the following percentage of consolidated total revenue for the years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gridSpan w:val="2"/>
          </w:tcPr>
          <w:p>
            <w:pPr>
              <w:ind w:left="7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9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Canada</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4"/>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Africa &amp; APAC (1)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4"/>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4"/>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4"/>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Centers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right="120" w:hanging="315"/>
        <w:spacing w:after="0" w:line="246" w:lineRule="auto"/>
        <w:tabs>
          <w:tab w:leader="none" w:pos="30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and 2023, excludes the operating results of our subsidiaries, ATC Asia Pacific Pte. Ltd. and ATC Telecom Infrastructure Private Limited (“ATC TIPL”), which are reported as discontinued operations. See note 21 to our consolidated financial statements included in this Annual Report (“Note 21”) for further discussion.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Communications Sites. </w:t>
      </w:r>
      <w:r>
        <w:rPr>
          <w:rFonts w:ascii="Times New Roman" w:cs="Times New Roman" w:eastAsia="Times New Roman" w:hAnsi="Times New Roman"/>
          <w:sz w:val="18"/>
          <w:szCs w:val="18"/>
          <w:color w:val="auto"/>
        </w:rPr>
        <w:t>Approximately 82%, 87% and 88% of revenue in our property segments was attributable to our communications sites, excluding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facilities and related assets, DAS networks and fiber, for the years ended December 31, 2025, 2024 and 2023, respectively.</w:t>
      </w:r>
    </w:p>
    <w:p>
      <w:pPr>
        <w:spacing w:after="0" w:line="8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lease space on our communications sites to tenants providing a diverse range of communications services, including cellular voice and data, broadcasting, mobile video and a number of other applications. In addition, in many of our international markets, we receive pass-through revenue from our tenants to cover certain costs, including power and fuel costs and ground rent. Our top tenants by revenue for each property segment are as follows for the year ended December 31, 2025:</w:t>
      </w:r>
    </w:p>
    <w:p>
      <w:pPr>
        <w:spacing w:after="0" w:line="117" w:lineRule="exact"/>
        <w:rPr>
          <w:sz w:val="20"/>
          <w:szCs w:val="20"/>
          <w:color w:val="auto"/>
        </w:rPr>
      </w:pPr>
    </w:p>
    <w:p>
      <w:pPr>
        <w:ind w:left="640" w:right="260" w:hanging="318"/>
        <w:spacing w:after="0" w:line="24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&amp; Canada: </w:t>
      </w:r>
      <w:r>
        <w:rPr>
          <w:rFonts w:ascii="Times New Roman" w:cs="Times New Roman" w:eastAsia="Times New Roman" w:hAnsi="Times New Roman"/>
          <w:sz w:val="18"/>
          <w:szCs w:val="18"/>
          <w:color w:val="auto"/>
        </w:rPr>
        <w:t>AT&amp;T Inc. (“AT&amp;T”); T-Mobile US, Inc. (“T-Mobile”); and Verizon Communications Inc. (“Verizon Wireless”) accounted for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of 85% of U.S. &amp; Canada property segment revenue.</w:t>
      </w:r>
    </w:p>
    <w:p>
      <w:pPr>
        <w:ind w:left="640" w:right="20" w:hanging="318"/>
        <w:spacing w:after="0" w:line="244" w:lineRule="auto"/>
        <w:tabs>
          <w:tab w:leader="none" w:pos="63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Africa &amp; APAC: </w:t>
      </w:r>
      <w:r>
        <w:rPr>
          <w:rFonts w:ascii="Times New Roman" w:cs="Times New Roman" w:eastAsia="Times New Roman" w:hAnsi="Times New Roman"/>
          <w:sz w:val="18"/>
          <w:szCs w:val="18"/>
          <w:color w:val="auto"/>
        </w:rPr>
        <w:t>Bharti Airtel Limited (“Airtel”); and MTN Group Limited (“MTN”) accounted for an aggregate of 81% of Africa &amp; APAC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revenue.</w:t>
      </w:r>
    </w:p>
    <w:p>
      <w:pPr>
        <w:ind w:left="640" w:hanging="31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Europe: </w:t>
      </w:r>
      <w:r>
        <w:rPr>
          <w:rFonts w:ascii="Times New Roman" w:cs="Times New Roman" w:eastAsia="Times New Roman" w:hAnsi="Times New Roman"/>
          <w:sz w:val="18"/>
          <w:szCs w:val="18"/>
          <w:color w:val="auto"/>
        </w:rPr>
        <w:t>Telefónica S.A. (“Telefónica”) accounted for an aggregate of 70% of Europe property segment revenue.</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Latin America: </w:t>
      </w:r>
      <w:r>
        <w:rPr>
          <w:rFonts w:ascii="Times New Roman" w:cs="Times New Roman" w:eastAsia="Times New Roman" w:hAnsi="Times New Roman"/>
          <w:sz w:val="16"/>
          <w:szCs w:val="16"/>
          <w:color w:val="auto"/>
        </w:rPr>
        <w:t>América Móvil; AT&amp;T; Telefónica; and TIM S.p.A. accounted for an aggregate of 71% of Latin America property segment revenue.</w:t>
      </w:r>
    </w:p>
    <w:p>
      <w:pPr>
        <w:spacing w:after="0" w:line="14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Accordingly, we are subject to certain risks, as set forth in Item 1A of this Annual Report under the caption “Risk Factors—A substantial portion of our current and projected future revenue is derived from a small number of customers, and we are sensitive to adverse changes in the creditworthiness and financial strength of our customers.” In addition, we are subject to risks related to our international operations, as set forth under the caption “Risk Factors—Our foreign operations are subject to economic, political and other risks that could materially and adversely affect our revenues or financial position, including risks associated with fluctuations in foreign currency exchange rates.”</w:t>
      </w:r>
    </w:p>
    <w:p>
      <w:pPr>
        <w:spacing w:after="0" w:line="11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Data Centers and Related Assets, Managed Networks, Other Telecommunications Assets, Property Interests and Shared Generators and Power Solutions.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our communications sites, we also own and operate several types of managed network solutions, provide communications site management services to third parties, manage and lease property interests under carrier or other third-party communications sites, operate data center facilities and related assets, operate other telecommunications assets and provide back-up power sources and power solutions to tenants at our sites. The balance of our property segment revenue not attributable to our communications sites was attributable to these items.</w:t>
      </w:r>
    </w:p>
    <w:p>
      <w:pPr>
        <w:spacing w:after="0" w:line="116" w:lineRule="exact"/>
        <w:rPr>
          <w:sz w:val="20"/>
          <w:szCs w:val="20"/>
          <w:color w:val="auto"/>
        </w:rPr>
      </w:pPr>
    </w:p>
    <w:p>
      <w:pPr>
        <w:ind w:left="640" w:right="80" w:hanging="318"/>
        <w:spacing w:after="0" w:line="248" w:lineRule="auto"/>
        <w:tabs>
          <w:tab w:leader="none" w:pos="609" w:val="left"/>
        </w:tabs>
        <w:numPr>
          <w:ilvl w:val="0"/>
          <w:numId w:val="6"/>
        </w:numPr>
        <w:rPr>
          <w:rFonts w:ascii="Arial" w:cs="Arial" w:eastAsia="Arial" w:hAnsi="Arial"/>
          <w:sz w:val="18"/>
          <w:szCs w:val="18"/>
          <w:i w:val="1"/>
          <w:iCs w:val="1"/>
          <w:color w:val="auto"/>
        </w:rPr>
      </w:pPr>
      <w:r>
        <w:rPr>
          <w:rFonts w:ascii="Times New Roman" w:cs="Times New Roman" w:eastAsia="Times New Roman" w:hAnsi="Times New Roman"/>
          <w:sz w:val="18"/>
          <w:szCs w:val="18"/>
          <w:b w:val="1"/>
          <w:bCs w:val="1"/>
          <w:color w:val="auto"/>
        </w:rPr>
        <w:t xml:space="preserve">Data Centers and Related Assets. </w:t>
      </w:r>
      <w:r>
        <w:rPr>
          <w:rFonts w:ascii="Times New Roman" w:cs="Times New Roman" w:eastAsia="Times New Roman" w:hAnsi="Times New Roman"/>
          <w:sz w:val="18"/>
          <w:szCs w:val="18"/>
          <w:color w:val="auto"/>
        </w:rPr>
        <w:t>We own and operate data center facilities and related assets in the United States, which consist of specialized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 buildings that house networking, storage and communications technology infrastructure, including servers, storage devices, switches, routers and fiber optic transmission equipment. These buildings are designed to provide the power, cooling and network connectivity necessary to efficiently operate this equipment. Data centers located at points where many communications networks converge can also function as interconnection hubs where customers are able to connect to multiple networks, cloud companies and other service providers to exchange traffic and interoperate with each other.</w:t>
      </w:r>
    </w:p>
    <w:p>
      <w:pPr>
        <w:ind w:left="640" w:hanging="318"/>
        <w:spacing w:after="0" w:line="244" w:lineRule="auto"/>
        <w:tabs>
          <w:tab w:leader="none" w:pos="6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Managed Networks. </w:t>
      </w:r>
      <w:r>
        <w:rPr>
          <w:rFonts w:ascii="Times New Roman" w:cs="Times New Roman" w:eastAsia="Times New Roman" w:hAnsi="Times New Roman"/>
          <w:sz w:val="18"/>
          <w:szCs w:val="18"/>
          <w:color w:val="auto"/>
        </w:rPr>
        <w:t>We own and operate DAS networks in the United States and certain international markets. We obtain rights from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to install and operate in-building DAS networks, and we grant rights to wireless service providers to attach their equipment to our installations. We also offer a small portfolio of outdoor DAS networks as a complementary shared infrastructure solution for our tenants in the United States and in certain international markets. Typically, we have designed, built and operated our outdoor DAS networks in areas in which zoning restrictions or other barriers may prevent or delay deployment of more traditional wireless communications sites, such as macro tower sites. We also hold lease rights and easement interests on rooftops capable of hosting communications equipment in locations where towers are generally not a viable solution based on area characteristics. In addition, we provide management services to property owners in the United States who elect to retain full rights to their property while simultaneously marketing the rooftop for wireless communications equipment installation. As the demand for advanced wireless services in urban markets evolves, we continue to evaluate a variety of infrastructure solutions, including small cells and other network architectures that may support our tenants’ networks in these areas.</w:t>
      </w:r>
    </w:p>
    <w:p>
      <w:pPr>
        <w:spacing w:after="0" w:line="3" w:lineRule="exact"/>
        <w:rPr>
          <w:rFonts w:ascii="Times New Roman" w:cs="Times New Roman" w:eastAsia="Times New Roman" w:hAnsi="Times New Roman"/>
          <w:sz w:val="18"/>
          <w:szCs w:val="18"/>
          <w:b w:val="1"/>
          <w:bCs w:val="1"/>
          <w:color w:val="auto"/>
        </w:rPr>
      </w:pPr>
    </w:p>
    <w:p>
      <w:pPr>
        <w:ind w:left="640" w:right="60" w:hanging="318"/>
        <w:spacing w:after="0" w:line="244" w:lineRule="auto"/>
        <w:tabs>
          <w:tab w:leader="none" w:pos="63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Other Telecommunications Assets. </w:t>
      </w:r>
      <w:r>
        <w:rPr>
          <w:rFonts w:ascii="Times New Roman" w:cs="Times New Roman" w:eastAsia="Times New Roman" w:hAnsi="Times New Roman"/>
          <w:sz w:val="18"/>
          <w:szCs w:val="18"/>
          <w:color w:val="auto"/>
        </w:rPr>
        <w:t>We own and operate other telecommunications assets, including fiber and related assets, in certain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We currently provide the right to use such fiber and related assets to communications and internet service providers and third-party operators to support their telecommunications infrastructure.</w:t>
      </w:r>
    </w:p>
    <w:p>
      <w:pPr>
        <w:spacing w:after="0" w:line="1" w:lineRule="exact"/>
        <w:rPr>
          <w:rFonts w:ascii="Times New Roman" w:cs="Times New Roman" w:eastAsia="Times New Roman" w:hAnsi="Times New Roman"/>
          <w:sz w:val="18"/>
          <w:szCs w:val="18"/>
          <w:i w:val="1"/>
          <w:iCs w:val="1"/>
          <w:color w:val="auto"/>
        </w:rPr>
      </w:pPr>
    </w:p>
    <w:p>
      <w:pPr>
        <w:ind w:left="640" w:right="680" w:hanging="318"/>
        <w:spacing w:after="0" w:line="244" w:lineRule="auto"/>
        <w:tabs>
          <w:tab w:leader="none" w:pos="6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Interests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own portfolios of property interests in Canada and the United States, including land under carrier or other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sites, which provide recurring cash flow under complementary leasing arrangements.</w:t>
      </w:r>
    </w:p>
    <w:p>
      <w:pPr>
        <w:ind w:left="640" w:right="40" w:hanging="318"/>
        <w:spacing w:after="0" w:line="248" w:lineRule="auto"/>
        <w:tabs>
          <w:tab w:leader="none" w:pos="63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Shared Generators and Power Solutions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contracts with certain of our tower tenants pursuant to which we provide access to shared backup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generators in the United States. In Africa, we also have contracts to power our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40" w:right="540"/>
        <w:spacing w:after="0" w:line="269" w:lineRule="auto"/>
        <w:rPr>
          <w:sz w:val="20"/>
          <w:szCs w:val="20"/>
          <w:color w:val="auto"/>
        </w:rPr>
      </w:pPr>
      <w:r>
        <w:rPr>
          <w:rFonts w:ascii="Times New Roman" w:cs="Times New Roman" w:eastAsia="Times New Roman" w:hAnsi="Times New Roman"/>
          <w:sz w:val="18"/>
          <w:szCs w:val="18"/>
          <w:color w:val="auto"/>
        </w:rPr>
        <w:t>tower tenants’ equipment through the use of shared infrastructure assets, primarily consisting of generators, solar panels and electricity storage solutions.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Operations</w:t>
      </w:r>
    </w:p>
    <w:p>
      <w:pPr>
        <w:spacing w:after="0" w:line="14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We offer tower-related services in the United States, including site application, zoning and permitting, structural and mount analyses, and construction management services, together with program management offerings that support customer deployment needs from project scoping through construction. Our services operations primarily support our site leasing business, including through the addition of new tenants and equipment on our sites. This segment accounted for 3%, 2% and 1% of our total revenue for the years ended December 31, 2025, 2024 and 2023, respectively.</w:t>
      </w:r>
    </w:p>
    <w:p>
      <w:pPr>
        <w:spacing w:after="0" w:line="11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i w:val="1"/>
          <w:iCs w:val="1"/>
          <w:color w:val="auto"/>
        </w:rPr>
        <w:t>Site Application, Zoning and Permitting</w:t>
      </w:r>
      <w:r>
        <w:rPr>
          <w:rFonts w:ascii="Times New Roman" w:cs="Times New Roman" w:eastAsia="Times New Roman" w:hAnsi="Times New Roman"/>
          <w:sz w:val="16"/>
          <w:szCs w:val="16"/>
          <w:color w:val="auto"/>
        </w:rPr>
        <w:t>. We engage in site application services on our own behalf in connection with our tower development projects, as well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on behalf of our tenants. We typically work with our tenants’ engineers to determine the geographic areas where new communications sites will best address the tenants’ needs and meet their coverage objectives. Once a new site is identified, we acquire the rights to the land or structure on which the site will be constructed, and we manage the permitting process to ensure all necessary approvals are obtained to construct and operate the communications site.</w:t>
      </w: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Structural and Mount Analyses. </w:t>
      </w:r>
      <w:r>
        <w:rPr>
          <w:rFonts w:ascii="Times New Roman" w:cs="Times New Roman" w:eastAsia="Times New Roman" w:hAnsi="Times New Roman"/>
          <w:sz w:val="18"/>
          <w:szCs w:val="18"/>
          <w:color w:val="auto"/>
        </w:rPr>
        <w:t>We offer structural and mount analyses services to wireless carriers in connection with the installation of their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on our towers. Our team of engineers can evaluate whether a tower structure can support the additional burden of the new equipment or if an upgrade is needed, and whether the proposed mount configurations will be capable of supporting the required loads in accordance with applicable standards. This enables our tenants to better assess potential sites before making an installation decision. Our structural and mount analyses capabilities enable us to provide higher quality service to our existing tenants by, among other things, reducing the time required to achieve on-air readiness, while also providing opportunities to offer structural and mount analyses services to third parties.</w:t>
      </w:r>
    </w:p>
    <w:p>
      <w:pPr>
        <w:spacing w:after="0" w:line="2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Construction Management. </w:t>
      </w:r>
      <w:r>
        <w:rPr>
          <w:rFonts w:ascii="Times New Roman" w:cs="Times New Roman" w:eastAsia="Times New Roman" w:hAnsi="Times New Roman"/>
          <w:sz w:val="18"/>
          <w:szCs w:val="18"/>
          <w:color w:val="auto"/>
        </w:rPr>
        <w:t>We offer construction management services to wireless carriers in connection with the deployment of their networks on our tower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sites. Our construction management team oversees construction activities such as contractor sourcing, contractor selection and management, materials management, on-site quality control and closeout documentation for new installations or modifications. Our construction management capabilities enable us to provide efficient deployment to the carriers while ensuring that the construction work meets our quality control standards.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Strategy</w:t>
      </w:r>
    </w:p>
    <w:p>
      <w:pPr>
        <w:spacing w:after="0" w:line="15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As wireless communications technologies advance and the use of wireless services on handsets, tablets and other advanced mobile devices grows, there is a corresponding increase in demand for the communications infrastructure required to facilitate ever growing network demand. To capture this demand, our primary operational focus is to (i) increase the occupancy of our existing communications real estate portfolio to support global connectivity, (ii) invest in, and selectively grow, our communications real estate portfolio and service offerings, including through platform expansion initiatives, (iii) further improve our operational performance and efficiency and (iv) maintain a strong balance sheet. We believe these efforts to meet our customers’ needs will support and enhance our ability to capitalize on the growth in demand for wireless infrastructure. In addition, we expect to explore new opportunities to enhance or extend our shared communications infrastructure businesses, including those that may make our assets incrementally more attractive to new customers, or to existing customers for new uses, and those that increase our operational efficiency.</w:t>
      </w:r>
    </w:p>
    <w:p>
      <w:pPr>
        <w:spacing w:after="0" w:line="112" w:lineRule="exact"/>
        <w:rPr>
          <w:sz w:val="20"/>
          <w:szCs w:val="20"/>
          <w:color w:val="auto"/>
        </w:rPr>
      </w:pPr>
    </w:p>
    <w:p>
      <w:pPr>
        <w:ind w:left="640" w:hanging="318"/>
        <w:spacing w:after="0" w:line="24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 the occupancy of our existing communications real estate portfolio to support global connectivity. </w:t>
      </w:r>
      <w:r>
        <w:rPr>
          <w:rFonts w:ascii="Times New Roman" w:cs="Times New Roman" w:eastAsia="Times New Roman" w:hAnsi="Times New Roman"/>
          <w:sz w:val="18"/>
          <w:szCs w:val="18"/>
          <w:color w:val="auto"/>
        </w:rPr>
        <w:t>We believe that our highest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incremental returns will be achieved by leasing additional space on our existing communications sites. Increasing demand for wireless services in our served markets has resulted in significant capital spending by major wireless carriers and other connectivity providers. As a result, we anticipate growing demand for our communications sites because they are attractively located and typically have capacity available for additional tenants and equipment. In the United States, incremental carrier network activity is being driven by ongoing 5G network deployments. In our international markets, carriers are increasingly deploying more advanced network technologies such as 4G and, in the case of our international markets with more mature network technology, 5G, while continuing to selectively augment legacy networks. We believe that the majority of our towers have capacity for additional tenants and that substantially all of our towers that are currently at or near full structural capacity can be upgraded or augmented to meet future tenant demand with relatively modest capital investment. Therefore, we will continue to target our sales and marketing activities to increase the utilization and return on investment of our existing communications sites.</w:t>
      </w:r>
    </w:p>
    <w:p>
      <w:pPr>
        <w:spacing w:after="0" w:line="5" w:lineRule="exact"/>
        <w:rPr>
          <w:rFonts w:ascii="Times New Roman" w:cs="Times New Roman" w:eastAsia="Times New Roman" w:hAnsi="Times New Roman"/>
          <w:sz w:val="18"/>
          <w:szCs w:val="18"/>
          <w:color w:val="auto"/>
        </w:rPr>
      </w:pPr>
    </w:p>
    <w:p>
      <w:pPr>
        <w:ind w:left="640" w:right="160" w:hanging="318"/>
        <w:spacing w:after="0" w:line="24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 in and selectively grow our communications real estate portfolio to meet our customers’ needs. </w:t>
      </w:r>
      <w:r>
        <w:rPr>
          <w:rFonts w:ascii="Times New Roman" w:cs="Times New Roman" w:eastAsia="Times New Roman" w:hAnsi="Times New Roman"/>
          <w:sz w:val="18"/>
          <w:szCs w:val="18"/>
          <w:color w:val="auto"/>
        </w:rPr>
        <w:t>We seek opportunities to invest 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 our operations through our capital expenditure program, acquisitions and platform expansion initiatives. A significant portion of our inorganic growth has been focused on properties with lower initial</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40" w:right="160"/>
        <w:spacing w:after="0" w:line="248" w:lineRule="auto"/>
        <w:rPr>
          <w:sz w:val="20"/>
          <w:szCs w:val="20"/>
          <w:color w:val="auto"/>
        </w:rPr>
      </w:pPr>
      <w:r>
        <w:rPr>
          <w:rFonts w:ascii="Times New Roman" w:cs="Times New Roman" w:eastAsia="Times New Roman" w:hAnsi="Times New Roman"/>
          <w:sz w:val="18"/>
          <w:szCs w:val="18"/>
          <w:color w:val="auto"/>
        </w:rPr>
        <w:t>tenancy because we believe that over time we can significantly increase tenancy levels, and therefore, drive strong returns on those assets. More recently, we have invested in strategic data center assets, including through our acquisition of CoreSite Realty Corporation (“CoreSite”) in late 2021 (the “CoreSite Acquisition”), which we believe can drive strong, recurring growth and also meaningfully enhance the value of our existing communications tower real estate through emerging edge compute opportunities in the future. We also expect to explore additional ways to use our platform expansion initiatives to enhance the efficiency of our operations over time.</w:t>
      </w:r>
    </w:p>
    <w:p>
      <w:pPr>
        <w:spacing w:after="0" w:line="2" w:lineRule="exact"/>
        <w:rPr>
          <w:sz w:val="20"/>
          <w:szCs w:val="20"/>
          <w:color w:val="auto"/>
        </w:rPr>
      </w:pPr>
    </w:p>
    <w:p>
      <w:pPr>
        <w:ind w:left="640" w:right="120" w:hanging="318"/>
        <w:spacing w:after="0" w:line="274" w:lineRule="auto"/>
        <w:tabs>
          <w:tab w:leader="none" w:pos="63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Further improve our operational performance and efficiency. </w:t>
      </w:r>
      <w:r>
        <w:rPr>
          <w:rFonts w:ascii="Times New Roman" w:cs="Times New Roman" w:eastAsia="Times New Roman" w:hAnsi="Times New Roman"/>
          <w:sz w:val="16"/>
          <w:szCs w:val="16"/>
          <w:color w:val="auto"/>
        </w:rPr>
        <w:t>We continue to seek opportunities to improve our operational performance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throughout the organization. This includes investing in our systems and people as we strive to improve efficiency and provide superior service to our customers. To achieve this, we intend to continue to focus on customer service initiatives, such as reducing cycle times for key functions, including lease processing and tower structural analysis. We are also focused on developing and implementing power solutions across our footprint to help improve the overall efficiency of the communications infrastructure and wireless industries through our power as a service (PaaS) initiatives.</w:t>
      </w:r>
    </w:p>
    <w:p>
      <w:pPr>
        <w:spacing w:after="0" w:line="3" w:lineRule="exact"/>
        <w:rPr>
          <w:rFonts w:ascii="Times New Roman" w:cs="Times New Roman" w:eastAsia="Times New Roman" w:hAnsi="Times New Roman"/>
          <w:sz w:val="16"/>
          <w:szCs w:val="16"/>
          <w:color w:val="auto"/>
        </w:rPr>
      </w:pPr>
    </w:p>
    <w:p>
      <w:pPr>
        <w:ind w:left="640" w:right="40" w:hanging="318"/>
        <w:spacing w:after="0" w:line="24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Maintain a strong balance sheet. </w:t>
      </w:r>
      <w:r>
        <w:rPr>
          <w:rFonts w:ascii="Times New Roman" w:cs="Times New Roman" w:eastAsia="Times New Roman" w:hAnsi="Times New Roman"/>
          <w:sz w:val="18"/>
          <w:szCs w:val="18"/>
          <w:color w:val="auto"/>
        </w:rPr>
        <w:t>We remain committed to disciplined financial policies, which we believe result in our ability to maintain a strong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and will support our overall strategy and focus on asset growth and operational excellence. As a result of these policies, we currently have investment grade credit ratings. We continue to focus on maintaining a robust liquidity position and, as of December 31, 2025, had $11.1 billion of available liquidity. We believe that our investment grade credit ratings provide us consistent access to the capital markets and our liquidity provides us the ability to continue to invest in growing and augmenting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 Strategy</w:t>
      </w:r>
    </w:p>
    <w:p>
      <w:pPr>
        <w:spacing w:after="0" w:line="14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objective of our capital allocation strategy is to simultaneously increase adjusted funds from operations per share and our return on invested capital over the long term. To maintain our qualification for taxation as a REIT, we are required annually to distribute an amount equal to at least 90% of our REIT taxable income (determined before the deduction for distributed earnings and excluding any net capital gain) to our stockholders. After complying with our REIT distribution requirements, we plan to continue to allocate our available capital among investment alternatives that meet or exceed our return on investment criteria, while taking into account the repayment of debt consistent with our financial policies. On an ongoing basis, we also perform a comprehensive assessment of our global operations to ensure our portfolio is positioned to drive sustained growth and achieve our risk-adjusted return objectives. This assessment can influence our decisions on future capital allocation priorities between certain countries and assets, and may result in our decision to prioritize investments into developed markets, including the U.S. &amp; Canada, Europe and the data centers markets. Conversely, this assessment can influence our decision to divest a portion, or all, of certain assets, including our Mexico fiber and Poland businesses in 2023, our Australia, India and New Zealand businesses in 2024 and our South Africa fiber business in 2025, and repurpose proceeds, and potential future capital, to other capital priorities, including investments into developed markets.</w:t>
      </w:r>
    </w:p>
    <w:p>
      <w:pPr>
        <w:spacing w:after="0" w:line="128" w:lineRule="exact"/>
        <w:rPr>
          <w:sz w:val="20"/>
          <w:szCs w:val="20"/>
          <w:color w:val="auto"/>
        </w:rPr>
      </w:pPr>
    </w:p>
    <w:p>
      <w:pPr>
        <w:ind w:left="640" w:right="200" w:hanging="318"/>
        <w:spacing w:after="0" w:line="25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expenditure program. </w:t>
      </w:r>
      <w:r>
        <w:rPr>
          <w:rFonts w:ascii="Times New Roman" w:cs="Times New Roman" w:eastAsia="Times New Roman" w:hAnsi="Times New Roman"/>
          <w:sz w:val="18"/>
          <w:szCs w:val="18"/>
          <w:color w:val="auto"/>
        </w:rPr>
        <w:t>We expect to continue to invest in and expand our existing communications real estate portfolio through our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expenditure program. This includes capital expenditures associated with site maintenance, increasing the capacity of our existing sites and projects such as new site and data center facility construction, land interest acquisitions and power solutions.</w:t>
      </w:r>
    </w:p>
    <w:p>
      <w:pPr>
        <w:ind w:left="640" w:right="140" w:hanging="318"/>
        <w:spacing w:after="0" w:line="24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We intend to continue to pursue acquisitions of communications sites and other telecommunications infrastructure in our existing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markets where we can meet or exceed our risk-adjusted return on investment criteria. The risk-adjusted hurdle rates used to evaluate acquisition opportunities consider additional factors such as the country and counterparties involved, investment and economic climate, legal and regulatory conditions and industry risk, among others.</w:t>
      </w:r>
    </w:p>
    <w:p>
      <w:pPr>
        <w:spacing w:after="0" w:line="1" w:lineRule="exact"/>
        <w:rPr>
          <w:rFonts w:ascii="Times New Roman" w:cs="Times New Roman" w:eastAsia="Times New Roman" w:hAnsi="Times New Roman"/>
          <w:sz w:val="18"/>
          <w:szCs w:val="18"/>
          <w:color w:val="auto"/>
        </w:rPr>
      </w:pPr>
    </w:p>
    <w:p>
      <w:pPr>
        <w:ind w:left="640" w:right="200" w:hanging="318"/>
        <w:spacing w:after="0" w:line="24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excess capital to stockholders</w:t>
      </w:r>
      <w:r>
        <w:rPr>
          <w:rFonts w:ascii="Times New Roman" w:cs="Times New Roman" w:eastAsia="Times New Roman" w:hAnsi="Times New Roman"/>
          <w:sz w:val="18"/>
          <w:szCs w:val="18"/>
          <w:color w:val="auto"/>
        </w:rPr>
        <w:t>. If we have excess capital available after funding (i) our required distributions, (ii) capital expenditures,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repayment of debt consistent with our financial policies and (iv) anticipated future investments, including acquisition and select platform expansion opportunities, we will seek to return such excess capital to stockholders, including through our stock repurchase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Strategy</w:t>
      </w:r>
    </w:p>
    <w:p>
      <w:pPr>
        <w:spacing w:after="0" w:line="14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Our international strategy incorporates portfolio analysis, capital prioritization and the disciplined management of overseas cash, including repatriation where feasible.</w:t>
      </w:r>
    </w:p>
    <w:p>
      <w:pPr>
        <w:spacing w:after="0" w:line="10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believe that, in certain international markets, we can create value by expanding our existing, communications real estate leasing business, and leveraging our shared global experience, capabilities and services, to deliver a best-in-class offering for our customers and attractive risk-adjusted return for our shareholders. We strive to maintain a diversified approach to our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strategy by operating in a geographically diverse array of markets in a variety of stages of wireless network development.</w:t>
      </w:r>
    </w:p>
    <w:p>
      <w:pPr>
        <w:spacing w:after="0" w:line="149"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Specifically as part of our ongoing portfolio analysis, we conduct an extensive review of a particular country’s historical and projected macroeconomic fundamentals, including inflation and foreign currency exchange rate trends, demographics, capital markets, tax regime and investment alternatives, and the general business, political and legal environments, including property rights and regulatory regime. We also analyze (i) the competitiveness of the country’s wireless market and (ii) how a particular market fits within our long-term strategic objectives.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49"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Towers, Antennas and Fiber. </w:t>
      </w:r>
      <w:r>
        <w:rPr>
          <w:rFonts w:ascii="Times New Roman" w:cs="Times New Roman" w:eastAsia="Times New Roman" w:hAnsi="Times New Roman"/>
          <w:sz w:val="18"/>
          <w:szCs w:val="18"/>
          <w:color w:val="auto"/>
        </w:rPr>
        <w:t>Our U.S. and international tower leasing businesses are subject to national, state and local regulatory requirements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siting, construction, lighting, marking and maintenance of our towers. In the United States, the construction of new towers or modifications to existing towers may require pre-approval by the Federal Communications Commission (“FCC”) and the Federal Aviation Administration (“FAA”), depending on factors such as tower height and proximity to public airfields. Towers requiring pre-approval must be registered with the FCC and maintained in accordance with FAA standards. Similar requirements regarding pre-approval of the construction and modification of towers are imposed by regulators in other countries. Non-compliance with applicable tower-related requirements may lead to monetary penalties or site deconstruction orders.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international operations are subject to regulatory requirements with respect to licensing, registration and permitting.</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Africa &amp; APAC, our subsidiaries in Burkina Faso, Ghana, Kenya, Niger, Nigeria and Uganda are required to hold a license in order to establish and maintain passive telecommunications infrastructure services and DAS networks for communications service providers. Our subsidiaries in the Philippines and Bangladesh are required to hold a registration or license in order to establish, manage and operate passive telecommunications infrastructure services.</w:t>
      </w:r>
    </w:p>
    <w:p>
      <w:pPr>
        <w:spacing w:after="0" w:line="1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Latin America, our subsidiary in Chile holds a concession of intermediate telecommunications services and our subsidiary in Argentina holds an information and communications technology service license. In Peru, our subsidiaries are registered as infrastructure providers. The subsidiary that holds our fiber business in Brazil is also licensed and regulated as an authorization holder to provide telecommunications services. In certain of the markets in which we operate, we are required to provide tower space to service providers on a non-discriminatory basis, subject to the negotiation of mutually agreeable terms. Additionally, one of our Brazilian subsidiaries, American Tower do Brasil – Cessao de Infraestruturas S.A. (“ATC Brazil”) issued non-convertible debentures in 2023 and in 2025, which are listed on the Brazilian stock exchange. Although the non-convertible debentures are held by another subsidiary of ours and are eliminated in consolidation, ATC Brazil is still subject to the listing requirements of such exchange.</w:t>
      </w:r>
    </w:p>
    <w:p>
      <w:pPr>
        <w:spacing w:after="0" w:line="12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Our international business operations may be subject to increased licensing fees or ownership restrictions. For example, in South Africa, the Broad-Based Black Economic Empowerment Act, 2003 (the “BBBEE Act”) has established a legislative framework for the promotion of economic empowerment of South African citizens disadvantaged by Apartheid. Accordingly, the BBBEE Act and related codes measure BBBEE Act compliance and good corporate practice by the inclusion of certain ownership, management control, employment equity and other metrics for companies that do business there. Our foreign operations may be affected if a country’s regulatory authority restricts, revokes or modifies spectrum licenses of certain wireless service providers or implements modifications or limitations on foreign ownership.</w:t>
      </w:r>
    </w:p>
    <w:p>
      <w:pPr>
        <w:spacing w:after="0" w:line="10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In all countries where we operate, we are subject to zoning restrictions and restrictive covenants imposed by local authorities or community organizations. While these regulations vary, they typically require tower owners or tenants to obtain approval from local authorities, environmental bodies or community standards organizations prior to tower construction or the addition of a new antenna to an existing tower. Local zoning authorities and community residents periodically oppose construction in their communities, which can delay or prevent new tower construction, new antenna installation or site upgrade projects, thereby limiting our ability to respond to tenant demand. This opposition and existing or new zoning, environmental or aviation regulations can increase costs associated with new tower construction, tower modifications or additions of new antennas to a site or site upgrades, as well as adversely affect the associated timing or cost of such projects. Further, additional regulations may be adopted that cause delays or result in additional costs to us or changes in the competitive landscape that may negatively affect our business. In addition, certain municipalities have sought to impose permit fees based upon structural or operational requirements of towers and certain regional and other governmental bodies have sought to impose levies or other forms of fees. These factors could materially and adversely affect our operations. In the United States, the Telecommunications Act of 1996 prohibits any action by state and local authorities that would discriminate between different providers of wireless services or ban altogether the construction, modification or placement of communications sites. It also prohibits state or local restrictions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based on the environmental effects of radio frequency emissions to the extent the facilities comply with FCC regulations. Further, in February 2012, the United States government adopted regulations requiring that local and state governments approve modifications or colocations that qualify as eligible facilities under the regulations.</w:t>
      </w:r>
    </w:p>
    <w:p>
      <w:pPr>
        <w:spacing w:after="0" w:line="11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Portions of our business are subject to additional regulations, for example, in a number of states throughout the United States, certain of our subsidiaries hold Competitive Local Exchange Carrier (CLEC) or other status, in connection with the operation of our outdoor DAS networks business. In addition, we, or our customers, may be subject to new regulatory policies in certain jurisdictions from time to time that may materially and adversely affect our business or the demand for our communications sites.</w:t>
      </w:r>
    </w:p>
    <w:p>
      <w:pPr>
        <w:spacing w:after="0" w:line="10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Data Centers. </w:t>
      </w:r>
      <w:r>
        <w:rPr>
          <w:rFonts w:ascii="Times New Roman" w:cs="Times New Roman" w:eastAsia="Times New Roman" w:hAnsi="Times New Roman"/>
          <w:sz w:val="18"/>
          <w:szCs w:val="18"/>
          <w:color w:val="auto"/>
        </w:rPr>
        <w:t>Our U.S. data center facilities and related assets are subject to various federal, state and local regulations, such as state and local fire and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regulations and Americans with Disabilities Act (“ADA”) federal requirements. If one of our properties is not in compliance with these regulations, we may be required to make significant unanticipated expenditures in order to comply with such regulations and/or pay fines or civil damage awards. Existing regulations may subsequently change or future regulations may be enacted, either of which could have a similar impact as described above, and could materially and adversely affect our operations.</w:t>
      </w:r>
    </w:p>
    <w:p>
      <w:pPr>
        <w:spacing w:after="0" w:line="118"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6"/>
          <w:szCs w:val="16"/>
          <w:color w:val="auto"/>
        </w:rPr>
        <w:t>In some markets, our data centers are subject to zoning restrictions imposed by local authorities. While these regulations vary, they may require data center operators to obtain approval from local authorities or environmental bodies prior to data center construction or modification of an existing facility. Local authorities and community residents periodically oppose construction in their communities, which can delay or prevent new data center construction, thereby limiting our ability to respond to tenant demand. This opposition and existing or new zoning or environmental regulations can increase costs associated with new data center construction or modifications to existing facilities, as well as adversely affect the associated timing or cost of such projects.</w:t>
      </w:r>
    </w:p>
    <w:p>
      <w:pPr>
        <w:spacing w:after="0" w:line="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6"/>
          <w:szCs w:val="16"/>
          <w:i w:val="1"/>
          <w:iCs w:val="1"/>
          <w:color w:val="auto"/>
        </w:rPr>
        <w:t xml:space="preserve">Environmental Matters. </w:t>
      </w:r>
      <w:r>
        <w:rPr>
          <w:rFonts w:ascii="Times New Roman" w:cs="Times New Roman" w:eastAsia="Times New Roman" w:hAnsi="Times New Roman"/>
          <w:sz w:val="16"/>
          <w:szCs w:val="16"/>
          <w:color w:val="auto"/>
        </w:rPr>
        <w:t>Our U.S. and international operations are subject to various national, state and local environmental laws and regulations,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those relating to the management, use, storage, disposal, emission and remediation of, and exposure to, hazardous and non-hazardous substances, materials and wastes, the siting of our towers and the maintenance of our data center facilities. We may be required to obtain permits, pay additional property taxes, comply with regulatory requirements and make certain informational filings related to hazardous substances or devices used to provide power such as batteries, generators and fuel at our tower sites and/or data center facilities. When a site is decommissioned, we are required to follow applicable regulatory requirements, including by following decommissioning procedures and environmental management plans. With respect to our data center facilities, the presence of contamination, asbestos, lead or lead-based paint, mold or other air quality issues or the failure to remediate contamination, asbestos, lead or lead-based paint, mold or other air quality issues at our facilities may expose us to third-party liability or materially and adversely affect our ability to sell, lease or develop the real estate or to borrow using the real estate as collateral. Violations of these types of regulations could subject us to fines or criminal sanctions.</w:t>
      </w:r>
    </w:p>
    <w:p>
      <w:pPr>
        <w:spacing w:after="0" w:line="85"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Additionally, in the United States and in other countries where we operate, before constructing a new tower or adding an antenna to an existing site, we must review and evaluate the impact of the action to determine whether it may significantly affect the environment and whether we must disclose any significant impacts in an environmental assessment. If a tower or new antenna might have a material adverse impact on the environment, FCC or other governmental approval of the tower or antenna could be significantly delayed or modifications to the site construction plans may be necessary.</w:t>
      </w:r>
    </w:p>
    <w:p>
      <w:pPr>
        <w:spacing w:after="0" w:line="11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U.S. Environmental Protection Agency, or EPA, some of the states and localities in which we operate and the governments of other countries in which we operate have also enacted or proposed certain climate-related disclosures and may adopt new regulations related to the use of fossil fuels or requiring the use of alternative fuel or renewable energy sources to power energy resources that serve our data centers. Efforts to support and enhance renewable electricity generation may increase our costs of electricity above those that would be incurred through procurement of conventionally generated electricity. Our data centers require and consume significant amounts of power, including electricity generated by the burning of fossil fuels. These laws, regulations and stakeholder requests could limit our ability to develop new facilities or result in substantial compliance, maintenance, repair, retrofit and construction costs, including capital expenditures for environmental control facilities and other new equipment. Changes in regulations that affect electric power providers, such as regulations related to the control of greenhouse gas emissions or other climate change-related matters, could adversely affect the costs of electric power and increase our operating costs, which could adversely affect our business, financial condition and results of operations or those of our customers. See “Risk Factors” in Item 1A of this Annual Report for more information on our data center-related risks.</w:t>
      </w:r>
    </w:p>
    <w:p>
      <w:pPr>
        <w:spacing w:after="0" w:line="121"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Health and Safety. </w:t>
      </w:r>
      <w:r>
        <w:rPr>
          <w:rFonts w:ascii="Times New Roman" w:cs="Times New Roman" w:eastAsia="Times New Roman" w:hAnsi="Times New Roman"/>
          <w:sz w:val="18"/>
          <w:szCs w:val="18"/>
          <w:color w:val="auto"/>
        </w:rPr>
        <w:t>In the United States and in other countries where we operate, we are subject to various national, state and local laws regarding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safety, including protection from radio frequency exposure and air quality issues.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Our industry is highly competitive. There are frequently new market participants that create additional competition. We compete, both for new business and for the acquisition of assets, with other public tower companies, such as Crown Castle International Corp., SBA Communications Corporation, Vertical Bridge, Telesites S.A.B. de C.V. and Cellnex Telecom, S.A., wireless carrier tower consortia and private tower companies, private equity sponsored firms, carrier-affiliated tower companies, independent wireless carriers, tower owners, broadcasters and owners of non-communications sites, including rooftops, utility towers, water towers and other alternative structures. Our data center business also competes with a variety of companies offering similar data center solutions and services, including space, power, interconnection and development services. We believe that location and capacity, grid distribution constraints, network and/or interconnection density, price, quality and speed of service have been, and will continue to be, significant competitive factors affecting owners, operators and managers of communications sites and data center facilities.</w:t>
      </w:r>
    </w:p>
    <w:p>
      <w:pPr>
        <w:spacing w:after="0" w:line="1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services business competes with a variety of companies offering individual, or combinations of, competing services. The field of competitors includes site application consultants, zoning consultants, real estate firms, right-of-way consultants, structural engineering firms, construction management firms, tower owners/managers, telecommunications equipment vendors who can provide turnkey site development services through multiple subcontractors and our tenants’ personnel. We believe that our tenants base their decisions for services on various criteria, including a company’s experience, local reputation, price and time for completion of a project.</w:t>
      </w:r>
    </w:p>
    <w:p>
      <w:pPr>
        <w:spacing w:after="0" w:line="121"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18"/>
          <w:szCs w:val="18"/>
          <w:color w:val="auto"/>
        </w:rPr>
        <w:t>For more information on demand trends in our industry, see Item 7 of this Annual Report under the caption “Management’s Discussion and Analysis of Financial Condition and Results of Operations—Executive Overview.”</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5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As of December 31, 2025, we employed 4,866 full-time individuals, including 2,388 employees based in the United States and 2,478 employees based internationally. Our teams in our more than 20 countries around the world are our most important assets and fundamental to our success. Aligned with our business strategy, our human capital management strategy focuses on developing and delivering solutions to attract, develop, engage and retain top talent in each of the countries where we operate. Our Chief Human Resources Officer regularly reports to the Compensation and Human Capital Committee of our Board of Directors (our “Board”) on our initiatives related to human capital management.</w:t>
      </w:r>
    </w:p>
    <w:p>
      <w:pPr>
        <w:spacing w:after="0" w:line="121"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A critical factor in our success is ensuring that an inclusive and collaborative workplace remains at the core of our business culture, infusing fresh ideas, helping us remain connected to our customers in a dynamic global market and ensuring mutual respect guides us in our interactions both internally and externally. Additionally, we have implemented several initiatives designed to support our inclusion efforts, including pledges from the American Tower Foundation. We also enable global employee resource groups to promote better employee engagement, which are open to all employees with the goal of enhancing professional development, connection and collaboration for everyone.</w:t>
      </w:r>
    </w:p>
    <w:p>
      <w:pPr>
        <w:spacing w:after="0" w:line="10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As a critical investment in our capacity to provide our customers with outstanding support and customer service, we offer a variety of development opportunities unique to each market to cultivate our talent throughout our global organization. For individual contributors, we provide resources in up to five languages that focus on job-specific training and general topics, such as productivity, collaboration and project management. We create and customize courses to meet regional needs and update these courses regularly to address changing marketplace dynamics and employee interests.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Developing our managers is critical to our success, and several resources and tools are provided to all levels of management. For example, our Management Essentials program provides continuous learning opportunities through training led by American Tower leaders globally. Managers learn tools and best practices that enable both management and team success, and that build and strengthen competencies to better respond to the needs of a growing and increasingly complex organization. Furthermore, our Gateway to Leadership program builds further on the skills and competencies we deliver through Management Essentials by providing additional leadership training for managers in Europe, Africa and Latin America. Our annual Accelerated Leadership Development program, in collaboration with the INSEAD executive education program, provides our next generation leaders in Latin America, Europe, the U.S. and Africa, with a seven-week intensive workshop to enhance management and leadership skills. For our employees with high potential, we offer several professional development opportunities designed to support these employees through a career path journey to become inclusive leaders. These are all supported by a comprehensive talent-management review process to develop future leaders and ensure effective succession planning. Additionally, our virtual corporate university, ATC YOU, provides our employees with a range of global learning resources for professional development and career growth.</w:t>
      </w:r>
    </w:p>
    <w:p>
      <w:pPr>
        <w:spacing w:after="0" w:line="31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Our recruiting efforts consistently include strategies to build qualified candidate pipelines with varied skills and backgrounds and promote a culture that supports a diverse team of global employees. We have developed education initiatives and increased access to professional development opportunities for employees, including an enhanced focus on mentoring opportunities.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18"/>
          <w:szCs w:val="18"/>
          <w:color w:val="auto"/>
        </w:rPr>
        <w:t>Our Compensation and Human Capital Committee also approved a shared human capital management goal for the entire executive team for 2025, which focuses on developing talent.</w:t>
      </w:r>
    </w:p>
    <w:p>
      <w:pPr>
        <w:spacing w:after="0" w:line="10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committed to the safety of our employees and surrounding communities. Depending on the role, team members are required to pass and complete regular safety training courses and follow specific tower and site safety protocols with the support of operational manuals. A key component of our culture is a strong commitment to incident reporting and corrective actions, as well as a comprehensive program for ensuring vendor compliance with safety standards and certifications. Our strict adherence to the rigorous standards set forth by the relevant government agencies and other authorities, such as the Telecommunications Infrastructure Registered Apprenticeship Program and Telecommunications Industry Association, is critical to ensuring our towers are structurally safe for field personnel, vendors, customers and communities. We have several employee security protocols and standards in place to better protect our people and assets worldwide. These include global standards for the security of international travelers and personnel ground movements. We also operate a traveler assistance program that allows us to better monitor international travel and provide employees with relevant trip advice and 24/7 assistance services. A related journey risk management program provides support for trips in complex threat environments, and includes hostile environment awareness training, real-time tracking of personnel and 24/7 support. Furthermore, as part of our efforts to globalize our operations, we created a new global Health &amp; Safety (“H&amp;S”) function tasked with strengthening our H&amp;S policies and culture, ensuring compliance with global and local regulations and fostering a proactive safety-first mindset across all organizational levels.</w:t>
      </w:r>
    </w:p>
    <w:p>
      <w:pPr>
        <w:spacing w:after="0" w:line="115"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color w:val="auto"/>
        </w:rPr>
        <w:t>We offer medical and parental leave benefits to full-time employees across all markets, with some local variation. We conduct wellness check-ins and offer resources to support our employees’ mental health and well-being, including access to a free Employee Assistance Program, which offers confidential assistance on a wide range of issues. We also offer market competitive benefits in all locations and, in 2025, continued our behavioral health benefit in the United States to support employees’ mental well-being.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information about our Executive Officers, see Item 10 of this Annual Report under the caption “Directors, Executive Officers and Corporate Governance.”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5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xml:space="preserve">Our internet website address is </w:t>
      </w:r>
      <w:r>
        <w:rPr>
          <w:rFonts w:ascii="Times New Roman" w:cs="Times New Roman" w:eastAsia="Times New Roman" w:hAnsi="Times New Roman"/>
          <w:sz w:val="18"/>
          <w:szCs w:val="18"/>
          <w:u w:val="single" w:color="auto"/>
          <w:color w:val="auto"/>
        </w:rPr>
        <w:t>www.americantower.com</w:t>
      </w:r>
      <w:r>
        <w:rPr>
          <w:rFonts w:ascii="Times New Roman" w:cs="Times New Roman" w:eastAsia="Times New Roman" w:hAnsi="Times New Roman"/>
          <w:sz w:val="18"/>
          <w:szCs w:val="18"/>
          <w:color w:val="auto"/>
        </w:rPr>
        <w:t>. Information contained on our website is not incorporated by reference into this Annual Report, and you should not consider information contained on our website as part of this Annual Report. You may access, free of charge, our Annual Reports on Form 10-K, Quarterly Reports on Form 10-Q and Current Reports on Form 8-K, plus amendments to such reports as filed or furnished pursuant to Sections 13(a) or 15(d) of the Securities Exchange Act of 1934, as amended (“Exchange Act”), through the “Investor Relations” portion of our website as soon as reasonably practicable after we electronically file such material with, or furnish it to, the Securities and Exchange Commission (the “SEC”).</w:t>
      </w:r>
    </w:p>
    <w:p>
      <w:pPr>
        <w:spacing w:after="0" w:line="12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have adopted a written Code of Ethics and Business Conduct Policy (the “Code of Conduct”) that applies to all of our employees and directors, including, but not limited to, our principal executive officer, principal financial officer and principal accounting officer or controller or persons performing similar functions. The Code of Conduct, our Corporate Governance Guidelines and the charters of the audit, compensation and nominating and corporate governance committees of our Board are available on the “Investor Relations” portion of our website, under the “Corporate Governance” tab. In the event we amend the Code of Conduct, or provide any waivers of the Code of Conduct to our directors or executive officers, we will disclose these events on our website as required by the regulations of the New York Stock Exchange (the “NYSE”) and applicable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paper copies of these documents may be obtained free of charge by writing us at the following address: 222 Berkeley Street, Boston, Massachusetts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02116, Attention: Investor Relations; or by calling us at (617) 375-7500.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Strategy</w:t>
      </w:r>
    </w:p>
    <w:p>
      <w:pPr>
        <w:spacing w:after="0" w:line="23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 significant decrease in leasing demand for our communications infrastructure would materially and adversely affect our business and operating results, and we cannot control that demand.</w:t>
      </w:r>
    </w:p>
    <w:p>
      <w:pPr>
        <w:spacing w:after="0" w:line="192"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A significant reduction in leasing demand for our communications infrastructure would materially and adversely affect our business, results of operations or financial condition. Factors that may affect such demand include:</w:t>
      </w:r>
    </w:p>
    <w:p>
      <w:pPr>
        <w:spacing w:after="0" w:line="1" w:lineRule="exact"/>
        <w:rPr>
          <w:sz w:val="20"/>
          <w:szCs w:val="20"/>
          <w:color w:val="auto"/>
        </w:rPr>
      </w:pPr>
    </w:p>
    <w:p>
      <w:pPr>
        <w:ind w:left="640" w:hanging="31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wireless and cloud service providers to maintain or increase capital expenditures on network infrastructure;</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communications service providers;</w:t>
      </w:r>
    </w:p>
    <w:p>
      <w:pPr>
        <w:spacing w:after="0" w:line="3" w:lineRule="exact"/>
        <w:rPr>
          <w:rFonts w:ascii="Times New Roman" w:cs="Times New Roman" w:eastAsia="Times New Roman" w:hAnsi="Times New Roman"/>
          <w:sz w:val="18"/>
          <w:szCs w:val="18"/>
          <w:color w:val="auto"/>
        </w:rPr>
      </w:pPr>
    </w:p>
    <w:p>
      <w:pPr>
        <w:ind w:left="640" w:right="280" w:hanging="318"/>
        <w:spacing w:after="0" w:line="24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mergers, consolidations or exits that reduce the number of communications service providers or increased use of network sharing among governments or communications service providers;</w:t>
      </w:r>
    </w:p>
    <w:p>
      <w:pPr>
        <w:jc w:val="both"/>
        <w:ind w:left="640" w:right="280" w:hanging="318"/>
        <w:spacing w:after="0" w:line="24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demand for wireless or colocation services, including due to general economic conditions, changes in global tariff or trade policies or regulations, disruption in the financial and credit markets or global social, political or health crises, inflation, slowing growth, high interest rates or recession;</w:t>
      </w:r>
    </w:p>
    <w:p>
      <w:pPr>
        <w:spacing w:after="0" w:line="1"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changes in the deployment of next generation wireless technologies;</w:t>
      </w:r>
    </w:p>
    <w:p>
      <w:pPr>
        <w:spacing w:after="0" w:line="3" w:lineRule="exact"/>
        <w:rPr>
          <w:rFonts w:ascii="Times New Roman" w:cs="Times New Roman" w:eastAsia="Times New Roman" w:hAnsi="Times New Roman"/>
          <w:sz w:val="18"/>
          <w:szCs w:val="18"/>
          <w:color w:val="auto"/>
        </w:rPr>
      </w:pPr>
    </w:p>
    <w:p>
      <w:pPr>
        <w:ind w:left="640" w:right="320" w:hanging="318"/>
        <w:spacing w:after="0" w:line="24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including artificial intelligence (“AI”), wireless equipment changes, satellite technology and an increase in the use of radio access network (“RAN”) sharing among wireless service providers;</w:t>
      </w:r>
    </w:p>
    <w:p>
      <w:pPr>
        <w:ind w:left="640" w:hanging="31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environmental, health, tax or other government regulations or changes in the application and enforcement thereof; and</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licensing of spectrum or restriction or revocation of our customers’ spectrum licenses.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could be negatively impacted by disputes with our customers.</w:t>
      </w:r>
    </w:p>
    <w:p>
      <w:pPr>
        <w:spacing w:after="0" w:line="245"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In the ordinary course of our business, we occasionally experience disputes with our customers, generally regarding the interpretation of terms in our leases. Historically, we have resolved these disputes in a manner that did not have a material adverse effect on us or our relationships with our customers. However, it is possible that such disputes could lead to a termination of leases with those customers, a material adverse modification of the terms of those leases or a deterioration in our relationships with those customers that leads to a failure to obtain new business or maintain existing business with them, any of which could have a material adverse effect on our business, results of operations or financial condition. If we are forced to resolve any of these disputes through litigation or arbitration, our relationship with the applicable customer could be terminated or damaged, which could lead to decreased revenue or increased costs, resulting in a corresponding adverse effect on our business, results of operations or financial condition.</w:t>
      </w:r>
    </w:p>
    <w:p>
      <w:pPr>
        <w:spacing w:after="0" w:line="11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For example, we are currently engaged in a legal dispute (the “Arbitration”) with one of our customers in Mexico, AT&amp;T Comunicaciones Digitales, S. de R.L. de C.V. and related entities (collectively, “AT&amp;T Mexico”). AT&amp;T Mexico, which represented approximately $300 million of tenant revenue in 2025, is challenging the calculation of the monthly lease amount established under our Master Lease Agreement with AT&amp;T Mexico (the “MLA”), as well as certain other provisions of the MLA, seeking rent abatement both retroactively and prospectively, and withheld certain tower rents during 2025. As previously discussed, on September 23, 2025, we and AT&amp;T Mexico reached an agreement pursuant to which AT&amp;T Mexico has remitted payment of the majority of the withheld tower rents and has resumed monthly payments of the majority of its owed tower rents. The remainder of the outstanding receivables and the future monthly unpaid tower rent amounts are being deposited into an irrevocable escrow account, overseen by an independent trustee, to be released in accordance with a final ruling in the Arbitration or by mutual consent of us and AT&amp;T Mexico. We incurred approximately $30 million of reserves during the year ended December 31, 2025 related to this customer. We expect to record future reserves until the Arbitration is settled.</w:t>
      </w:r>
    </w:p>
    <w:p>
      <w:pPr>
        <w:spacing w:after="0" w:line="12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Additionally, on September 24, 2025, one of our U.S. customers, DISH Wireless L.L.C., a subsidiary of DISH Network Corporation (“DISH”), delivered a notice purporting to be excused from its contractual obligations under our Strategic Collocation Agreement entered into in March 2021 (the “SCA”). DISH has failed to meet its payment obligations, and as of January 2026 is in default under the SCA. We filed a complaint seeking a declaratory judgment that DISH has not been excused from its obligations under the SCA, that the SCA remains in full force and effect, and that DISH remains required to perform all of its obligations under the SCA. This matter is still pending.</w:t>
      </w:r>
    </w:p>
    <w:p>
      <w:pPr>
        <w:spacing w:after="0" w:line="12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The outcomes of these matters are uncertain, and there can be no assurance that our positions will be upheld. Adverse rulings in one or both of these disputes could have a material negative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current and projected future revenue is derived from a small number of customers, and we are sensitive to adverse changes in the creditworthiness and financial strength of our customers.</w:t>
      </w:r>
    </w:p>
    <w:p>
      <w:pPr>
        <w:spacing w:after="0" w:line="1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 substantial portion of our total operating revenues is derived from a small number of customers. If any of these customers are unwilling or unable to perform their obligations under their agreements with us, our revenues, results of operations, financial condition and liquidity could be materially and adversely affected. In addition, our growth projections are based on future revenue from a small number of customers, and such projections could be adversely impacted by adverse changes in the creditworthiness and financial strength of our customers.</w:t>
      </w:r>
    </w:p>
    <w:p>
      <w:pPr>
        <w:spacing w:after="0" w:line="10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The following is a list of significant customers (representing at least 10% of revenue in any of the last three years) and the percentage of our total revenues for the specified time periods received from these customers:</w:t>
      </w:r>
    </w:p>
    <w:p>
      <w:pPr>
        <w:spacing w:after="0" w:line="14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860" w:type="dxa"/>
            <w:vAlign w:val="bottom"/>
          </w:tcPr>
          <w:p>
            <w:pPr>
              <w:spacing w:after="0"/>
              <w:rPr>
                <w:sz w:val="17"/>
                <w:szCs w:val="17"/>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T-Mobile</w:t>
            </w: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5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AT&amp;T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1"/>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Verizon Wireless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5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Telefónica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One or more of our customers, or their parent companies, may experience financial difficulties, file for bankruptcy, reduce or terminate their operations or exit certain markets as a result of a prolonged economic downturn, economic difficulties (such as those from the imposition of taxes, fees (including the cost of, and access to, spectrum), regulations or judicial interpretations of regulations, and any associated penalties or interest, which may be substantial) or otherwise. Impacts on the economic environment, such as inflation or rising interest rates, could materially and adversely affect our customers through disruptions of, among other things, their ability to procure their equipment through their supply chains, their ability to procure power and fuel and their ability to maintain liquidity and deploy network capital, with potential decreases in consumer spending contributing to liquidity risks. Such financial difficulties could result in uncollectible accounts receivable and an impairment of our deferred rent asset, tower asset, network location intangible asset, tenant-related intangible asset or goodwill. The loss of significant customers, or the loss of all or a portion of our anticipated lease revenues from certain customers, could have a material adverse effect on our business, results of operations or financial condition.</w:t>
      </w:r>
    </w:p>
    <w:p>
      <w:pPr>
        <w:spacing w:after="0" w:line="125"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Due to the long-term nature of our customer leases, we depend on the continued financial strength of our customers. Many communications service providers operate with substantial levels of debt. In our international operations, many of our customers are subsidiaries of global telecommunications companies. These subsidiaries may not have the explicit or implied financial support of their parent entities.</w:t>
      </w:r>
    </w:p>
    <w:p>
      <w:pPr>
        <w:spacing w:after="0" w:line="11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In addition, many of our customers and potential customers rely on capital raising activities to fund their operations and capital expenditures, which may be more difficult or expensive in the event of downturns in the economy or disruptions in the financial and credit markets, including those caused by factors such as inflation, currency devaluations and other foreign currency exchange rate volatility, higher interest rates and supply chain disruptions. If our customers or potential customers are unable to raise adequate capital to fund their business plans or face capital constraints, they may reduce their spending, file for bankruptcy, reduce or terminate their operations or exit certain markets, which could materially and adversely affect demand for our communications infrastructure and our services business. For example, during the second half of 2025, Echostar Corporation, parent company to DISH, announced agreements to sell a material amount of spectrum licenses, and subsequently began to abandon and decommission deployment of portions of its 5G VoNR and broadband network. DISH represented approximately 2% and 4% of our total annual property revenue and total annual U.S. &amp; Canada property revenue, respectively, for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competition within our industries may materially and adversely affect our revenue.</w:t>
      </w:r>
    </w:p>
    <w:p>
      <w:pPr>
        <w:spacing w:after="0" w:line="14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Our industries are highly competitive and our customers have numerous alternatives in leasing communications infrastructure assets. Competition due to pricing or alternative contractual arrangements from peers could materially and adversely affect our lease rates. We may not be able to renew existing customer leases or enter into new customer leases, or if we are able to renew or enter into new leases, they may be at rates lower than our current rates or on less favorable terms than our current terms, resulting in an adverse impact on our results of operations and growth rate. During the year ended December 31, 2025, churn was approximately 2% of our tenant billings. An increase in our future churn rate resulting from non-renewal, or renegotiations at less favorable terms than our current rates, from one or more of our larger customers could materially and adversely impact our growth rate and revenue.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auto"/>
        </w:rPr>
        <w:t>In addition, some of our data center competitors may have significant advantages over us, including greater name recognition, longer operating histories, lower operating costs, lower levels of leverage, pre-existing relationships with current or potential customers, greater financial, marketing and other resources, access to better networks and access to less expensive power. These advantages could allow our data center competitors to respond more quickly or effectively to strategic opportunities and, as a result, we may lose existing or potential data center customers, incur costs to improve our data centers or be forced to reduce our rental rates. These risks are compounded by the fact that a significant percentage of our data center customer leases expire every year.</w:t>
      </w:r>
    </w:p>
    <w:p>
      <w:pPr>
        <w:spacing w:after="0" w:line="179"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our customers consolidate their operations, exit their businesses or share site infrastructure to a significant degree, our growth and revenue could be materially and adversely affected.</w:t>
      </w:r>
    </w:p>
    <w:p>
      <w:pPr>
        <w:spacing w:after="0" w:line="100"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18"/>
          <w:szCs w:val="18"/>
          <w:color w:val="auto"/>
        </w:rPr>
        <w:t>Significant consolidation among our customers could reduce demand for our communications infrastructure and may materially and adversely affect our growth and revenues. Certain combined companies have rationalized duplicative parts of their networks or modernized their networks, and these and other customers could determine not to renew, or attempt to cancel, avoid or limit leases or related payments with us. Additionally, some of our international customers may use consolidation and/or restructuring to address financial or other competitive pressures, which could in turn result in the sale of wireless assets. In the event a customer terminates, consolidates or restructures its business, or separately sells its spectrum or wireless assets, we may experience increased churn as a result. Our ongoing contractual revenues and our future results may be negatively impacted if a significant number of these leases are terminated or not renewed.</w:t>
      </w:r>
    </w:p>
    <w:p>
      <w:pPr>
        <w:spacing w:after="0" w:line="11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addition, extensive sharing of site infrastructure through RAN sharing, roaming or resale arrangements among wireless service providers, including due to increases in advanced network technology such as 5G, as an alternative to leasing our communications sites, without compensation to us, may cause new lease activity to slow if carriers utilize shared equipment rather than deploy new equipment, or may result in the decommissioning of equipment on certain existing sites because portions of the customers’ networks may become redundant.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to build or purchase assets could adversely affect our ability to achieve our return on investment criteria.</w:t>
      </w:r>
    </w:p>
    <w:p>
      <w:pPr>
        <w:spacing w:after="0" w:line="15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6"/>
          <w:szCs w:val="16"/>
          <w:color w:val="auto"/>
        </w:rPr>
        <w:t>We may experience increased competition for contracts to build or acquire communications infrastructure assets, which could cause us to lose such contracts or make them significantly more costly. Some of our competitors are larger and may have greater financial resources than we do, while other competitors may apply less stringent investment criteria or less stringent contractual terms than we have. In addition, we may not anticipate or be able to address increased competition entering a particular market or competing for the build or acquisition of the same assets. Higher prices or less favorable terms for the construction or acquisition of assets or the failure to build or otherwise add new assets to our portfolio could make it more difficult to achieve our anticipated returns on investment or future growth, which could materially and adversely affect our business, results of operations or financial condition.</w:t>
      </w:r>
    </w:p>
    <w:p>
      <w:pPr>
        <w:spacing w:after="0" w:line="18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New technologies or changes, or lack thereof, in our or a customer’s business model could make our communications infrastructure leasing business less desirable and result in decreasing revenues and operating results.</w:t>
      </w:r>
    </w:p>
    <w:p>
      <w:pPr>
        <w:spacing w:after="0" w:line="10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The development and implementation of new technologies designed to enhance the efficiency of wireless networks or changes in a customer’s business model could reduce the need for tower-based wireless services, decrease demand for tower space or reduce previously obtainable lease rates. In addition, if the industry trends toward deploying increased capital to the development and implementation of new technologies, then customers may allocate less of their budgets to leasing space on our towers. Examples of these technologies include more spectrally efficient technologies, which could relieve a portion of our customers’ network capacity needs and, as a result, could reduce the demand for tower-based antenna space. Additionally, certain small cell complementary network technologies or satellite services could shift a portion of our customers’ network investments away from traditional tower-based networks, which may reduce the need for carriers to add more equipment at certain communications sites.</w:t>
      </w:r>
    </w:p>
    <w:p>
      <w:pPr>
        <w:spacing w:after="0" w:line="11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Moreover, the emergence of alternative technologies could reduce the need for tower-based broadcast services transmission and reception. Further, a customer may decide to cease outsourcing tower infrastructure or otherwise change its business model, which would result in a decrease in our revenue and operating results. Similarly, our data center site infrastructure may become antiquated or obsolete due to the development of new systems that deliver power to, or eliminate heat from, the servers and other customer equipment that we house or due to the development of new technology, such as AI, which is potentially more power-intensive, that requires levels of power and cooling density that our facilities may not be designed to provide. Our failure to innovate in response to the development and implementation of these or other new technologies or changes in a customer’s business model could have a material adverse effect on the growth of our business, results of operations or financial condition. Conversely, we may invest significant capital in technologies, platform expansion initiatives or new additions to our core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business that may not provide expected returns or profitability, which could divert management attention and have a material adverse effect on our operating results.</w:t>
      </w:r>
    </w:p>
    <w:p>
      <w:pPr>
        <w:spacing w:after="0" w:line="102" w:lineRule="exact"/>
        <w:rPr>
          <w:sz w:val="20"/>
          <w:szCs w:val="20"/>
          <w:color w:val="auto"/>
        </w:rPr>
      </w:pPr>
    </w:p>
    <w:p>
      <w:pPr>
        <w:ind w:right="700"/>
        <w:spacing w:after="0" w:line="254" w:lineRule="auto"/>
        <w:rPr>
          <w:sz w:val="20"/>
          <w:szCs w:val="20"/>
          <w:color w:val="auto"/>
        </w:rPr>
      </w:pPr>
      <w:r>
        <w:rPr>
          <w:rFonts w:ascii="Times New Roman" w:cs="Times New Roman" w:eastAsia="Times New Roman" w:hAnsi="Times New Roman"/>
          <w:sz w:val="18"/>
          <w:szCs w:val="18"/>
          <w:color w:val="auto"/>
        </w:rPr>
        <w:t>Additionally, our customers may overestimate or overvalue the benefits and use of 5G networks and other new technology that are deployed onto our communications sites that, in turn, could adversely affect our customers' growth, thereby adversely affecting our growth.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 may materially and adversely affect our financial condition, results of operations or cash flows.</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6"/>
          <w:szCs w:val="16"/>
          <w:color w:val="auto"/>
        </w:rPr>
        <w:t>We continually evaluate the performance, capital needs and strategic fit of all of our businesses and, as a result of such evaluation, may sell some or all of the equity interests in a particular business or components of a business. In recent years, we have divested our Mexico fiber and Poland businesses in 2023, our Australia, India and New Zealand businesses in 2024 and our South Africa fiber business in 2025. Divestitures involve risks, including difficulties in the separation of operations, services, products and personnel, requirements to obtain consents from third parties or potential legal claims or regulatory requirements. We cannot assure you that we will be successful in managing these or any other significant risks that we may encounter related to the divestiture of a business. Any divestiture we undertake could materially and adversely affect our business, reputation, financial condition, results of operations and cash flows, and may also result in a diversion of management’s attention, operational difficulties and losses. Divestitures and our evaluation of assets or businesses in connection with potential divestitures may result in asset impairment charges, including those related to goodwill and other intangible assets, or losses realized in connection with a transaction, which could have an impact on our financial condition and results of operations.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and strategic partnerships may expose us to risks associated with jointly owned investments.</w:t>
      </w:r>
    </w:p>
    <w:p>
      <w:pPr>
        <w:spacing w:after="0" w:line="153"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6"/>
          <w:szCs w:val="16"/>
          <w:color w:val="auto"/>
        </w:rPr>
        <w:t>We currently operate parts of our business through joint ventures with third party partners that we believe will complement or augment our existing business. For example, we have joint ventures in our Europe property segment, Data Center property segment and Africa &amp; APAC property segment. As we continue to engage in and sustain partnership opportunities, our partners may have business or economic goals that are inconsistent or conflict with ours, be in positions to take action contrary to our interests, policies or objectives, have competing interests in our, or other, markets that could create conflict of interest issues, withhold consents contrary to our requests or become unable or unwilling to fulfill their commitments, any of which could present challenges with multiple partners or expose us to additional liabilities or costs, including requiring us to assume and fulfill the obligations of that partnership or to execute buyouts of our partners’ interests. Additionally, we may not realize any of the anticipated benefits of our joint ventures. Such investments and any future strategic partnerships and/or joint ventures subject us and the companies we manage to risks and uncertainties not otherwise present with other methods of investment.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General Economic Conditions</w:t>
      </w:r>
    </w:p>
    <w:p>
      <w:pPr>
        <w:spacing w:after="0" w:line="239"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leverage, debt service obligations and repurchase activity may materially and adversely affect our ability to raise additional financing to fund capital expenditures, future growth and expansion initiatives and may reduce funds available to satisfy our distribution requirements.</w:t>
      </w:r>
    </w:p>
    <w:p>
      <w:pPr>
        <w:spacing w:after="0" w:line="8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a substantial amount of indebtedness. As of December 31, 2025, we had approximately $37.2 billion of consolidated debt and the ability to borrow additional aggregate amounts of approximately $9.6 billion under our $6.0 billion senior unsecured multicurrency revolving credit facility, as amended and restated in December 2021, as further amended (the “2021 Multicurrency Credit Facility”) and our $4.0 billion senior unsecured revolving credit facility, as amended and restated in December 2021, as further amended (the “2021 Credit Facility”), net of approximately $36.8 million of outstanding undrawn 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leverage and debt service obligations could have significant negative consequences to our business, results of operations or financial condition, including:</w:t>
      </w:r>
    </w:p>
    <w:p>
      <w:pPr>
        <w:spacing w:after="0" w:line="172" w:lineRule="exact"/>
        <w:rPr>
          <w:sz w:val="20"/>
          <w:szCs w:val="20"/>
          <w:color w:val="auto"/>
        </w:rPr>
      </w:pPr>
    </w:p>
    <w:p>
      <w:pPr>
        <w:ind w:left="640" w:right="240" w:hanging="318"/>
        <w:spacing w:after="0" w:line="25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debt, thereby reducing the amount of our cash flow available for other purposes, including capital expenditures and REIT distributions;</w:t>
      </w:r>
    </w:p>
    <w:p>
      <w:pPr>
        <w:spacing w:after="0" w:line="1" w:lineRule="exact"/>
        <w:rPr>
          <w:rFonts w:ascii="Times New Roman" w:cs="Times New Roman" w:eastAsia="Times New Roman" w:hAnsi="Times New Roman"/>
          <w:sz w:val="18"/>
          <w:szCs w:val="18"/>
          <w:color w:val="auto"/>
        </w:rPr>
      </w:pPr>
    </w:p>
    <w:p>
      <w:pPr>
        <w:ind w:left="640" w:hanging="318"/>
        <w:spacing w:after="0" w:line="24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meet one or more of the financial ratio covenants contained in our debt agreements or to generate cash sufficient to pay interest or principal due under those agreements, which could result in an acceleration of some or all of our outstanding debt and the loss of the towers securing such debt, as applicable, if a default remains uncured;</w:t>
      </w:r>
    </w:p>
    <w:p>
      <w:pPr>
        <w:spacing w:after="0" w:line="1" w:lineRule="exact"/>
        <w:rPr>
          <w:rFonts w:ascii="Times New Roman" w:cs="Times New Roman" w:eastAsia="Times New Roman" w:hAnsi="Times New Roman"/>
          <w:sz w:val="18"/>
          <w:szCs w:val="18"/>
          <w:color w:val="auto"/>
        </w:rPr>
      </w:pPr>
    </w:p>
    <w:p>
      <w:pPr>
        <w:ind w:left="640" w:right="780" w:hanging="318"/>
        <w:spacing w:after="0" w:line="274" w:lineRule="auto"/>
        <w:tabs>
          <w:tab w:leader="none" w:pos="63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ability to obtain additional debt or equity financing, thereby placing us at a possible competitive disadvantage to less leveraged competitors and competitors that may have better access to capital resources, including with respect to acquiring or building assets; and</w:t>
      </w:r>
    </w:p>
    <w:p>
      <w:pPr>
        <w:spacing w:after="0" w:line="1" w:lineRule="exact"/>
        <w:rPr>
          <w:rFonts w:ascii="Times New Roman" w:cs="Times New Roman" w:eastAsia="Times New Roman" w:hAnsi="Times New Roman"/>
          <w:sz w:val="16"/>
          <w:szCs w:val="16"/>
          <w:color w:val="auto"/>
        </w:rPr>
      </w:pPr>
    </w:p>
    <w:p>
      <w:pPr>
        <w:ind w:left="640" w:hanging="31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markets in which we compete.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We may need to raise additional capital through debt financing activities, asset sales or equity issuances, even if the then-prevailing market conditions are not favorable, to fund capital expenditures, future growth and expansion initiatives, required purchases of our partners’ interests and to satisfy our distribution requirements and debt service obligations and leverage requirements, including financial ratio covenants. An increase in our total leverage could lead to a downgrade of our credit rating below investment grade, which could negatively impact our ability to access credit markets or preclude us from obtaining funds on investment grade terms, rates and conditions or subject us to additional loan covenants, which could accelerate our debt repayment obligations. Further, certain of our current debt instruments limit the amount of indebtedness we and our subsidiaries may incur. Additional financing, therefore, may be unavailable, more expensive or restricted by the terms of our outstanding indebtedness.</w:t>
      </w:r>
    </w:p>
    <w:p>
      <w:pPr>
        <w:spacing w:after="0" w:line="1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Additionally, our Board has approved a share repurchase program allowing us to repurchase common stock through various methods, including open market purchases. The program does not require any specific amount or number of shares to be repurchased, and management will determine timing and volume based on market conditions and other factors. Repurchases could impact stock price, liquidity and cash reserves, potentially affecting future growth opportunities. While intended to enhance long-term shareholder value, there is no guarantee of success, and short-term price fluctuations could reduce the program’s effectiveness. Additionally, our share repurchase program could diminish our available cash, which may impact our ability to finance future growth and pursue possible future strategic opportunities and acquisitions.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inflation and interest rates may adversely affect us by increasing costs beyond what we can recover through price increases.</w:t>
      </w:r>
    </w:p>
    <w:p>
      <w:pPr>
        <w:spacing w:after="0" w:line="15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The United States and other large global economies experienced historically high inflation in recent years. Future inflationary effects may be driven by, among other things, supply chain disruptions, changes in trade or tariff policies, governmental stimulus or fiscal policies, as well as ongoing global military conflicts. Inflation can materially and adversely affect us by increasing the costs of land, materials, labor and other costs required to manage and grow our business. In addition, should inflation rates exceed our fixed escalator percentages in markets where our leases include fixed escalators, our returns could be adversely affected. In an inflationary environment, depending on the terms of our contracts and other economic conditions, we may be unable to raise prices enough to keep up with the rate of inflation or our customers may be unwilling to pay contractual increases or demand discounts upon renewal, which would reduce our profit margins and returns. If we are unable to increase our prices to offset the effects of inflation, our business, results of operations and financial condition could be materially and adversely affected. Inflation has also contributed to foreign currency exchange rate volatility, including in several of the markets where we operate. Inflation impacts could also create foreign exchange rate instability in our international markets, including in markets such as Africa and Latin America, that could, in turn, depress the value of that market’s currency, thereby adversely impacting our business, results of operations, financial condition or the underlying value of foreign subsidiaries.</w:t>
      </w:r>
    </w:p>
    <w:p>
      <w:pPr>
        <w:spacing w:after="0" w:line="11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addition, inflation is often accompanied by higher interest rates. The combination of higher interest rates and high inflation could lead to an extended economic downturn, which could reduce our ability to incur debt or access capital and impact our results of operations and financial condition even after these conditions improve. Additionally, higher inflation or higher costs of capital could also impact the risk premiums or market returns on our assets. Changes in costs of capital could adversely impact the underlying value of our assets, which could in turn result in impairment charges.</w:t>
      </w:r>
    </w:p>
    <w:p>
      <w:pPr>
        <w:spacing w:after="0" w:line="119"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8"/>
          <w:szCs w:val="18"/>
          <w:color w:val="auto"/>
        </w:rPr>
        <w:t>Further, market volatility and disruption caused by factors such as inflation and fluctuating interest rates may impact our ability to raise additional capital through debt and equity financing activities or our ability to repay or refinance maturing liabilities, or impact the terms of any new obligations, which in turn may have an adverse impact on our credit ratings. Federal fund rates have been elevated for several years and, although there were several rate cuts in recent years, rates could remain at current levels for an extended period of time. An increase in rates can have a corresponding impact to our costs of borrowing and may have an adverse impact on our ability to raise funds through the offering of our securities or through the issuance of debt due to higher debt capital costs, diminished credit availability or less favorable equity markets. The extent to which these factors will impact our business and financial results will depend on future developments, which are highly uncertain and cannot be predicted at this time.</w:t>
      </w:r>
    </w:p>
    <w:p>
      <w:pPr>
        <w:spacing w:after="0" w:line="21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the agreements related to our securitization transaction, our credit facilities and our debt securities could materially and adversely affect our business by limiting flexibility, and we may be prohibited from paying dividends on our common stock, which may jeopardize our qualification for taxation as a REIT.</w:t>
      </w:r>
    </w:p>
    <w:p>
      <w:pPr>
        <w:spacing w:after="0" w:line="111"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6"/>
          <w:szCs w:val="16"/>
          <w:color w:val="auto"/>
        </w:rPr>
        <w:t>The agreements related to our Trust Securitization (as defined below) include operating covenants and other restrictions customary for loans subject to rated securitizations. Among other things, the borrowers under the agreements are prohibited from incurring other indebtedness for borrowed money or further encumbering their assets. A failure to comply with the covenants in the agreements could prevent the borrowers from taking certain actions with respect to the secured assets and could prevent the borrowers from distributing any excess cash from the operation of such assets to us. If the borrowers were to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default on any of the loans, the servicer on such loan could seek to foreclose upon or otherwise convert the ownership of the secured assets, in which case we could lose such assets and the cash flow associated with such assets.</w:t>
      </w:r>
    </w:p>
    <w:p>
      <w:pPr>
        <w:spacing w:after="0" w:line="8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agreements for our credit facilities also contain restrictive covenants and leverage and other financial maintenance tests that could limit our ability to take various actions, including incurring additional debt, guaranteeing indebtedness or making distributions to stockholders, including our required REIT distributions, and engaging in various types of transactions, including mergers, acquisitions and sales of assets. Additionally, our credit facilities restrict our and our subsidiaries’ ability to incur liens securing our or their indebtedness. These covenants could have an adverse effect on our business by limiting our ability to take advantage of financing new tower or other communications infrastructure development, mergers and acquisitions or other opportunities. Our credit agreements also contain cross-default and/or cross-acceleration provisions, which may be triggered if we default on certain indebtedness in excess of certain thresholds. In the event of such a default, the resulting cross-defaults or cross-accelerations could have an adverse effect on our business and financial condition. Further, reporting and information covenants in our credit agreements and indentures require that we provide financial and operating information within certain time periods. If we are unable to provide the required information on a timely basis, we would be in breach of these covenants. For more information regarding the covenants and requirements discussed above, please see Item 7 of this Annual Report under the caption “Management’s Discussion and Analysis of Financial Condition and Results of Operations—Liquidity and Capital Resources—Factors Affecting Sources of Liquidity” and note 8 to our consolidated financial statements included in this Annual Report.</w:t>
      </w:r>
    </w:p>
    <w:p>
      <w:pPr>
        <w:spacing w:after="0" w:line="128"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18"/>
          <w:szCs w:val="18"/>
          <w:color w:val="auto"/>
        </w:rPr>
        <w:t>We also may enter into hedges for certain debt instruments, which may have an adverse impact on our results to the extent that the counterparties do not perform as expected at the inception of each hedge.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39"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foreign operations are subject to economic, political and other risks that could materially and adversely affect our revenues or financial position, including risks associated with fluctuations in foreign currency exchange rates.</w:t>
      </w:r>
    </w:p>
    <w:p>
      <w:pPr>
        <w:spacing w:after="0" w:line="10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6"/>
          <w:szCs w:val="16"/>
          <w:color w:val="auto"/>
        </w:rPr>
        <w:t>Our international business operations and our potential expansion into additional new markets in the future expose us to potential adverse financial and operational problems not typically experienced in the United States. Our business is subject to risks associated with doing business internationally, including:</w:t>
      </w:r>
    </w:p>
    <w:p>
      <w:pPr>
        <w:spacing w:after="0" w:line="1" w:lineRule="exact"/>
        <w:rPr>
          <w:sz w:val="20"/>
          <w:szCs w:val="20"/>
          <w:color w:val="auto"/>
        </w:rPr>
      </w:pPr>
    </w:p>
    <w:p>
      <w:pPr>
        <w:ind w:left="640" w:right="60" w:hanging="318"/>
        <w:spacing w:after="0" w:line="24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inconsistent or changing laws, regulations, rulings or methodologies impacting our existing and anticipated international operations, fees or other requirements directed specifically at the ownership and operation of communications infrastructure or our international acquisitions, any of which laws, fees or requirements may be applied retroactively or with significant delay;</w:t>
      </w:r>
    </w:p>
    <w:p>
      <w:pPr>
        <w:spacing w:after="0" w:line="1"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to retain our tax status or to obtain an expected tax status for which we have applied;</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applicable tax laws or successful challenges to how or where our profits are currently recognized, which could increase our overall taxes;</w:t>
      </w:r>
    </w:p>
    <w:p>
      <w:pPr>
        <w:spacing w:after="0" w:line="26" w:lineRule="exact"/>
        <w:rPr>
          <w:rFonts w:ascii="Times New Roman" w:cs="Times New Roman" w:eastAsia="Times New Roman" w:hAnsi="Times New Roman"/>
          <w:sz w:val="16"/>
          <w:szCs w:val="16"/>
          <w:color w:val="auto"/>
        </w:rPr>
      </w:pPr>
    </w:p>
    <w:p>
      <w:pPr>
        <w:ind w:left="640" w:hanging="31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resulting in government takeover of our or our customers’ operations;</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restricting foreign ownership or requiring reversion or divestiture;</w:t>
      </w:r>
    </w:p>
    <w:p>
      <w:pPr>
        <w:spacing w:after="0" w:line="3" w:lineRule="exact"/>
        <w:rPr>
          <w:rFonts w:ascii="Times New Roman" w:cs="Times New Roman" w:eastAsia="Times New Roman" w:hAnsi="Times New Roman"/>
          <w:sz w:val="18"/>
          <w:szCs w:val="18"/>
          <w:color w:val="auto"/>
        </w:rPr>
      </w:pPr>
    </w:p>
    <w:p>
      <w:pPr>
        <w:ind w:left="640" w:hanging="318"/>
        <w:spacing w:after="0" w:line="23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or regulations that tax or otherwise restrict repatriation of earnings or other funds or otherwise limit distributions of capital;</w:t>
      </w:r>
    </w:p>
    <w:p>
      <w:pPr>
        <w:ind w:left="640" w:right="220" w:hanging="318"/>
        <w:spacing w:after="0" w:line="229"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 including inflation, currency devaluation, coup d’états and other violent and/or unplanned transitions of power;</w:t>
      </w:r>
    </w:p>
    <w:p>
      <w:pPr>
        <w:ind w:left="640" w:hanging="31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zoning regulations or construction laws, which could be applied retroactively to our existing communications infrastructure;</w:t>
      </w:r>
    </w:p>
    <w:p>
      <w:pPr>
        <w:spacing w:after="0" w:line="1" w:lineRule="exact"/>
        <w:rPr>
          <w:rFonts w:ascii="Times New Roman" w:cs="Times New Roman" w:eastAsia="Times New Roman" w:hAnsi="Times New Roman"/>
          <w:sz w:val="18"/>
          <w:szCs w:val="18"/>
          <w:color w:val="auto"/>
        </w:rPr>
      </w:pPr>
    </w:p>
    <w:p>
      <w:pPr>
        <w:ind w:left="640" w:right="120" w:hanging="318"/>
        <w:spacing w:after="0" w:line="24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restricting or revoking our customers’ spectrum licenses, or alterations or interpretations thereof, or suspending or terminating business under prior licenses;</w:t>
      </w:r>
    </w:p>
    <w:p>
      <w:pPr>
        <w:ind w:left="640" w:hanging="31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anti-bribery laws such as the FCPA or similar local anti-bribery laws, or the Office of Foreign Assets Control requirements;</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data privacy laws or other protections of employee health and personal information;</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site issues related to security, fuel availability and reliability of electrical grids;</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or implementation of new, license surcharges and similar fees or taxes on our revenue;</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anti-American sentiment or adverse impacts from United States trade or foreign policy, including the impacts of tariffs and retaliatory measures;</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including expatriates, in markets where talent is difficult or expensive to acquire; and</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price-setting or other similar laws or regulations for the sharing of passive infrastructure.</w:t>
      </w:r>
    </w:p>
    <w:p>
      <w:pPr>
        <w:spacing w:after="0" w:line="13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We also face risks associated with changes in foreign currency exchange rates, including those arising from the impacts of an inflationary and high interest rate environment on the global or regional economy and markets and on our operations, investments and financing transactions related to our international business. Volatility in foreign currency exchange rates can</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also affect our ability to plan, forecast and budget for our international operations and expansion efforts. Our revenues earned from our international operations are primarily denominated in their respective local currencies. We have not historically engaged in significant currency hedging activities relating to our non-U.S. Dollar operations, and a weakening of these foreign currencies against the U.S. Dollar would negatively impact our reported revenues, operating profits and income.</w:t>
      </w:r>
    </w:p>
    <w:p>
      <w:pPr>
        <w:spacing w:after="0" w:line="207"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that of our customers, is subject to laws, regulations and administrative and judicial decisions, and changes thereto, that could restrict our ability to operate our business as we currently do or impact our competitive landscape.</w:t>
      </w:r>
    </w:p>
    <w:p>
      <w:pPr>
        <w:spacing w:after="0" w:line="10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Our business, and that of our customers, is subject to federal, state, local and foreign laws, treaties and regulations and administrative and judicial decisions. In certain jurisdictions, these regulations, laws and treaties could be applied or be enforced retroactively. Zoning authorities and community organizations are sometimes opposed to the construction of communications sites in their communities, which can delay, prevent or increase the cost of new tower or data center construction, modifications, additions of new antennas to a site or site upgrades, thereby limiting our ability to respond to customer demands. Existing or new regulatory policies, regulations or laws may materially and adversely affect the timing, cost or completion of our communications sites or result in changes in the competitive landscape that may negatively affect our business. Noncompliance could result in the imposition of fines or an award of damages to litigants or result in decreased revenue or the potential loss of our sites. In addition, in certain jurisdictions, we and certain of our customers are required to pay annual licenses, fees or taxes, which may be subject to substantial increases by the government, or new fees may be enacted and applied retroactively. In some instances, government regulation restricting foreign ownership of our customers could result in loss of revenue or penalties. Governmental licenses may also be subject to periodic renewal and additional conditions to receive or maintain such license. Additionally, we have government customers for several of our communications sites and data centers, which subjects us to risks including early termination, audits, investigations, sanctions and penalties.</w:t>
      </w:r>
    </w:p>
    <w:p>
      <w:pPr>
        <w:spacing w:after="0" w:line="29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data centers segment is also subject to various federal, state and local environmental and health and safety laws and regulations in the United States, as set forth in Item 1A of this Annual Report under the caption “Risk Factors— Our data center segment contains certain operational differences from our tower leasing operations resulting in different operational risks. If we do not successfully operate our data center segment or identify or manage the related operational risks, such operations may produce results that are lower than anticipated.”</w:t>
      </w:r>
    </w:p>
    <w:p>
      <w:pPr>
        <w:spacing w:after="0" w:line="1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Furthermore, the tax laws, regulations, applicable license terms and conditions, and interpretations governing our business, and that of our customers, in jurisdictions where we operate, may change at any time, potentially with retroactive effect. The evolving nature of global tax laws and regulations and compliance approaches could have an impact on our financial results. This includes changes in tax laws, transfer pricing regulations, spectrum use terms, administrative compliance guidance or judicial interpretations thereof. In recent years, there have been some legislative proposals regarding tax laws applicable to REITs. Any increases in tax liability could reduce the amount of cash available for other purposes.</w:t>
      </w:r>
    </w:p>
    <w:p>
      <w:pPr>
        <w:spacing w:after="0" w:line="12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In addition, as of January 1, 2024, we and our subsidiaries, in principle, became subject to the Organization for Economic Cooperation and Development (the “OECD”) Global Anti-Base Erosion Rules (the “Pillar 2 Rules”) as promulgated by jurisdictions. The Pillar 2 Rules can potentially lead to additional taxes (“Top-Up Tax”) when the effective tax rate (as defined by the Pillar 2 Rules) in a jurisdiction is below 15%. The Pillar 2 Rules, however, do not apply to “Excluded Entities” and certain subsidiaries of Excluded Entities. We believe we qualify as an Excluded Entity as a “Real Estate Investment Vehicle.” In the event certain subsidiaries do not qualify as Excluded Entities, available “Safe Harbor” rules could apply that would exempt the entities from any Top-Up Tax. For 2025, the Under-Taxed Payments Rule (UTPR) Safe Harbor excludes all US income from the Pillar 2 Rules. In addition, substantially all of our non-excluded, non-U.S. jurisdictions qualify for other Safe Harbors. The remaining jurisdictions that may not qualify would have immaterial Top-Up Taxes. Beginning in fiscal year 2026, the U.S. income of non-excluded entities may result in material Top-Up Taxes; however, on January 5, 2026, the OECD announced a comprehensive Side-by-Side Safe Harbor that, if enacted, would exempt U.S.-parented multinational companies from certain Top-Up Taxes under the Pillar 2 Rules beginning January 1, 2026. The Side-by-Side Safe Harbor is not an exemption from any qualified domestic minimum Top-Up Tax. The Side-by-Side Safe Harbor has yet to be enacted in any jurisdiction where we operate that has already implemented the Pillar 2 Rules. Additionally, the Pillar 2 Rules are still yet to be enacted in many of the jurisdictions in which we operate.</w:t>
      </w:r>
    </w:p>
    <w:p>
      <w:pPr>
        <w:spacing w:after="0" w:line="217" w:lineRule="exact"/>
        <w:rPr>
          <w:sz w:val="20"/>
          <w:szCs w:val="20"/>
          <w:color w:val="auto"/>
        </w:rPr>
      </w:pPr>
    </w:p>
    <w:p>
      <w:pPr>
        <w:ind w:right="700"/>
        <w:spacing w:after="0" w:line="338" w:lineRule="auto"/>
        <w:rPr>
          <w:sz w:val="20"/>
          <w:szCs w:val="20"/>
          <w:color w:val="auto"/>
        </w:rPr>
      </w:pPr>
      <w:r>
        <w:rPr>
          <w:rFonts w:ascii="Times New Roman" w:cs="Times New Roman" w:eastAsia="Times New Roman" w:hAnsi="Times New Roman"/>
          <w:sz w:val="16"/>
          <w:szCs w:val="16"/>
          <w:b w:val="1"/>
          <w:bCs w:val="1"/>
          <w:i w:val="1"/>
          <w:iCs w:val="1"/>
          <w:color w:val="auto"/>
        </w:rPr>
        <w:t>If we fail to remain qualified for taxation as a REIT, we will be subject to tax at corporate income tax rates, which may substantially reduce funds otherwise available, and even if we qualify for taxation as a REIT, we may face tax liabilities that impact earnings and available cash flow.</w:t>
      </w:r>
    </w:p>
    <w:p>
      <w:pPr>
        <w:spacing w:after="0" w:line="3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Commencing with the taxable year beginning January 1, 2012, we have operated as a REIT for federal income tax purposes. Qualification for taxation as a REIT requires the application of certain highly technical and complex provisions of the Internal Revenue Code of 1986, as amended (the “Code”), which provisions may change from time to time, to our operations as well as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various factual determinations concerning matters and circumstances not entirely within our control. Further, tax legislation may adversely affect our ability to remain qualified for taxation as a REIT or the benefits or desirability of remaining so qualified. There are few judicial or administrative interpretations of the relevant provisions of the Code.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in any taxable year, we fail to qualify for taxation as a REIT and are not entitled to relief under the Code:</w:t>
      </w:r>
    </w:p>
    <w:p>
      <w:pPr>
        <w:spacing w:after="0" w:line="21" w:lineRule="exact"/>
        <w:rPr>
          <w:sz w:val="20"/>
          <w:szCs w:val="20"/>
          <w:color w:val="auto"/>
        </w:rPr>
      </w:pPr>
    </w:p>
    <w:p>
      <w:pPr>
        <w:ind w:left="640" w:hanging="318"/>
        <w:spacing w:after="0" w:line="24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allowed a deduction for distributions to stockholders and would be subject to federal and state income tax on our taxable income at regular corporate income tax rates, which could be substantial in amount, and may require us to borrow additional funds or liquidate some investments to pay any additional tax liability and, accordingly, may reduce funds available for other purposes; and</w:t>
      </w:r>
    </w:p>
    <w:p>
      <w:pPr>
        <w:spacing w:after="0" w:line="1"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disqualified from REIT tax treatment for the four taxable years immediately following the year during which we were so disqualified.</w:t>
      </w:r>
    </w:p>
    <w:p>
      <w:pPr>
        <w:spacing w:after="0" w:line="13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are subject to certain federal, state, local and foreign taxes on our income and assets, including taxes on any undistributed income and state, local or foreign income, franchise, property and transfer taxes. While state and local income tax regimes often parallel the U.S. federal income tax regime for REITs, many of these jurisdictions differ in their treatment of REITs. For example, some state and local jurisdictions currently or in the future may limit or eliminate a REIT’s deduction for dividends paid, which could increase our income tax expense. We are also subject to the continual examination of our income tax returns by the U.S. Internal Revenue Service and state, local and foreign tax authorities. The results of an audit and examination of previously filed tax returns and continuing assessments of our tax exposures may have an adverse effect on our provision for income taxes and cash tax liability.</w:t>
      </w:r>
    </w:p>
    <w:p>
      <w:pPr>
        <w:spacing w:after="0" w:line="12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Furthermore, we have owned and may from time to time own direct and indirect ownership interests in subsidiary REITs, which must also comply with the same REIT requirements that we must satisfy, together with all other rules applicable to REITs. If the subsidiary REIT is determined to have failed to qualify for taxation as a REIT and certain relief provisions do not apply, then the subsidiary REIT would be subject to federal income tax, which tax we would economically bear along with applicable penalties and interest. In addition, our ownership of shares in such subsidiary REIT would fail to be a qualifying asset for purposes of the asset tests applicable to REITs and any dividend income or gains derived by us from such subsidiary REIT may cease to be treated as income that qualifies for purposes of the 75% gross income test. These consequences could have a material adverse effect on our ability to comply with the REIT income and asset tests, and thus our ability to qualify for taxation as a REIT.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flexibility or cause us to forego otherwise attractive opportunities.</w:t>
      </w:r>
    </w:p>
    <w:p>
      <w:pPr>
        <w:spacing w:after="0" w:line="14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Our use of TRSs enables us to engage in non-REIT qualifying business activities. Under the Code, no more than 20% (25% beginning in 2026) of the value of the assets of a REIT may be represented by securities of one or more TRSs and no more than 25% of the value of the assets of the REIT may be represented by non-qualifying assets (including securities of one or more TRSs). This limitation may hinder our ability to make certain attractive investments or take advantage of acquisition opportunities, including the purchase of non-qualifying assets, the expansion of non-real estate activities and investments in the businesses to be conducted by our TRSs, and to that extent limit our opportunities and our flexibility to change our business strategy. Further, as a REIT, we must distribute to our stockholders an amount equal to at least 90% of our REIT taxable income (determined before the deduction for distributed earnings and excluding any net capital gain). To meet our annual distribution requirements, we may be required to distribute amounts that may otherwise be used for our operations, including amounts that may otherwise be invested in future acquisitions, capital expenditures or repayment of debt. As no more than 25% of our gross income may consist of dividend income from our TRSs and other non-qualifying types of income, our ability to receive distributions from our TRSs may be limited, which may impact our ability to fund distributions to our stockholders or to use income of our TRSs to fund other investments.</w:t>
      </w:r>
    </w:p>
    <w:p>
      <w:pPr>
        <w:spacing w:after="0" w:line="31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the majority of our income and cash flows from our TRSs are generated from our international operations. In many cases, there are local withholding taxes and currency controls that may impact our ability or willingness to repatriate funds to the United States to help satisfy REIT distribution requirements. Additionally, to the extent we have excess cash in foreign locations that could be used in, or is needed by, our U.S. or foreign operations, we may incur significant foreign taxes to repatriate these funds, which would reduce the net amount ultimately available for such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have liability under environmental and occupational safety and health laws.</w:t>
      </w:r>
    </w:p>
    <w:p>
      <w:pPr>
        <w:spacing w:after="0" w:line="15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Our operations are subject to various federal, state, local and foreign environmental and occupational safety and health laws and regulations, including those relating to the management, use, storage, disposal, emission and remediation of, and exposure to, hazardous and non-hazardous substances, materials and wastes. As the owner, lessee or operator of real property and facilities, including generators, we may be liable for substantial costs of investigation, removal or remediation of soil and groundwater contaminated by hazardous materials, and for damages and costs relating to off-site migration of hazardous materials, without regard to whether we, as the owner, lessee or operator, knew of, or were responsible for, the contamination. We may also be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liable for certain costs of remediating contamination at third-party sites to which we sent waste for disposal, even if the original disposal may have complied with all legal requirements at the time. Many of these laws and regulations contain information reporting and record keeping requirements. We may not be at all times in compliance with all environmental requirements. Further, our data center properties are subject to various federal, state and local regulations, such as state and local fire and life safety regulations and ADA federal requirements. We may be subject to potentially significant fines or penalties if we fail to comply with any of these requirements.</w:t>
      </w:r>
    </w:p>
    <w:p>
      <w:pPr>
        <w:spacing w:after="0" w:line="10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requirements of the environmental and occupational safety and health laws and regulations are complex, change frequently and could become more stringent in the future. In certain jurisdictions, these laws and regulations could be applied retroactively or be broadened to cover situations or persons not currently considered. It is possible that these requirements will change or that liabilities will arise in the future in a manner that could have a material adverse effect on our business, results of operations or financial condition. While we maintain environmental and workers’ compensation insurance, we may not have adequate insurance to cover all costs, fines or penalties.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regulations related to climate change.</w:t>
      </w:r>
    </w:p>
    <w:p>
      <w:pPr>
        <w:spacing w:after="0" w:line="15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Efforts to regulate greenhouse gas emissions, the use of fossil fuels or requirements to use alternative fuel to power energy resources that serve our data centers or the generators we use in our emerging markets to deliver primary power to our customers may have direct or indirect effects on our business by increasing the cost of compliance. Although in the United States, the current administration has taken steps to reconsider many greenhouse gas initiatives (including reporting and disclosure requirements), there is an increased focus by many foreign (including the European Union), state (including California and New York) and local governments, regulators, investors, employees, customers and other stakeholders regarding environmental and energy policies relating to climate change, greenhouse gas emissions and other climate-related matters, including policies related to disclosure requirements. Accordingly, we will need to be prepared to contend with overlapping, yet distinct, climate-related disclosure requirements in multiple jurisdictions. Although a reduction in greenhouse gas emissions standards and reporting obligations in the U.S. may be possible at the federal level in the short-term, foreign and state governmental initiatives are becoming more stringent and may require us and our customers to make capital expenditures, such as investing in internal compliance systems and investments in personnel, which would result in increased costs for us and our customers. Failure to comply with applicable laws and regulations or other requirements imposed on us could also lead to fines and/or lost revenue.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23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parties on which we rely, experience technology failures, including cybersecurity incidents or the loss of personally identifiable information, we may incur substantial costs and suffer other negative consequences, which may include reputational damage.</w:t>
      </w:r>
    </w:p>
    <w:p>
      <w:pPr>
        <w:spacing w:after="0" w:line="10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As part of our normal business activities, including in our data centers, we rely on energy systems, cooling systems, communication networks, information technology and other computing resources, and collect, store, manage and otherwise process third-party data, including our customers’ data, our vendors’ data and our own data. We are vulnerable to physical or cybersecurity breaches, attacks, computer viruses, ransomware, malware, fraud, worms, adverse impacts of artificial intelligence, social engineering, denial-of-service attacks, malicious software programs, insider threats, unauthorized access and other cybersecurity incidents that could disrupt our, our customers’ or our vendors’ operations, expose us to liability and have a material adverse effect on our financial performance and operating results. These threats may result from human error, equipment failure, fraud or malice on the part of employees or third parties. A party who is able to compromise the security measures on our or our vendors’ networks or the security of our communications infrastructure could misappropriate our proprietary information or the personal information of our customers, our vendors, our employees or management, or cause interruptions or malfunctions in our operations or our customers’ operations. As we provide assurances to our customers that we provide a high level of security, such a compromise could be particularly harmful to our brand and reputation. We may be required to expend significant capital and resources to address any breaches, protect against such threats or to alleviate problems caused by security breaches.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Globally, the frequency, severity and sophistication of cybersecurity incidents have increased, and these trends will likely continue, especially during times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geopolitical tension or instability among countries from which a number of recent cybersecurity events have been alleged to have originated. Such cyber-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attacks could be in the form of espionage, phishing campaigns and otherwise. Additionally, the use of AI technologies has led to increased exposure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threats globally. AI systems may be used by threat actors to exploit vulnerabilities more efficiently or to facilitate increasingly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sophisticated cyberattacks, any of which could result in data breaches, operational disruptions or liability. We are continuously evaluating and enhancing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cybersecurity and information security systems and creating new systems and processes. However, there can be no assurance that these measures are or will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in preventing or limiting the impact of future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cybersecurity incidents. As techniques used to breach security grow in frequency and sophistication, and are generally not recognized until launched against a target, we, or our vendors, may not be able to promptly detect that a cyber breach has occurred or implement security measures in a timely manner. If and when implemented, we, or our vendors, may not be able to determine the extent to which these measures could be circumvented. Any breaches that may occur could expose us to increased risk of lawsuits, regulatory penalties, loss of existing or potential customers, damage relating to loss of proprietary information, harm to our reputation and increases in our security costs or related insurance, which could have a material adverse effect on our financial performance and operating results. We offer managed services in certain of our data centers where we provide “remote hands” services for our customers. The access to our customers’ networks and data, which is gained from these services, creates some risk that our customers’ networks or data will be improperly accessed. If we were held responsible for any such breach, it could result in a significant loss to us, including damage to our customer relationships, harm to our brand and reputation and legal liability. Additionally, while we maintain insurance coverage for cybersecurity incidents, we may not have adequate insurance to cover the associated costs in the event of a breach resulting in loss of data, such as personally identifiable information or other such data protected by data privacy or other laws, and we may be liable for damages, fines and penalties for such losses under applicable regulatory frameworks.</w:t>
      </w:r>
    </w:p>
    <w:p>
      <w:pPr>
        <w:spacing w:after="0" w:line="30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Although we and our vendors have disaster recovery programs and security measures in place, if our computer systems and our backup systems are compromised, degraded, damaged, breached or otherwise cease to function properly, we could suffer interruptions in our operations, including our ability to correctly record, process and report financial information, our customers’ network availability may be impacted or we could unintentionally allow misappropriation of proprietary or confidential information (including information about our customers or landlords, or customer information on our fiber, data center or managed networks businesses), which could result in a loss of revenue, damage to our reputation, damage to our customer and vendor relationships, litigation, regulatory investigations and penalties under existing or future data privacy laws and require us to incur significant costs to remediate or otherwise resolve these issues.</w:t>
      </w:r>
    </w:p>
    <w:p>
      <w:pPr>
        <w:spacing w:after="0" w:line="211"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data center segment contains certain operational differences from our tower leasing operations, resulting in different operational risks. If we do not successfully operate our data center segment or identify or manage the related operational risks, such operations may produce results that are lower than anticipated.</w:t>
      </w:r>
    </w:p>
    <w:p>
      <w:pPr>
        <w:spacing w:after="0" w:line="9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Over the last five years, we have significantly expanded our data centers business, which is a much less mature business for us than our tower leasing operations. Our data centers segment represented 10% of our total revenues for the year ended December 31, 2025. The business model for our data center business contains certain differences from our business model for our tower leasing operations, including those relating to customer base, competition, contract terms (including requirements for service level agreements regarding data center uptime and network performance), upfront capital requirements, ongoing capital improvements, expenditures required for maintenance of data center power, cooling and network equipment, landlord demographics, deployment and ownership of certain network assets, operational oversight requirements and government regulations. As we continue to invest in our data center segment, we may be required to commit significant operational and financial resources to data center developments, generally 12 to 18 months before securing customer contracts. Additionally, investments in data centers developments require a longer time to achieve stabilization and underwritten development yields than the</w:t>
      </w:r>
    </w:p>
    <w:p>
      <w:pPr>
        <w:spacing w:after="0" w:line="2"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development of new towers. If customer demand in our markets is insufficient once the data centers are built, we may have difficulty realizing expected or reasonable returns on these investments.</w:t>
      </w:r>
    </w:p>
    <w:p>
      <w:pPr>
        <w:spacing w:after="0" w:line="7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Moreover, we rely on third parties, governmental entities and suppliers to provide sufficient power for our data centers and to support future expansion, which is different than our tower leasing operations. Difficulties in securing contracted energy or obtaining adequate capacity for future data center developments may adversely affect our operations, financial performance and customer relationships. Power constraints, delays, unfavorable contractual terms and increased costs from utility providers could limit our ability to identify suitable sites and expand, particularly as evolving technologies, such as AI, increase power requirements. Our ability to scale remains dependent on reliable energy access amid rising electrification trends and associated infrastructure challenges.</w:t>
      </w:r>
    </w:p>
    <w:p>
      <w:pPr>
        <w:spacing w:after="0" w:line="91"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Additionally, we are currently engaging in, or contemplating, data center expansions and new ground-up data center builds in new and existing markets. The construction projects associated with such expansion initiatives expose us to many risks that differ from those for our tower leasing operations, such as delays in site readiness, utility power and power grid constraints, the potential requirement for on-site power generation solutions where utility power is unavailable, lack of availability and delays for data center equipment, unexpected budget changes and unanticipated customer requirements that would necessitate alternative data center design, making our sites less desirable or leading to increased costs in order to make necessary modifications or retrofits. Construction projects are dependent on permitting from public agencies and utility companies. Any delay in permitting could affect our growth. While we do not currently anticipate any material long-term negative impact on our business due to construction delays, these types of delays and stoppages related to permitting from public agencies and utility companies could have an adverse effect on our revenue or growth.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Furthermore, we also may face pressure from certain stakeholders, such as the communities in which we operate, who are increasingly focused on climate change and shortages of power, land and water resources, which are different pressures than those faced by our tower leasing operations. Such pressure could lead to federal, state or municipal governments imposing more stringent regulations and requirements to control the growth and development of data centers in their communities. New builds and further expansion of data center operations in such markets are increasingly being evaluated and approvals, if required, may only be granted where we are not only able to demonstrate that our operations are efficient in their use of energy and water but also that they have and/or will bring positive and significant environmental, economic and social impact to their local community.</w:t>
      </w:r>
    </w:p>
    <w:p>
      <w:pPr>
        <w:spacing w:after="0" w:line="12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have service level commitments to substantially all of our data center customers, and interruptions, equipment damage or staffing challenges could impair our ability to meet these obligations and lead to potential claims. Because our data centers are critical to many customers’ operations, such failures could result in lost profits or other consequential damages and diminish customer confidence, impacting our ability to retain and attract business. Additionally, we rely on third-party providers for internet, telecommunications and utilities, and any failure by these providers could adversely affect our business, financial condition and results of operations.</w:t>
      </w:r>
    </w:p>
    <w:p>
      <w:pPr>
        <w:spacing w:after="0" w:line="209" w:lineRule="exact"/>
        <w:rPr>
          <w:sz w:val="20"/>
          <w:szCs w:val="20"/>
          <w:color w:val="auto"/>
        </w:rPr>
      </w:pPr>
    </w:p>
    <w:p>
      <w:pPr>
        <w:ind w:right="6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rights to the land under our towers and buildings in which our data centers are located, it could adversely affect our business and operating results.</w:t>
      </w:r>
    </w:p>
    <w:p>
      <w:pPr>
        <w:spacing w:after="0" w:line="8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Our real property interests relating to our towers consist primarily of leasehold and sub-leasehold interests, fee interests, easements, licenses and rights-of-way. A loss of these interests at a particular tower site may interfere with our ability to operate that tower site and generate revenues. For various reasons, we may not always have the ability to access, analyze and verify all information regarding titles and other issues prior to completing an acquisition of communications sites, which can affect our rights to access and operate a site. From time to time, we also experience disputes with landowners regarding the terms of easements or ground agreements for land under towers, which can affect our ability to access and operate tower sites. Further, for various reasons, landowners may not want to renew their ground agreements with us, they may lose their rights to the land, or they may transfer their land interests to third parties, including ground lease aggregators, which could affect our ability to renew ground agreements on commercially viable terms. A significant number of the communications sites in our portfolio are located on land we lease pursuant to long-term operating leases. Further, for various reasons, title to property interests in some of the foreign jurisdictions in which we operate may not be as certain as title to our property interests in the United States. Our inability to protect our rights to the land under our towers may have a material adverse effect on our business, results of operations or financial condition.</w:t>
      </w:r>
    </w:p>
    <w:p>
      <w:pPr>
        <w:spacing w:after="0" w:line="31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We do not own the buildings for all of our data centers and our business could be harmed if we are unable to renew the leases for these data centers at favorable terms or at all, though we generally have the right to extend the terms of our leases when the primary terms of the leases expire. Failure to increase operating revenues to sufficiently offset any potential increase in lease costs, including as a result of the current inflationary environment, would adversely impact our operating income. We could also lose customers due to the disruptions in their operations caused by our inability to renew our data center leases.</w:t>
      </w:r>
    </w:p>
    <w:p>
      <w:pPr>
        <w:spacing w:after="0" w:line="87" w:lineRule="exact"/>
        <w:rPr>
          <w:sz w:val="20"/>
          <w:szCs w:val="20"/>
          <w:color w:val="auto"/>
        </w:rPr>
      </w:pPr>
    </w:p>
    <w:p>
      <w:pPr>
        <w:spacing w:after="0" w:line="332" w:lineRule="auto"/>
        <w:rPr>
          <w:sz w:val="20"/>
          <w:szCs w:val="20"/>
          <w:color w:val="auto"/>
        </w:rPr>
      </w:pPr>
      <w:r>
        <w:rPr>
          <w:rFonts w:ascii="Times New Roman" w:cs="Times New Roman" w:eastAsia="Times New Roman" w:hAnsi="Times New Roman"/>
          <w:sz w:val="16"/>
          <w:szCs w:val="16"/>
          <w:color w:val="auto"/>
        </w:rPr>
        <w:t>Additionally, we rely on our landlords for basic maintenance of our leased data centers. If such landlords have not maintained our leased properties sufficiently, we may be forced into an early exit from one or more of these data centers, which could be disruptive to our business or cause us to incur additional costs.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effective data governance, and failures in our data governance frameworks could adversely affect our operations.</w:t>
      </w:r>
    </w:p>
    <w:p>
      <w:pPr>
        <w:spacing w:after="0" w:line="140"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color w:val="auto"/>
        </w:rPr>
        <w:t>Our business depends on our ability to appropriately collect, manage, integrate and use data across our operations. We maintain data governance policies, steering committees and standards and controls designed to promote data quality and appropriate use. However, these frameworks may not operate as intended or keep pace with changes in our business, technology or regulatory environment. Insufficient controls over data access and usage (such as role-based entitlements, segregation of duties and monitoring) increase the likelihood of the perpetration of fraud, unauthorized changes to site inventories or records, data leakage involving sensitive customer, landlord or vendor information and operational disruptions to provisioning, energy management and service-level</w:t>
      </w:r>
    </w:p>
    <w:p>
      <w:pPr>
        <w:spacing w:after="0" w:line="1" w:lineRule="exact"/>
        <w:rPr>
          <w:sz w:val="20"/>
          <w:szCs w:val="20"/>
          <w:color w:val="auto"/>
        </w:rPr>
      </w:pPr>
    </w:p>
    <w:p>
      <w:pPr>
        <w:ind w:right="240"/>
        <w:spacing w:after="0" w:line="218" w:lineRule="exact"/>
        <w:rPr>
          <w:sz w:val="20"/>
          <w:szCs w:val="20"/>
          <w:color w:val="auto"/>
        </w:rPr>
      </w:pPr>
      <w:r>
        <w:rPr>
          <w:rFonts w:ascii="Times New Roman" w:cs="Times New Roman" w:eastAsia="Times New Roman" w:hAnsi="Times New Roman"/>
          <w:sz w:val="16"/>
          <w:szCs w:val="16"/>
          <w:color w:val="auto"/>
        </w:rPr>
        <w:t>performance. Any material failure in these areas could negatively impact customers, drive delays and increase operating costs. Additionally, we utilize AI technologies that rely on access to and use of significant amounts of data, which in some cases include sensitive information. Inadequate safeguards over AI training data and model inputs or outputs could result in misuse of such data, algorithmic bias or violations of applicable privacy and data protection requirements. Moreover, errors or limitations in AI systems may unintentionally expose sensitive information, which could subject us to regulatory action, contractual claims or reputational harm. Failures or deficiencies in our data governance practices could result in inaccurate or inconsistent data, impaired decision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making, operational disruptions, regulatory noncompliance or reputational harm, which could adversely affect our business.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transformation initiatives we undertake may not deliver the results we expect.</w:t>
      </w:r>
    </w:p>
    <w:p>
      <w:pPr>
        <w:spacing w:after="0" w:line="140"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8"/>
          <w:szCs w:val="18"/>
          <w:color w:val="auto"/>
        </w:rPr>
        <w:t>We continue to seek to drive organizational improvement through a variety of actions, including operational and digital transformation, integration activities, strategic initiatives and business and operating model assessments. These initiatives can be time-consuming, disruptive to operations, and costly in the short-term. Successfully implementing these and other initiatives throughout our operations is critical to our future competitiveness and our ability to achieve long-term profitability. However, we cannot be certain that these initiatives will be successful in creating profit margins sufficient to sustain our current operating structure and business. Additionally, our future success depends upon our ability to recruit and retain the services of, among others, personnel with IT, data centers and telecommunications-related skills. There may be competition in attracting qualified personnel, and we may experience difficulty retaining and motivating existing employees and attracting qualified personnel to fill key positions.</w:t>
      </w:r>
    </w:p>
    <w:p>
      <w:pPr>
        <w:spacing w:after="0" w:line="21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expansion initiatives involve a number of risks and uncertainties that could adversely affect our operating results, disrupt our operations or expose us to additional risk.</w:t>
      </w:r>
    </w:p>
    <w:p>
      <w:pPr>
        <w:spacing w:after="0" w:line="10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During the course of acquiring or building communications sites and other communications infrastructure assets, including data center facilities and related assets, in our existing markets and expansion into new markets, we are subject to a number of risks and uncertainties, including not meeting our return on investment criteria and financial objectives, increased costs, assumed liabilities and the diversion of managerial attention. Achieving the benefits of acquisition and platform expansion initiatives depends in part on timely and efficient integration of operations, data centers and telecommunications infrastructure assets and personnel. Integration may be difficult and unpredictable for many reasons, including, among other things, increased construction costs or supply chain disruptions, portfolios without requisite permits, differing systems, cultural differences, conflicting policies, procedures and operations or with incomplete information.</w:t>
      </w:r>
    </w:p>
    <w:p>
      <w:pPr>
        <w:spacing w:after="0" w:line="11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Significant acquisition-related integration costs, including certain nonrecurring charges such as costs associated with onboarding employees, integrating information technology systems, acquiring permits and visiting, inspecting, engineering and upgrading tower sites or other communications infrastructure assets, could materially and adversely affect our results of operations in the period in which such charges are recorded or our cash flow in the period in which any related costs are actually paid. Some of our acquired portfolios have included sites that do not meet our structural specifications, including sites that may be overburdened. In these cases, beyond additional capital expenditures, general liability risks associated with such portfolios will exist until such time as those portfolios are upgraded or otherwise remedied. In addition, integration may significantly burden management and internal resources, including through the potential loss or unavailability of key personnel.</w:t>
      </w:r>
    </w:p>
    <w:p>
      <w:pPr>
        <w:spacing w:after="0" w:line="12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Moreover, we may fail to successfully integrate the assets we acquire or fail to utilize such assets to their full capacity. If we are not able to meet these integration challenges, we may not realize the benefits we expect from our acquired portfolios and businesses, and our business, financial condition and results of operations will be adversely affected. Post-integration, certain operational complexities may remain into the mid- or long-term arising from the acquisition of assets from different sellers until they can be renegotiated, such as the requirement to manage multiple master lease agreements with differing terms with a single client.</w:t>
      </w:r>
    </w:p>
    <w:p>
      <w:pPr>
        <w:spacing w:after="0" w:line="12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a result of our acquisitions, we have a substantial amount of intangible assets and goodwill. In accordance with accounting principles generally accepted in the United States (“GAAP”), we are required to assess our goodwill and other intangible assets annually or more frequently in the event of circumstances indicating potential impairment to determine if they are impaired. If, as a result of the factors noted above, the testing performed indicates that an asset may not be recoverable or the carrying value exceeds the fair value, we would be required to record a non-cash impairment charge in the period the determination is made.</w:t>
      </w:r>
    </w:p>
    <w:p>
      <w:pPr>
        <w:spacing w:after="0" w:line="20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towers, data centers, other telecommunications assets or computer systems may be affected by natural disasters (including as a result of climate change), public perception of health risks and other unforeseen events for which our insurance may not provide adequate coverage or result in increased insurance premiums.</w:t>
      </w:r>
    </w:p>
    <w:p>
      <w:pPr>
        <w:spacing w:after="0" w:line="9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Our towers, data centers, other telecommunications assets and computer systems are subject to risks associated with natural disasters, such as hurricanes, ice and windstorms, tornadoes, floods, earthquakes and wildfires, as well as other unforeseen events, such as the potential adverse effects of pandemics and acts of terrorism. During the past several years, we have seen an increase in severe weather events and expect this trend to continue due to climate change. Additionally, certain natural disasters or unforeseen events could lead to supply chain delays or shortages, which could impact our operational and financial performance. Moreover, rising incidents of theft, vandalism and fiber cuts targeting our assets could disrupt service and increase costs that we may not be able to fully insure or pass on to customers, which could lead to reputational harm and impact our financial performance. Further, environmental liabilities, such as contamination, asbestos-containing building materials, lead or lead-based paint and mold or other air quality issues at some of our data centers, could arise and have a material adverse effect on our financial condition and performance.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While we maintain insurance coverage for certain natural disasters, we may not have adequate insurance to cover the associated costs of repair or reconstruction of sites or other telecommunications assets for a major future event, lost revenue, including from new customers that could have been added to our towers, data centers or other telecommunications assets but for the event, or other costs to remediate the impact of a significant event, such as wildfire damage caused by our towers. Further, we may be liable for damage caused by towers that collapse for any number of reasons including structural deficiencies, which could harm our reputation and require us to incur costs for which we may not have adequate insurance coverage.</w:t>
      </w:r>
    </w:p>
    <w:p>
      <w:pPr>
        <w:spacing w:after="0" w:line="12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Any damage or destruction to, or inability to access, our towers, data centers, other telecommunications assets or computer systems may cause supply chain delays or impact our ability to operate our business or provide services to our customers and lead to customer loss, which could have a material adverse effect on our business, results of operations or financial condition. Additionally, our communications sites could be subject to attacks instigated by claims that the deployment of 5G or similar networks is linked to adverse health effects.</w:t>
      </w:r>
    </w:p>
    <w:p>
      <w:pPr>
        <w:spacing w:after="0" w:line="10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Additionally, we must safeguard our customers’ infrastructure and equipment located in our data centers and ensure our data centers remain operational at all times. Problems at one or more of our data centers, whether or not within our control, could result in service interruptions or significant infrastructure or equipment damage. These could result from numerous factors, including limited power availability and grid distribution constraints due to high demand, human error, equipment failure, physical, electronic and cybersecurity breaches, fire, earthquake, hurricane, flood, tornado and other natural disasters, extreme temperatures, water damage, fiber cuts, power loss, terrorist acts, sabotage and vandalism, global pandemics or health emergencies and failure of business partners.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Negative public perception or regulations regarding perceived health risks from wireless technologies, including 5G, could slow wireless industry growth and adversely affect our business. Any finding or campaign suggesting radio frequency emissions pose health risks could harm customer relationships, reduce market acceptance and materially impact our operations and financial condition.</w:t>
      </w:r>
    </w:p>
    <w:p>
      <w:pPr>
        <w:spacing w:after="0" w:line="203"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we are unable or choose not to exercise our rights to purchase towers that are subject to lease and sublease agreements at the end of the applicable period, our cash flows derived from those towers will be eliminated.</w:t>
      </w:r>
    </w:p>
    <w:p>
      <w:pPr>
        <w:spacing w:after="0" w:line="10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Our communications real estate portfolio includes towers that we operate pursuant to lease and sublease agreements that include a purchase option at the end of the lease period. We may not have the required available capital to exercise our right to purchase the towers at the end of the applicable period, or we may choose, for business or other reasons, not to do so. If we do not exercise these purchase rights, and are unable to extend the lease or sublease or otherwise acquire an interest that would allow us to continue to operate these towers after the applicable period, we will lose the cash flows derived from the towers.</w:t>
      </w:r>
    </w:p>
    <w:p>
      <w:pPr>
        <w:spacing w:after="0" w:line="111"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8"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6"/>
          <w:szCs w:val="16"/>
          <w:b w:val="1"/>
          <w:bCs w:val="1"/>
          <w:color w:val="auto"/>
        </w:rPr>
        <w:t>CYBERSECURITY</w:t>
      </w:r>
    </w:p>
    <w:p>
      <w:pPr>
        <w:spacing w:after="0" w:line="9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part of our enterprise risk management, we maintain a comprehensive cybersecurity program that proactively monitors, assesses, identifies, mitigates and responds to cybersecurity threats, including threats relating to disruption of business operations or financial reporting systems, intellectual property theft, fraud, extortion, harm to employees or customers, violation of privacy laws and other litigation and legal and reputational risks, and that emphasizes governance and compliance. Our cybersecurity program and related cybersecurity policies are reviewed annually.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53"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Our cybersecurity program is overseen by the independent Audit Committee of our Board. Our Chief Information Security Officer (“CISO”) presents a quarterly report of cybersecurity updates to the Audit Committee. Each quarter, the Board receives a report from the Audit Committee chair on items covered during that quarter’s meeting. In 2025, the topics included, among other items, our focus on cybersecurity resilience, new cybersecurity initiatives, third-party risk and our approach to responsible use of artificial intelligence. Our Board's and Audit Committee’s inputs are key components in the development of our long-term cybersecurity strategy, aligning the program’s goals within our risk tolerance. Our Board is responsible for the oversight of our AI strategy and the Audit Committee has oversight over AI-related risk exposure and receives regular AI updates from management. Our Board, Audit Committee and management have overseen the development and launch of our AI governance program.</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a periodic cybersecurity risk assessment is completed with an external third party to provide us with a more complete view of our cybersecurity risk. We retain a prominent cybersecurity consulting firm to assist with, and advise on, our cybersecurity and incident response program. We engage on a quarterly basis with our internal auditors on matters regarding cybersecurity and maintain a robust control environment, in compliance with the Sarbanes-Oxley Act of 2002, as amended, that includes controls to protect the confidentiality, integrity and availability our data.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14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along with CoreSite, our data centers operations subsidiary, each maintain a management information security steering committee. We maintain two steering committees because of the distinct nature of CoreSite’s business. Each committee works in collaboration with the other, including through the overlap of certain key steering committee members. Each committee meets quarterly. These committees provide direction and support for our and CoreSite’s security initiatives and review operational metrics.</w:t>
      </w:r>
    </w:p>
    <w:p>
      <w:pPr>
        <w:spacing w:after="0" w:line="11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steering committee includes our CISO, our Chief Information Officer, our Senior Vice President and Chief Security Officer, our Senior Vice President, Internal Audit, our Vice President, Corporate Legal, CoreSite’s Senior Vice President of IT &amp; Digitization and CoreSite’s Vice President of Information Security and IT Infrastructure. Our CISO has held information security and IT leadership positions across large organizations for nine years, which included overseeing governance and compliance programs. Our Chief Information Officer has held IT leadership positions across large, multi-national companies for nearly three decades, where he has overseen cybersecurity programs. Our Chief Security Officer heads our converged physical and information security team and has over 25 years of experience in the corporate security, crisis management, and security consulting industries, including as head of global security for a major mining company and through leadership positions in several international risk consultancies. Our Senior Vice President, Internal Audit, has over 30 years of international finance leadership experience and heads our Internal Audit function, including the evaluation of risk and vulnerabilities for both physical and system assets and the testing of related controls. Our Vice President, Corporate Legal also serves as our lead Privacy Officer and is a lawyer who has led our privacy program since its inception. CoreSite’s Senior Vice President of IT &amp; Digitization has led CoreSite’s IT function for over 5 years, including having responsibility for securing the business’s cybersecurity environment. CoreSite’s Vice President of Information Security and IT Infrastructure has over 25 years of experience building secure IT solutions across large network and data center environments and has been responsible for the day-to-day operation of CoreSite’s business-critical IT environment since 2015.</w:t>
      </w:r>
    </w:p>
    <w:p>
      <w:pPr>
        <w:spacing w:after="0" w:line="12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CoreSite’s steering committee includes CoreSite’s Chief Executive Officer, its Chief Accounting Officer, its Chief Revenue Officer, its Senior Vice President of IT &amp; Digitization, its Vice President of Legal, its Senior Vice President of Development &amp; Product Engineering, its Senior Vice President of Data Center Operations, its Senior Vice President of Human Resources, its Senior Vice President of Finance &amp; Corporate Development, its Vice President of Information Security and IT Infrastructure, its Director of Compliance &amp; Internal Controls, and American Tower’s CISO. Each of CoreSite’s steering committee members has been chosen based on their understanding of, and participation in, maintaining the rigorous control environment necessary to achieve the list of certifications detailed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maintain an insurance policy to cover cybersecurity incidents.</w:t>
      </w:r>
    </w:p>
    <w:p>
      <w:pPr>
        <w:spacing w:after="0" w:line="14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6"/>
          <w:szCs w:val="16"/>
          <w:color w:val="auto"/>
        </w:rPr>
        <w:t>CoreSite maintains several certifications related to cybersecurity processes for nearly all of its data center facilities, including: (i) System and Organization Controls (SOC) 1 Type 2 examination; (ii) SOC 2 Type 2 examination; (iii) International Organization for Standardization (ISO/IEC 27001); (iv) National Institute of Standards and Technology Publication Series 800-53 (NIST 800-53) attestation based on the high-impact baseline controls and additional Federal Risk and Authorization Management Program (FedRAMP) requirements for a subset of control families applicable to colocation services; (v) Payment Card Industry Data Security Standard (PCI DSS) validation; and (vi) Health Insurance Portability and Accountability Act (HIPAA) attestation for the HIPAA Security Rule and the Health Information Technology for Economic and Clinical Health Act (HITECH) Breach Notification requirements.</w:t>
      </w:r>
    </w:p>
    <w:p>
      <w:pPr>
        <w:spacing w:after="0" w:line="8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cybersecurity awareness program provides training for all global employees at onboarding and subsequently three times every year. In 2025, across our organization, employees completed over 16,000 training classes related to cybersecurity and responsible AI use. Additionally, in 2025, to elevate cybersecurity awareness, we also conducted live trainings as part of our Employee Development program, sent monthly phishing tips to all employees and provided weekly communications during October, which is cybersecurity awareness month.</w:t>
      </w:r>
    </w:p>
    <w:p>
      <w:pPr>
        <w:spacing w:after="0" w:line="10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Operationally, we, along with CoreSite, each perform periodic penetration testing to identify weaknesses in systems and networks so that they can be addressed appropriately. At least once every other year, we also engage an outside cybersecurity firm to perform independent testing or a risk assessment. Our vulnerability management program is in place to adequately identify, classify, prioritize and remediate vulnerabilities affecting assets. Our security operations program monitors our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systems and networks, and is responsible for investigating, responding to, and reporting any potential security incidents in a timely manner. Our Incident Response Plan includes steps to determine materiality of any such incident and escalate matters to the Board and our employees are regularly trained on the plan. We conduct an incident response exercise at least annually to ensure a timely, consistent and compliant response. In 2025, we performed a cybersecurity-focused tabletop exercise which simulated multiple types of cybersecurity incidents, including (a) compromised credentials, (b) brute force attack, (c) uncleaned malware and (d) ransomware to validate and update our internal processes. This tabletop exercise was facilitated by a third-party.</w:t>
      </w:r>
    </w:p>
    <w:p>
      <w:pPr>
        <w:spacing w:after="0" w:line="115" w:lineRule="exact"/>
        <w:rPr>
          <w:sz w:val="20"/>
          <w:szCs w:val="20"/>
          <w:color w:val="auto"/>
        </w:rPr>
      </w:pPr>
    </w:p>
    <w:p>
      <w:pPr>
        <w:jc w:val="both"/>
        <w:ind w:right="260"/>
        <w:spacing w:after="0" w:line="256" w:lineRule="auto"/>
        <w:rPr>
          <w:sz w:val="20"/>
          <w:szCs w:val="20"/>
          <w:color w:val="auto"/>
        </w:rPr>
      </w:pPr>
      <w:r>
        <w:rPr>
          <w:rFonts w:ascii="Times New Roman" w:cs="Times New Roman" w:eastAsia="Times New Roman" w:hAnsi="Times New Roman"/>
          <w:sz w:val="18"/>
          <w:szCs w:val="18"/>
          <w:color w:val="auto"/>
        </w:rPr>
        <w:t>Our cybersecurity risk management processes extend to the oversight and identification of threats associated with our use of third-party vendors and service providers. We have in place a Third-Party Cybersecurity Risk Management program to assess the cybersecurity practices of third-party vendors and service providers with access to our and CoreSite’s systems or information.</w:t>
      </w:r>
    </w:p>
    <w:p>
      <w:pPr>
        <w:spacing w:after="0" w:line="115" w:lineRule="exact"/>
        <w:rPr>
          <w:sz w:val="20"/>
          <w:szCs w:val="20"/>
          <w:color w:val="auto"/>
        </w:rPr>
      </w:pPr>
    </w:p>
    <w:p>
      <w:pPr>
        <w:jc w:val="both"/>
        <w:ind w:right="120"/>
        <w:spacing w:after="0" w:line="217" w:lineRule="exact"/>
        <w:rPr>
          <w:sz w:val="20"/>
          <w:szCs w:val="20"/>
          <w:color w:val="auto"/>
        </w:rPr>
      </w:pPr>
      <w:r>
        <w:rPr>
          <w:rFonts w:ascii="Times New Roman" w:cs="Times New Roman" w:eastAsia="Times New Roman" w:hAnsi="Times New Roman"/>
          <w:sz w:val="18"/>
          <w:szCs w:val="18"/>
          <w:color w:val="auto"/>
        </w:rPr>
        <w:t>At the core of our AI governance program is our Global Artificial Intelligence Use and Development Policy, launched in 2025, which establishes the benefits, restrictions and preconditions for AI use and empowers a permanent,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functional AI steering committee to review and approve AI use cases, implement mandatory employee training and ensure that AI is used responsibly and with a balanced assessment of risks and benefits.</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been materially impacted by any cybersecurity threats or prior cybersecurity incidents, including with respect to our business strategy, results of operations or financial condition. However, we cannot provide assurance that we will not be materially affected in the future by such risks, threats or any future material incidents. See “Risk Factors” in Item 1A of this Annual Report on Form 10-K for more information on our cybersecurity-related risks.</w:t>
      </w:r>
    </w:p>
    <w:p>
      <w:pPr>
        <w:spacing w:after="0" w:line="139"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4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As of December 31, 2025, we owned and operated a portfolio of 149,686 communications sites, including 862 DAS networks. See the table in Item 7 of this Annual Report, under the caption “Management’s Discussion and Analysis of Financial Condition and Results of Operations—Executive Overview” for more detailed information on the geographic locations of our communications sites. In addition, we own property interests that we lease to communications service providers and third-party tower operators in Canada and the United States, which are included in our U.S. &amp; Canada property segment, and also own and operate data center facilities and related assets in the United States, which are included in our Data Centers segment.</w:t>
      </w:r>
    </w:p>
    <w:p>
      <w:pPr>
        <w:spacing w:after="0" w:line="108"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18"/>
          <w:szCs w:val="18"/>
          <w:color w:val="auto"/>
        </w:rPr>
        <w:t>Our interests in our communications sites consist of a variety of ownership interests, including leases created by long-term ground lease agreements, easements, licenses or rights-of-way granted by government entities.</w:t>
      </w:r>
    </w:p>
    <w:p>
      <w:pPr>
        <w:spacing w:after="0" w:line="10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 typical tower site consists of a compound enclosing the tower site, a tower structure and, in some cases, one or more equipment shelters that house a variety of transmitting, receiving and switching equipment. In addition, many of our international sites typically include power generators and batteries, which are often used for primary power in lieu of an electric grid connection in select markets. The principal types of our towers are guyed, self-supporting lattice and monopole, and rooftop towers in our international markets.</w:t>
      </w:r>
    </w:p>
    <w:p>
      <w:pPr>
        <w:spacing w:after="0" w:line="119" w:lineRule="exact"/>
        <w:rPr>
          <w:sz w:val="20"/>
          <w:szCs w:val="20"/>
          <w:color w:val="auto"/>
        </w:rPr>
      </w:pPr>
    </w:p>
    <w:p>
      <w:pPr>
        <w:ind w:left="640" w:right="320" w:hanging="318"/>
        <w:spacing w:after="0" w:line="25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guyed tower includes a series of cables attaching separate levels of the tower to anchor foundations in the ground and can reach heights of up to 2,000 feet. A typical guyed broadcast tower can be located on a tract of land of up to 20 acres.</w:t>
      </w:r>
    </w:p>
    <w:p>
      <w:pPr>
        <w:spacing w:after="0" w:line="1" w:lineRule="exact"/>
        <w:rPr>
          <w:rFonts w:ascii="Times New Roman" w:cs="Times New Roman" w:eastAsia="Times New Roman" w:hAnsi="Times New Roman"/>
          <w:sz w:val="18"/>
          <w:szCs w:val="18"/>
          <w:color w:val="auto"/>
        </w:rPr>
      </w:pPr>
    </w:p>
    <w:p>
      <w:pPr>
        <w:jc w:val="both"/>
        <w:ind w:left="640" w:right="100" w:hanging="318"/>
        <w:spacing w:after="0" w:line="24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self-supporting lattice tower typically tapers from the bottom up and usually has three or four legs. A lattice tower can reach heights of up to 1,000 feet, although most lattice structures are between 200 and 400 feet. Depending on the height of the tower, a lattice tower site can be located on a tract of land of 10,000 square feet for a rural site or fewer than 2,500 square feet for a metropolitan site.</w:t>
      </w:r>
    </w:p>
    <w:p>
      <w:pPr>
        <w:spacing w:after="0" w:line="1" w:lineRule="exact"/>
        <w:rPr>
          <w:rFonts w:ascii="Times New Roman" w:cs="Times New Roman" w:eastAsia="Times New Roman" w:hAnsi="Times New Roman"/>
          <w:sz w:val="18"/>
          <w:szCs w:val="18"/>
          <w:color w:val="auto"/>
        </w:rPr>
      </w:pPr>
    </w:p>
    <w:p>
      <w:pPr>
        <w:ind w:left="640" w:right="160" w:hanging="318"/>
        <w:spacing w:after="0" w:line="24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monopole tower is a tubular structure that is used primarily to address space constraints or aesthetic concerns. Monopoles typically have heights ranging from 50 to 200 feet. A monopole tower site used in metropolitan areas for a typical wireless communications tower can be located on a tract of land of fewer than 2,500 square feet.</w:t>
      </w:r>
    </w:p>
    <w:p>
      <w:pPr>
        <w:spacing w:after="0" w:line="1" w:lineRule="exact"/>
        <w:rPr>
          <w:rFonts w:ascii="Times New Roman" w:cs="Times New Roman" w:eastAsia="Times New Roman" w:hAnsi="Times New Roman"/>
          <w:sz w:val="18"/>
          <w:szCs w:val="18"/>
          <w:color w:val="auto"/>
        </w:rPr>
      </w:pPr>
    </w:p>
    <w:p>
      <w:pPr>
        <w:ind w:left="640" w:right="260" w:hanging="318"/>
        <w:spacing w:after="0" w:line="24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Rooftop towers are primarily used in metropolitan areas in our Africa &amp; APAC, Europe and Latin America markets, where locations for traditional tower structures are unavailable. Rooftop towers typically have heights ranging from 10 to 100 feet.</w:t>
      </w:r>
    </w:p>
    <w:p>
      <w:pPr>
        <w:spacing w:after="0" w:line="1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U.S. &amp; Canada Property Segment Encumbered Sites</w:t>
      </w:r>
      <w:r>
        <w:rPr>
          <w:rFonts w:ascii="Times New Roman" w:cs="Times New Roman" w:eastAsia="Times New Roman" w:hAnsi="Times New Roman"/>
          <w:sz w:val="18"/>
          <w:szCs w:val="18"/>
          <w:color w:val="auto"/>
        </w:rPr>
        <w:t>. As of December 31, 2025, the loan underlying the securitization transactions completed in March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March 2023 (the “2018 Securitization” and the “2023 Securitization”, respectively, and together, the “Trust Securitization”) is secured by mortgages, deeds of trust and deeds to secure the loan on substantially all of the 5,023 broadcast and wireless communications towers and related assets owned by the borrowers (the “Trust Sites”).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encumbered sites in our Africa &amp; APAC, Europe or Latin America property segments or in our Data Centers segment.</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Ground Leases. </w:t>
      </w:r>
      <w:r>
        <w:rPr>
          <w:rFonts w:ascii="Times New Roman" w:cs="Times New Roman" w:eastAsia="Times New Roman" w:hAnsi="Times New Roman"/>
          <w:sz w:val="18"/>
          <w:szCs w:val="18"/>
          <w:color w:val="auto"/>
        </w:rPr>
        <w:t>Of the 148,824 towers in our portfolio as of December 31, 2025, approximately 80% were located on land we lease. Typically, we seek to 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ground leases, which have initial terms of approximately five to ten years with one or more automatic or exercisable renewal periods. As a result, 56% of the ground leases for our sites have a final expiration date of 2035 and beyond.</w:t>
      </w:r>
    </w:p>
    <w:p>
      <w:pPr>
        <w:spacing w:after="0" w:line="149" w:lineRule="exact"/>
        <w:rPr>
          <w:sz w:val="20"/>
          <w:szCs w:val="20"/>
          <w:color w:val="auto"/>
        </w:rPr>
      </w:pPr>
    </w:p>
    <w:p>
      <w:pPr>
        <w:ind w:right="920"/>
        <w:spacing w:after="0" w:line="335" w:lineRule="auto"/>
        <w:rPr>
          <w:sz w:val="20"/>
          <w:szCs w:val="20"/>
          <w:color w:val="auto"/>
        </w:rPr>
      </w:pPr>
      <w:r>
        <w:rPr>
          <w:rFonts w:ascii="Times New Roman" w:cs="Times New Roman" w:eastAsia="Times New Roman" w:hAnsi="Times New Roman"/>
          <w:sz w:val="16"/>
          <w:szCs w:val="16"/>
          <w:i w:val="1"/>
          <w:iCs w:val="1"/>
          <w:color w:val="auto"/>
        </w:rPr>
        <w:t>Customers</w:t>
      </w:r>
      <w:r>
        <w:rPr>
          <w:rFonts w:ascii="Times New Roman" w:cs="Times New Roman" w:eastAsia="Times New Roman" w:hAnsi="Times New Roman"/>
          <w:sz w:val="16"/>
          <w:szCs w:val="16"/>
          <w:color w:val="auto"/>
        </w:rPr>
        <w:t>. Our customers are primarily wireless service providers, broadcasters and other companies in a variety of industries.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2025, our top four customers by total revenue were T-Mobile (18%), AT&amp;T (17%), Verizon Wireless (14%) and Telefónica (10%).</w:t>
      </w:r>
    </w:p>
    <w:p>
      <w:pPr>
        <w:spacing w:after="0" w:line="81"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8"/>
          <w:szCs w:val="18"/>
          <w:color w:val="auto"/>
        </w:rPr>
        <w:t>Across most of our markets, our tenant leases for our communications sites with wireless carriers have initial non-cancellable terms of five to ten years with multiple renewal terms. As a result, approximately 48% of our current tenant leases have a renewal date of 2031 or beyond.</w:t>
      </w:r>
    </w:p>
    <w:p>
      <w:pPr>
        <w:spacing w:after="0" w:line="127"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Data Centers. </w:t>
      </w:r>
      <w:r>
        <w:rPr>
          <w:rFonts w:ascii="Times New Roman" w:cs="Times New Roman" w:eastAsia="Times New Roman" w:hAnsi="Times New Roman"/>
          <w:sz w:val="18"/>
          <w:szCs w:val="18"/>
          <w:color w:val="auto"/>
        </w:rPr>
        <w:t>We own and operate data center facilities and related assets, and as of December 31, 2025, our data center portfolio consisted of 30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center facilities across eleven United States markets, across 3.7 million net rentable square feet (“NRSF”).</w:t>
      </w:r>
    </w:p>
    <w:p>
      <w:pPr>
        <w:spacing w:after="0" w:line="13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Offices. </w:t>
      </w:r>
      <w:r>
        <w:rPr>
          <w:rFonts w:ascii="Times New Roman" w:cs="Times New Roman" w:eastAsia="Times New Roman" w:hAnsi="Times New Roman"/>
          <w:sz w:val="18"/>
          <w:szCs w:val="18"/>
          <w:color w:val="auto"/>
        </w:rPr>
        <w:t>Our principal corporate headquarters is leased and located in Boston, Massachusetts, where we currently lease approximately 61,000 square feet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space. We also own or have entered into long-term leases for the majority of our facilities in international and regional locations for the management and operation of our property and services businesses, including offices in each of our U.S. &amp; Canada, Africa &amp; APAC, Europe, Latin America and Data Centers segments. Our international headquarters is leased and located in Amsterdam, Netherlands. We believe that our owned and leased facilities are suitable and adequate to meet our anticipated needs.</w:t>
      </w:r>
    </w:p>
    <w:p>
      <w:pPr>
        <w:spacing w:after="0" w:line="248"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3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periodically become involved in various claims and lawsuits that are incidental to our business. While our management, after consultation with counsel, currently believes the ultimate outcome of these legal proceedings, individually and in the aggregate, will not have a material adverse impact on our consolidated financial position, results of operations or liquidity, litigation is subject to inherent uncertainties. Were an unfavorable ruling to occur, there exists the possibility of a material adverse impact on our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AT&amp;T Mexico Dispute</w:t>
      </w:r>
    </w:p>
    <w:p>
      <w:pPr>
        <w:spacing w:after="0" w:line="13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We are currently engaged in an Arbitration with AT&amp;T Mexico. AT&amp;T Mexico, which represented approximately $300 million of tenant revenue in 2025, is challenging the calculation of the monthly lease amount established under the MLA, as well as certain other provisions of the MLA, seeking rent abatement both retroactively and prospectively, and had been withholding tower rents since the start of 2025. We incurred approximately $30 million of reserves during the year ended December 31, 2025 related to this customer. We expect to record future reserves until the Arbitration is settled. We believe we have meritorious defenses to the claims raised in this Arbitration, are vigorously defending the full enforceability of the MLA and remain confident in the terms and conditions of the MLA. The Arbitration is scheduled for a hearing in August 2026.</w:t>
      </w:r>
    </w:p>
    <w:p>
      <w:pPr>
        <w:spacing w:after="0" w:line="121"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On September 23, 2025, we and AT&amp;T Mexico reached an agreement pursuant to which AT&amp;T Mexico will remit payment of the majority of the withheld tower rents and will resume monthly payments of the majority of its owed tower rents. The remainder of the outstanding receivables and the future monthly tower rent amounts not remitted directly to us will be deposited into an irrevocable escrow account, overseen by an independent trustee, to be released in accordance with a final ruling in the Arbitration or by mutual consent of us and AT&amp;T Mexico.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DISH Dispute</w:t>
      </w:r>
    </w:p>
    <w:p>
      <w:pPr>
        <w:spacing w:after="0" w:line="13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On September 24, 2025, DISH delivered a notice purporting to be excused from its contractual obligations under the SCA. DISH has failed to meet its payment obligations, and as of January 2026 is in default under the SCA. We remain confident that DISH has not been excused from its obligations under the SCA, and that the SCA remains in full force and effect. On October 20, 2025, we filed a complaint in the U.S. District Court for the District of Colorado seeking a declaratory judgment that DISH has not been excused from its obligations under the SCA, that the SCA remains in full force and effect, and that DISH remains required to perform all of its obligations under the SCA. DISH represented approximately 2% and 4% of our total annual property revenue and total annual U.S. &amp; Canada property revenue, respectively, for 2025.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34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43" w:lineRule="exact"/>
        <w:rPr>
          <w:sz w:val="20"/>
          <w:szCs w:val="20"/>
          <w:color w:val="auto"/>
        </w:rPr>
      </w:pPr>
    </w:p>
    <w:p>
      <w:pPr>
        <w:ind w:left="1240" w:right="60" w:hanging="1224"/>
        <w:spacing w:after="0" w:line="232" w:lineRule="auto"/>
        <w:tabs>
          <w:tab w:leader="none" w:pos="12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22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Our common stock is listed on the NYSE under the ticker symbol AMT. As of February 17, 2026, we had 466,084,820 outstanding shares of common stock and 121 holders of record.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38"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As a REIT, we must annually distribute to our stockholders an amount equal to at least 90% of our REIT taxable income (determined before the deduction for distributed earnings and excluding any net capital gain). Generally, we have distributed and expect to continue to distribute all or substantially all of our REIT taxable income after taking into consideration our utilization of net operating losses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NOLs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amount, timing and frequency of future distributions will be at the sole discretion of our Board and will depend upon various factors, a number of which may be beyond our control, including our financial condition and operating cash flows, the amount required to maintain our qualification for taxation as a REIT and reduce any income and excise taxes that we otherwise would be required to pay, limitations on distributions in our existing and future debt and preferred equity instruments, our ability to utilize NOLs to offset our distribution requirements, limitations on our ability to fund distributions using cash generated through our TRSs and other factors that our Board may deem relevant.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49"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i w:val="1"/>
          <w:iCs w:val="1"/>
          <w:color w:val="auto"/>
        </w:rPr>
        <w:t>This performance graph is furnished and shall not be deemed ‘‘filed’’ with the SEC or subject to Section 18 of the Exchange Act, nor shall it be deemed incorporated by reference in any of our filings under the Securities Act of 1933, as amended.</w:t>
      </w:r>
    </w:p>
    <w:p>
      <w:pPr>
        <w:spacing w:after="0" w:line="10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with the cumulative total return of the S&amp;P 500 Index, the Dow Jones U.S. Telecommunications Equipment Index and the FTSE Nareit All Equity REITs Index. The performance graph assumes that on December 31, 2020, $100 was invested in each of our common stock, the S&amp;P 500 Index, the Dow Jones U.S. Telecommunications Equipment Index and the FTSE Nareit All Equity REITs Index. The cumulative return shown in the graph assumes reinvestment of all dividends. The performance of our common stock reflected below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104775</wp:posOffset>
            </wp:positionV>
            <wp:extent cx="4575810" cy="3053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7581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 Total Returns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5"/>
        </w:trPr>
        <w:tc>
          <w:tcPr>
            <w:tcW w:w="5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12/20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12/21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12/22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12/23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12/24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12/25</w:t>
            </w:r>
          </w:p>
        </w:tc>
      </w:tr>
      <w:tr>
        <w:trPr>
          <w:trHeight w:val="22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Tower Corporation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w:t>
            </w:r>
          </w:p>
        </w:tc>
      </w:tr>
      <w:tr>
        <w:trPr>
          <w:trHeight w:val="22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r>
      <w:tr>
        <w:trPr>
          <w:trHeight w:val="22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 Jones U.S. Telecommunications Equipment Index</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235.24</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FTSE Nareit All Equity REITs Index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March 2011, our Board approved a stock repurchase program, pursuant to which we are authorized to repurchase up to $1.5 billion of our common stock (the “2011 Buyback”). In December 2017, our Board approved an additional stock repurchase program, pursuant to which we are authorized to repurchase up to $2.0 billion of our common stock (the “2017 Buyback,” and together with the 2011 Buyback the “Buyback Programs”).</w:t>
      </w:r>
    </w:p>
    <w:p>
      <w:pPr>
        <w:spacing w:after="0" w:line="115" w:lineRule="exact"/>
        <w:rPr>
          <w:sz w:val="20"/>
          <w:szCs w:val="20"/>
          <w:color w:val="auto"/>
        </w:rPr>
      </w:pPr>
    </w:p>
    <w:p>
      <w:pPr>
        <w:ind w:right="260"/>
        <w:spacing w:after="0" w:line="303" w:lineRule="auto"/>
        <w:rPr>
          <w:sz w:val="20"/>
          <w:szCs w:val="20"/>
          <w:color w:val="auto"/>
        </w:rPr>
      </w:pPr>
      <w:r>
        <w:rPr>
          <w:rFonts w:ascii="Times New Roman" w:cs="Times New Roman" w:eastAsia="Times New Roman" w:hAnsi="Times New Roman"/>
          <w:sz w:val="16"/>
          <w:szCs w:val="16"/>
          <w:color w:val="auto"/>
        </w:rPr>
        <w:t>During the three months ended December 31, 2025, we repurchased a total of 2,036,100 shares of our common stock for an aggregate of $364.6 million, including commissions and fees, pursuant to the 2011 Buyback and the 2017 Buyback. As of December 31, 2025, we have no amounts remaining under the 2011 Buyback. The table below sets forth details of our repurchases under the Buyback Programs during the three months ended December 31, 2025.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 Purchased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45"/>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 Paid per Share (2)</w:t>
            </w:r>
          </w:p>
        </w:tc>
        <w:tc>
          <w:tcPr>
            <w:tcW w:w="2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as Part of Publicly Announced</w:t>
            </w:r>
          </w:p>
        </w:tc>
        <w:tc>
          <w:tcPr>
            <w:tcW w:w="100" w:type="dxa"/>
            <w:vAlign w:val="bottom"/>
          </w:tcPr>
          <w:p>
            <w:pPr>
              <w:spacing w:after="0"/>
              <w:rPr>
                <w:sz w:val="12"/>
                <w:szCs w:val="12"/>
                <w:color w:val="auto"/>
              </w:rPr>
            </w:pPr>
          </w:p>
        </w:tc>
        <w:tc>
          <w:tcPr>
            <w:tcW w:w="21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 that May Yet be Purchased</w:t>
            </w:r>
          </w:p>
        </w:tc>
        <w:tc>
          <w:tcPr>
            <w:tcW w:w="0" w:type="dxa"/>
            <w:vAlign w:val="bottom"/>
          </w:tcPr>
          <w:p>
            <w:pPr>
              <w:spacing w:after="0"/>
              <w:rPr>
                <w:sz w:val="1"/>
                <w:szCs w:val="1"/>
                <w:color w:val="auto"/>
              </w:rPr>
            </w:pPr>
          </w:p>
        </w:tc>
      </w:tr>
      <w:tr>
        <w:trPr>
          <w:trHeight w:val="191"/>
        </w:trPr>
        <w:tc>
          <w:tcPr>
            <w:tcW w:w="2240" w:type="dxa"/>
            <w:vAlign w:val="bottom"/>
            <w:gridSpan w:val="2"/>
            <w:vMerge w:val="continue"/>
          </w:tcPr>
          <w:p>
            <w:pPr>
              <w:spacing w:after="0"/>
              <w:rPr>
                <w:sz w:val="16"/>
                <w:szCs w:val="16"/>
                <w:color w:val="auto"/>
              </w:rPr>
            </w:pPr>
          </w:p>
        </w:tc>
        <w:tc>
          <w:tcPr>
            <w:tcW w:w="2160" w:type="dxa"/>
            <w:vAlign w:val="bottom"/>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Under the Plans or Programs (3)</w:t>
            </w:r>
          </w:p>
        </w:tc>
        <w:tc>
          <w:tcPr>
            <w:tcW w:w="0" w:type="dxa"/>
            <w:vAlign w:val="bottom"/>
          </w:tcPr>
          <w:p>
            <w:pPr>
              <w:spacing w:after="0"/>
              <w:rPr>
                <w:sz w:val="1"/>
                <w:szCs w:val="1"/>
                <w:color w:val="auto"/>
              </w:rPr>
            </w:pPr>
          </w:p>
        </w:tc>
      </w:tr>
      <w:tr>
        <w:trPr>
          <w:trHeight w:val="191"/>
        </w:trPr>
        <w:tc>
          <w:tcPr>
            <w:tcW w:w="2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0" w:type="dxa"/>
            <w:vAlign w:val="bottom"/>
          </w:tcPr>
          <w:p>
            <w:pPr>
              <w:spacing w:after="0"/>
              <w:rPr>
                <w:sz w:val="1"/>
                <w:szCs w:val="1"/>
                <w:color w:val="auto"/>
              </w:rPr>
            </w:pPr>
          </w:p>
        </w:tc>
      </w:tr>
      <w:tr>
        <w:trPr>
          <w:trHeight w:val="177"/>
        </w:trPr>
        <w:tc>
          <w:tcPr>
            <w:tcW w:w="224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October 1, 2025 - October 31,</w:t>
            </w: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240,568</w:t>
            </w:r>
          </w:p>
        </w:tc>
        <w:tc>
          <w:tcPr>
            <w:tcW w:w="96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w:t>
            </w:r>
          </w:p>
        </w:tc>
        <w:tc>
          <w:tcPr>
            <w:tcW w:w="0" w:type="dxa"/>
            <w:vAlign w:val="bottom"/>
          </w:tcPr>
          <w:p>
            <w:pPr>
              <w:spacing w:after="0"/>
              <w:rPr>
                <w:sz w:val="1"/>
                <w:szCs w:val="1"/>
                <w:color w:val="auto"/>
              </w:rPr>
            </w:pPr>
          </w:p>
        </w:tc>
      </w:tr>
      <w:tr>
        <w:trPr>
          <w:trHeight w:val="171"/>
        </w:trPr>
        <w:tc>
          <w:tcPr>
            <w:tcW w:w="22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November 1, 2025 -</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30, 2025</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705,989</w:t>
            </w:r>
          </w:p>
        </w:tc>
        <w:tc>
          <w:tcPr>
            <w:tcW w:w="9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December 1, 2025 -</w:t>
            </w: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1,089,543</w:t>
            </w:r>
          </w:p>
        </w:tc>
        <w:tc>
          <w:tcPr>
            <w:tcW w:w="96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100" w:type="dxa"/>
            <w:vAlign w:val="bottom"/>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w:t>
            </w:r>
          </w:p>
        </w:tc>
        <w:tc>
          <w:tcPr>
            <w:tcW w:w="0" w:type="dxa"/>
            <w:vAlign w:val="bottom"/>
          </w:tcPr>
          <w:p>
            <w:pPr>
              <w:spacing w:after="0"/>
              <w:rPr>
                <w:sz w:val="1"/>
                <w:szCs w:val="1"/>
                <w:color w:val="auto"/>
              </w:rPr>
            </w:pPr>
          </w:p>
        </w:tc>
      </w:tr>
      <w:tr>
        <w:trPr>
          <w:trHeight w:val="21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Fourth Quarter</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2,036,100</w:t>
            </w:r>
          </w:p>
        </w:tc>
        <w:tc>
          <w:tcPr>
            <w:tcW w:w="9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2,036,100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40" w:hanging="335"/>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Repurchases made pursuant to the Buyback Programs.</w:t>
      </w:r>
    </w:p>
    <w:p>
      <w:pPr>
        <w:spacing w:after="0" w:line="7" w:lineRule="exact"/>
        <w:rPr>
          <w:rFonts w:ascii="Times New Roman" w:cs="Times New Roman" w:eastAsia="Times New Roman" w:hAnsi="Times New Roman"/>
          <w:sz w:val="14"/>
          <w:szCs w:val="14"/>
          <w:color w:val="auto"/>
        </w:rPr>
      </w:pPr>
    </w:p>
    <w:p>
      <w:pPr>
        <w:ind w:left="340" w:hanging="335"/>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is a weighted average calculation using the aggregate price, excluding commissions and fees.</w:t>
      </w:r>
    </w:p>
    <w:p>
      <w:pPr>
        <w:spacing w:after="0" w:line="1" w:lineRule="exact"/>
        <w:rPr>
          <w:rFonts w:ascii="Times New Roman" w:cs="Times New Roman" w:eastAsia="Times New Roman" w:hAnsi="Times New Roman"/>
          <w:sz w:val="14"/>
          <w:szCs w:val="14"/>
          <w:color w:val="auto"/>
        </w:rPr>
      </w:pPr>
    </w:p>
    <w:p>
      <w:pPr>
        <w:ind w:left="340" w:hanging="335"/>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Remaining under the 2017 Buyback.</w:t>
      </w:r>
    </w:p>
    <w:p>
      <w:pPr>
        <w:spacing w:after="0" w:line="23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Subsequent to December 31, 2025, through February 17, 2026, we repurchased 312,352 shares of our common stock for an aggregate of approximately $53.0 million, including commissions and fees, under the 2017 Buyback.</w:t>
      </w:r>
    </w:p>
    <w:p>
      <w:pPr>
        <w:spacing w:after="0" w:line="10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Through February 17, 2026, we have repurchased a total of 2,253,664 shares of our common stock under the 2017 Buyback for an aggregate of $400.0 million, including commissions and fees. We expect to continue to manage the pacing of the remaining $1.6 billion under the 2017 Buyback in response to general market conditions and other relevant factors. We expect to fund any further repurchases of our common stock through a combination of cash on hand, cash generated by operations and borrowings under our credit facilities. Purchases under the 2017 Buyback are subject to our having available cash to fund repurchases.</w:t>
      </w:r>
    </w:p>
    <w:p>
      <w:pPr>
        <w:spacing w:after="0" w:line="12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Under the 2017 Buyback, our management is authorized to purchase shares from time to time through open market purchases or in privately negotiated transactions not to exceed market prices and subject to market conditions and other factors. With respect to open market purchases, we may use plans adopted in accordance with Rule 10b5-1 under the Exchange Act in accordance with securities laws and other legal requirements, which allows us to repurchase shares during periods when we otherwise might be prevented from doing so under insider trading laws or because of self-imposed trading blackout periods. These programs may be discontinued at any time.</w:t>
      </w:r>
    </w:p>
    <w:p>
      <w:pPr>
        <w:spacing w:after="0" w:line="145"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6"/>
          <w:szCs w:val="16"/>
          <w:color w:val="auto"/>
        </w:rPr>
        <w:t>The discussion and analysis of our financial condition and results of operations that follow are based upon our consolidated financial statements, which have been prepared in accordance with GAAP. The preparation of our financial statements requires us to make estimates and assumptions that affect the reported amounts of assets and liabilities, revenues and expenses, and the related disclosure of contingent assets and liabilities at the date of our financial statements.</w:t>
      </w:r>
    </w:p>
    <w:p>
      <w:pPr>
        <w:spacing w:after="0" w:line="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Actual results may differ from these estimates and such differences could be material to the financial statements. This discussion should be read in conjunction with our consolidated financial statements included in this Annual Report and the accompanying notes, and the information set forth under the caption “Critical Accounting Policies and Estimates” below.</w:t>
      </w:r>
    </w:p>
    <w:p>
      <w:pPr>
        <w:spacing w:after="0" w:line="110"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18"/>
          <w:szCs w:val="18"/>
          <w:color w:val="auto"/>
        </w:rPr>
        <w:t>During the year ended December 31, 2025, we completed the sale of our fiber assets in South Africa (“South Africa Fiber”). Prior to the divestiture, the operating results of South Africa Fiber were included within the Africa &amp; APAC property segment.</w:t>
      </w:r>
    </w:p>
    <w:p>
      <w:pPr>
        <w:spacing w:after="0" w:line="102"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6"/>
          <w:szCs w:val="16"/>
          <w:color w:val="auto"/>
        </w:rPr>
        <w:t>During the year ended December 31, 2024, we completed the sale of ATC TIPL (as defined below). The divestiture qualified for presentation as discontinued operations. See Note 21 for further discussion. Prior to the divestiture and classification as discontinued operations, ATC TIPL’s operating results were included within the Africa &amp; APAC property segment. Historical financial information included in Management’s Discussion and Analysis of Financial Condition and Results of Operations has been adjusted to reflect the operating results of ATC TIPL as discontinued operations for all periods presented.</w:t>
      </w:r>
    </w:p>
    <w:p>
      <w:pPr>
        <w:spacing w:after="0" w:line="8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report our results in six segments: U.S. &amp; Canada property (which includes all assets in the United States and Canada, other than our data center facilities and related assets), Africa &amp; APAC property, Europe property, Latin America property, Data Centers and Services. In evaluating financial performance in each business segment, management uses, among other factors, segment gross margin and segment operating profit (see note 19 to our consolidated financial statements included in this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5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We are one of the largest global REITs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In addition to the communications sites in our portfolio, we manage rooftop and tower sites for property owners under various contractual arrangements. We also hold other telecommunications infrastructure and property interests that we lease primarily to communications service providers and third-party tower operators, and, as discussed further below, we hold a portfolio of highly interconnected data center facilities and related assets in the United States. Our customers include our tenants, licensees and other payers. We refer to the business encompassing the above as our property operations, which accounted for 97% of our total revenues for the year ended December 31, 2025 and includes our U.S. &amp; Canada property, Africa &amp; APAC property, Europe property and Latin America property segments and Data Centers segment.</w:t>
      </w:r>
    </w:p>
    <w:p>
      <w:pPr>
        <w:spacing w:after="0" w:line="9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also offer tower-related services in the United States, including site application, zoning and permitting, structural and mount analyses, and construction management, together with program management offerings that support customer deployment needs from project scoping through construction. Our services operations primarily support our site leasing business, including the addition of new tenants and equipment on our sites.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number of communications sites, excluding managed sites, that we owned or operated as of December 31, 2025:</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5"/>
        </w:trPr>
        <w:tc>
          <w:tcPr>
            <w:tcW w:w="7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4"/>
                <w:szCs w:val="14"/>
                <w:b w:val="1"/>
                <w:bCs w:val="1"/>
                <w:color w:val="auto"/>
              </w:rPr>
              <w:t>Operated</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18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Owned Towers</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Towers (1)</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Owned DAS Sites</w:t>
            </w:r>
          </w:p>
        </w:tc>
        <w:tc>
          <w:tcPr>
            <w:tcW w:w="0" w:type="dxa"/>
            <w:vAlign w:val="bottom"/>
          </w:tcPr>
          <w:p>
            <w:pPr>
              <w:spacing w:after="0"/>
              <w:rPr>
                <w:sz w:val="1"/>
                <w:szCs w:val="1"/>
                <w:color w:val="auto"/>
              </w:rPr>
            </w:pPr>
          </w:p>
        </w:tc>
      </w:tr>
      <w:tr>
        <w:trPr>
          <w:trHeight w:val="210"/>
        </w:trPr>
        <w:tc>
          <w:tcPr>
            <w:tcW w:w="718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U.S. &amp; Canada:</w:t>
            </w:r>
          </w:p>
        </w:tc>
        <w:tc>
          <w:tcPr>
            <w:tcW w:w="1260" w:type="dxa"/>
            <w:vAlign w:val="bottom"/>
            <w:tcBorders>
              <w:top w:val="single" w:sz="8" w:color="auto"/>
            </w:tcBorders>
            <w:shd w:val="clear" w:color="auto" w:fill="BFE4FF"/>
          </w:tcPr>
          <w:p>
            <w:pPr>
              <w:spacing w:after="0"/>
              <w:rPr>
                <w:sz w:val="18"/>
                <w:szCs w:val="18"/>
                <w:color w:val="auto"/>
              </w:rPr>
            </w:pPr>
          </w:p>
        </w:tc>
        <w:tc>
          <w:tcPr>
            <w:tcW w:w="120" w:type="dxa"/>
            <w:vAlign w:val="bottom"/>
            <w:tcBorders>
              <w:top w:val="single" w:sz="8" w:color="BFE4FF"/>
            </w:tcBorders>
            <w:shd w:val="clear" w:color="auto" w:fill="BFE4FF"/>
          </w:tcPr>
          <w:p>
            <w:pPr>
              <w:spacing w:after="0"/>
              <w:rPr>
                <w:sz w:val="18"/>
                <w:szCs w:val="18"/>
                <w:color w:val="auto"/>
              </w:rPr>
            </w:pPr>
          </w:p>
        </w:tc>
        <w:tc>
          <w:tcPr>
            <w:tcW w:w="126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BFE4FF"/>
            </w:tcBorders>
            <w:shd w:val="clear" w:color="auto" w:fill="BFE4FF"/>
          </w:tcPr>
          <w:p>
            <w:pPr>
              <w:spacing w:after="0"/>
              <w:rPr>
                <w:sz w:val="18"/>
                <w:szCs w:val="18"/>
                <w:color w:val="auto"/>
              </w:rPr>
            </w:pPr>
          </w:p>
        </w:tc>
        <w:tc>
          <w:tcPr>
            <w:tcW w:w="1260" w:type="dxa"/>
            <w:vAlign w:val="bottom"/>
            <w:tcBorders>
              <w:top w:val="single" w:sz="8" w:color="auto"/>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2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26,714</w:t>
            </w:r>
          </w:p>
        </w:tc>
        <w:tc>
          <w:tcPr>
            <w:tcW w:w="120" w:type="dxa"/>
            <w:vAlign w:val="bottom"/>
            <w:shd w:val="clear" w:color="auto" w:fill="BFE4FF"/>
          </w:tcPr>
          <w:p>
            <w:pPr>
              <w:spacing w:after="0"/>
              <w:rPr>
                <w:sz w:val="19"/>
                <w:szCs w:val="19"/>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100" w:type="dxa"/>
            <w:vAlign w:val="bottom"/>
            <w:shd w:val="clear" w:color="auto" w:fill="BFE4FF"/>
          </w:tcPr>
          <w:p>
            <w:pPr>
              <w:spacing w:after="0"/>
              <w:rPr>
                <w:sz w:val="19"/>
                <w:szCs w:val="19"/>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&amp; Canada 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Africa &amp; APAC:</w:t>
            </w:r>
          </w:p>
        </w:tc>
        <w:tc>
          <w:tcPr>
            <w:tcW w:w="12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2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6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Bangladesh</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Burkina Faso</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shd w:val="clear" w:color="auto" w:fill="BFE4FF"/>
          </w:tcPr>
          <w:p>
            <w:pPr>
              <w:spacing w:after="0"/>
              <w:rPr>
                <w:sz w:val="19"/>
                <w:szCs w:val="19"/>
                <w:color w:val="auto"/>
              </w:rPr>
            </w:pPr>
          </w:p>
        </w:tc>
        <w:tc>
          <w:tcPr>
            <w:tcW w:w="13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Ghana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Kenya</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BFE4FF"/>
          </w:tcPr>
          <w:p>
            <w:pPr>
              <w:spacing w:after="0"/>
              <w:rPr>
                <w:sz w:val="19"/>
                <w:szCs w:val="19"/>
                <w:color w:val="auto"/>
              </w:rPr>
            </w:pPr>
          </w:p>
        </w:tc>
        <w:tc>
          <w:tcPr>
            <w:tcW w:w="13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Niger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Nigeria</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20" w:type="dxa"/>
            <w:vAlign w:val="bottom"/>
            <w:shd w:val="clear" w:color="auto" w:fill="BFE4FF"/>
          </w:tcPr>
          <w:p>
            <w:pPr>
              <w:spacing w:after="0"/>
              <w:rPr>
                <w:sz w:val="19"/>
                <w:szCs w:val="19"/>
                <w:color w:val="auto"/>
              </w:rPr>
            </w:pPr>
          </w:p>
        </w:tc>
        <w:tc>
          <w:tcPr>
            <w:tcW w:w="13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Philippines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South Africa</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shd w:val="clear" w:color="auto" w:fill="BFE4FF"/>
          </w:tcPr>
          <w:p>
            <w:pPr>
              <w:spacing w:after="0"/>
              <w:rPr>
                <w:sz w:val="19"/>
                <w:szCs w:val="19"/>
                <w:color w:val="auto"/>
              </w:rPr>
            </w:pPr>
          </w:p>
        </w:tc>
        <w:tc>
          <w:tcPr>
            <w:tcW w:w="13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Uganda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7"/>
        </w:trPr>
        <w:tc>
          <w:tcPr>
            <w:tcW w:w="718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Africa &amp; APAC total</w:t>
            </w:r>
          </w:p>
        </w:tc>
        <w:tc>
          <w:tcPr>
            <w:tcW w:w="12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120" w:type="dxa"/>
            <w:vAlign w:val="bottom"/>
            <w:tcBorders>
              <w:top w:val="single" w:sz="8" w:color="BFE4FF"/>
            </w:tcBorders>
            <w:shd w:val="clear" w:color="auto" w:fill="BFE4FF"/>
          </w:tcPr>
          <w:p>
            <w:pPr>
              <w:spacing w:after="0"/>
              <w:rPr>
                <w:sz w:val="18"/>
                <w:szCs w:val="18"/>
                <w:color w:val="auto"/>
              </w:rPr>
            </w:pPr>
          </w:p>
        </w:tc>
        <w:tc>
          <w:tcPr>
            <w:tcW w:w="12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BFE4FF"/>
            </w:tcBorders>
            <w:shd w:val="clear" w:color="auto" w:fill="BFE4FF"/>
          </w:tcPr>
          <w:p>
            <w:pPr>
              <w:spacing w:after="0"/>
              <w:rPr>
                <w:sz w:val="18"/>
                <w:szCs w:val="18"/>
                <w:color w:val="auto"/>
              </w:rPr>
            </w:pPr>
          </w:p>
        </w:tc>
        <w:tc>
          <w:tcPr>
            <w:tcW w:w="12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France</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2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Germany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Spain</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120" w:type="dxa"/>
            <w:vAlign w:val="bottom"/>
            <w:shd w:val="clear" w:color="auto" w:fill="BFE4FF"/>
          </w:tcPr>
          <w:p>
            <w:pPr>
              <w:spacing w:after="0"/>
              <w:rPr>
                <w:sz w:val="19"/>
                <w:szCs w:val="19"/>
                <w:color w:val="auto"/>
              </w:rPr>
            </w:pPr>
          </w:p>
        </w:tc>
        <w:tc>
          <w:tcPr>
            <w:tcW w:w="13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total</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32,211</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2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2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26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Argentina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Brazil</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20,829</w:t>
            </w:r>
          </w:p>
        </w:tc>
        <w:tc>
          <w:tcPr>
            <w:tcW w:w="12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Chile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Colombia</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20" w:type="dxa"/>
            <w:vAlign w:val="bottom"/>
            <w:shd w:val="clear" w:color="auto" w:fill="BFE4FF"/>
          </w:tcPr>
          <w:p>
            <w:pPr>
              <w:spacing w:after="0"/>
              <w:rPr>
                <w:sz w:val="19"/>
                <w:szCs w:val="19"/>
                <w:color w:val="auto"/>
              </w:rPr>
            </w:pPr>
          </w:p>
        </w:tc>
        <w:tc>
          <w:tcPr>
            <w:tcW w:w="13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Costa Rica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Mexico</w:t>
            </w: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2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Paraguay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shd w:val="clear" w:color="auto" w:fill="BFE4FF"/>
          </w:tcPr>
          <w:p>
            <w:pPr>
              <w:ind w:left="340"/>
              <w:spacing w:after="0"/>
              <w:rPr>
                <w:sz w:val="20"/>
                <w:szCs w:val="20"/>
                <w:color w:val="auto"/>
              </w:rPr>
            </w:pPr>
            <w:r>
              <w:rPr>
                <w:rFonts w:ascii="Times New Roman" w:cs="Times New Roman" w:eastAsia="Times New Roman" w:hAnsi="Times New Roman"/>
                <w:sz w:val="18"/>
                <w:szCs w:val="18"/>
                <w:color w:val="auto"/>
              </w:rPr>
              <w:t>Peru</w:t>
            </w:r>
          </w:p>
        </w:tc>
        <w:tc>
          <w:tcPr>
            <w:tcW w:w="12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shd w:val="clear" w:color="auto" w:fill="BFE4FF"/>
          </w:tcPr>
          <w:p>
            <w:pPr>
              <w:spacing w:after="0"/>
              <w:rPr>
                <w:sz w:val="19"/>
                <w:szCs w:val="19"/>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BFE4FF"/>
          </w:tcPr>
          <w:p>
            <w:pPr>
              <w:spacing w:after="0"/>
              <w:rPr>
                <w:sz w:val="19"/>
                <w:szCs w:val="19"/>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718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Latin America total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44,684</w:t>
            </w:r>
          </w:p>
        </w:tc>
        <w:tc>
          <w:tcPr>
            <w:tcW w:w="120" w:type="dxa"/>
            <w:vAlign w:val="bottom"/>
            <w:tcBorders>
              <w:bottom w:val="single" w:sz="8" w:color="BFE4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bottom w:val="single" w:sz="8" w:color="BFE4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42"/>
        </w:trPr>
        <w:tc>
          <w:tcPr>
            <w:tcW w:w="718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131,597</w:t>
            </w:r>
          </w:p>
        </w:tc>
        <w:tc>
          <w:tcPr>
            <w:tcW w:w="120" w:type="dxa"/>
            <w:vAlign w:val="bottom"/>
            <w:tcBorders>
              <w:bottom w:val="single" w:sz="8" w:color="BFE4FF"/>
            </w:tcBorders>
            <w:shd w:val="clear" w:color="auto" w:fill="BFE4FF"/>
          </w:tcPr>
          <w:p>
            <w:pPr>
              <w:spacing w:after="0"/>
              <w:rPr>
                <w:sz w:val="20"/>
                <w:szCs w:val="20"/>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00" w:type="dxa"/>
            <w:vAlign w:val="bottom"/>
            <w:tcBorders>
              <w:bottom w:val="single" w:sz="8" w:color="BFE4FF"/>
            </w:tcBorders>
            <w:shd w:val="clear" w:color="auto" w:fill="BFE4FF"/>
          </w:tcPr>
          <w:p>
            <w:pPr>
              <w:spacing w:after="0"/>
              <w:rPr>
                <w:sz w:val="20"/>
                <w:szCs w:val="20"/>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
        </w:trPr>
        <w:tc>
          <w:tcPr>
            <w:tcW w:w="7180" w:type="dxa"/>
            <w:vAlign w:val="bottom"/>
            <w:tcBorders>
              <w:top w:val="single" w:sz="8" w:color="BFE4FF"/>
            </w:tcBorders>
          </w:tcPr>
          <w:p>
            <w:pPr>
              <w:spacing w:after="0" w:line="20" w:lineRule="exact"/>
              <w:rPr>
                <w:sz w:val="1"/>
                <w:szCs w:val="1"/>
                <w:color w:val="auto"/>
              </w:rPr>
            </w:pPr>
          </w:p>
        </w:tc>
        <w:tc>
          <w:tcPr>
            <w:tcW w:w="12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2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6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98% of the operated towers are held pursuant to long-term finance leases, including those subject to purchase options.</w:t>
      </w:r>
    </w:p>
    <w:p>
      <w:pPr>
        <w:spacing w:after="0" w:line="171"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8"/>
          <w:szCs w:val="18"/>
          <w:color w:val="auto"/>
        </w:rPr>
        <w:t>As of December 31, 2025, our property portfolio included 30 operating data center facilities across eleven markets in the United States that collectively comprise approximately 3.7 million NRSF of data center space, as detailed below:</w:t>
      </w:r>
    </w:p>
    <w:tbl>
      <w:tblPr>
        <w:tblLayout w:type="fixed"/>
        <w:tblInd w:w="0" w:type="dxa"/>
        <w:tblCellMar>
          <w:top w:w="0" w:type="dxa"/>
          <w:left w:w="0" w:type="dxa"/>
          <w:bottom w:w="0" w:type="dxa"/>
          <w:right w:w="0" w:type="dxa"/>
        </w:tblCellMar>
      </w:tblPr>
      <w:tr>
        <w:trPr>
          <w:trHeight w:val="146"/>
        </w:trPr>
        <w:tc>
          <w:tcPr>
            <w:tcW w:w="8040" w:type="dxa"/>
            <w:vAlign w:val="bottom"/>
          </w:tcPr>
          <w:p>
            <w:pPr>
              <w:spacing w:after="0"/>
              <w:rPr>
                <w:sz w:val="12"/>
                <w:szCs w:val="12"/>
                <w:color w:val="auto"/>
              </w:rPr>
            </w:pPr>
          </w:p>
        </w:tc>
        <w:tc>
          <w:tcPr>
            <w:tcW w:w="1240" w:type="dxa"/>
            <w:vAlign w:val="bottom"/>
          </w:tcPr>
          <w:p>
            <w:pPr>
              <w:jc w:val="center"/>
              <w:ind w:left="250"/>
              <w:spacing w:after="0" w:line="146"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NRSF (1)</w:t>
            </w:r>
          </w:p>
        </w:tc>
        <w:tc>
          <w:tcPr>
            <w:tcW w:w="0" w:type="dxa"/>
            <w:vAlign w:val="bottom"/>
          </w:tcPr>
          <w:p>
            <w:pPr>
              <w:spacing w:after="0"/>
              <w:rPr>
                <w:sz w:val="1"/>
                <w:szCs w:val="1"/>
                <w:color w:val="auto"/>
              </w:rPr>
            </w:pPr>
          </w:p>
        </w:tc>
      </w:tr>
      <w:tr>
        <w:trPr>
          <w:trHeight w:val="190"/>
        </w:trPr>
        <w:tc>
          <w:tcPr>
            <w:tcW w:w="8040" w:type="dxa"/>
            <w:vAlign w:val="bottom"/>
            <w:tcBorders>
              <w:bottom w:val="single" w:sz="8" w:color="BFE4FF"/>
            </w:tcBorders>
          </w:tcPr>
          <w:p>
            <w:pPr>
              <w:spacing w:after="0"/>
              <w:rPr>
                <w:sz w:val="16"/>
                <w:szCs w:val="16"/>
                <w:color w:val="auto"/>
              </w:rPr>
            </w:pPr>
          </w:p>
        </w:tc>
        <w:tc>
          <w:tcPr>
            <w:tcW w:w="12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40" w:type="dxa"/>
            <w:vAlign w:val="bottom"/>
            <w:shd w:val="clear" w:color="auto" w:fill="BFE4FF"/>
          </w:tcPr>
          <w:p>
            <w:pPr>
              <w:spacing w:after="0"/>
              <w:rPr>
                <w:sz w:val="17"/>
                <w:szCs w:val="17"/>
                <w:color w:val="auto"/>
              </w:rPr>
            </w:pPr>
          </w:p>
        </w:tc>
        <w:tc>
          <w:tcPr>
            <w:tcW w:w="1240" w:type="dxa"/>
            <w:vAlign w:val="bottom"/>
            <w:shd w:val="clear" w:color="auto" w:fill="BFE4FF"/>
          </w:tcPr>
          <w:p>
            <w:pPr>
              <w:spacing w:after="0"/>
              <w:rPr>
                <w:sz w:val="17"/>
                <w:szCs w:val="17"/>
                <w:color w:val="auto"/>
              </w:rPr>
            </w:pPr>
          </w:p>
        </w:tc>
        <w:tc>
          <w:tcPr>
            <w:tcW w:w="320" w:type="dxa"/>
            <w:vAlign w:val="bottom"/>
            <w:shd w:val="clear" w:color="auto" w:fill="BFE4FF"/>
          </w:tcPr>
          <w:p>
            <w:pPr>
              <w:spacing w:after="0"/>
              <w:rPr>
                <w:sz w:val="17"/>
                <w:szCs w:val="17"/>
                <w:color w:val="auto"/>
              </w:rPr>
            </w:pPr>
          </w:p>
        </w:tc>
        <w:tc>
          <w:tcPr>
            <w:tcW w:w="80" w:type="dxa"/>
            <w:vAlign w:val="bottom"/>
            <w:shd w:val="clear" w:color="auto" w:fill="BFE4FF"/>
          </w:tcPr>
          <w:p>
            <w:pPr>
              <w:spacing w:after="0"/>
              <w:rPr>
                <w:sz w:val="17"/>
                <w:szCs w:val="17"/>
                <w:color w:val="auto"/>
              </w:rPr>
            </w:pPr>
          </w:p>
        </w:tc>
        <w:tc>
          <w:tcPr>
            <w:tcW w:w="1560" w:type="dxa"/>
            <w:vAlign w:val="bottom"/>
            <w:shd w:val="clear" w:color="auto" w:fill="BFE4FF"/>
          </w:tcPr>
          <w:p>
            <w:pPr>
              <w:jc w:val="right"/>
              <w:ind w:right="29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4"/>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Francisco Bay, CA</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4"/>
        </w:trPr>
        <w:tc>
          <w:tcPr>
            <w:tcW w:w="92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Los Angeles, CA</w:t>
            </w:r>
          </w:p>
        </w:tc>
        <w:tc>
          <w:tcPr>
            <w:tcW w:w="3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BFE4FF"/>
          </w:tcPr>
          <w:p>
            <w:pPr>
              <w:spacing w:after="0"/>
              <w:rPr>
                <w:sz w:val="19"/>
                <w:szCs w:val="19"/>
                <w:color w:val="auto"/>
              </w:rPr>
            </w:pPr>
          </w:p>
        </w:tc>
        <w:tc>
          <w:tcPr>
            <w:tcW w:w="1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24"/>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Northern Virginia, VA</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4"/>
        </w:trPr>
        <w:tc>
          <w:tcPr>
            <w:tcW w:w="92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New York, NY</w:t>
            </w:r>
          </w:p>
        </w:tc>
        <w:tc>
          <w:tcPr>
            <w:tcW w:w="3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BFE4FF"/>
          </w:tcPr>
          <w:p>
            <w:pPr>
              <w:spacing w:after="0"/>
              <w:rPr>
                <w:sz w:val="19"/>
                <w:szCs w:val="19"/>
                <w:color w:val="auto"/>
              </w:rPr>
            </w:pPr>
          </w:p>
        </w:tc>
        <w:tc>
          <w:tcPr>
            <w:tcW w:w="1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4"/>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 IL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4"/>
        </w:trPr>
        <w:tc>
          <w:tcPr>
            <w:tcW w:w="92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Denver, CO</w:t>
            </w:r>
          </w:p>
        </w:tc>
        <w:tc>
          <w:tcPr>
            <w:tcW w:w="3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BFE4FF"/>
          </w:tcPr>
          <w:p>
            <w:pPr>
              <w:spacing w:after="0"/>
              <w:rPr>
                <w:sz w:val="19"/>
                <w:szCs w:val="19"/>
                <w:color w:val="auto"/>
              </w:rPr>
            </w:pPr>
          </w:p>
        </w:tc>
        <w:tc>
          <w:tcPr>
            <w:tcW w:w="1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4"/>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Boston, MA</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4"/>
        </w:trPr>
        <w:tc>
          <w:tcPr>
            <w:tcW w:w="92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Orlando, FL</w:t>
            </w:r>
          </w:p>
        </w:tc>
        <w:tc>
          <w:tcPr>
            <w:tcW w:w="3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BFE4FF"/>
          </w:tcPr>
          <w:p>
            <w:pPr>
              <w:spacing w:after="0"/>
              <w:rPr>
                <w:sz w:val="19"/>
                <w:szCs w:val="19"/>
                <w:color w:val="auto"/>
              </w:rPr>
            </w:pPr>
          </w:p>
        </w:tc>
        <w:tc>
          <w:tcPr>
            <w:tcW w:w="1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4"/>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Atlanta, GA</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4"/>
        </w:trPr>
        <w:tc>
          <w:tcPr>
            <w:tcW w:w="928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Miami, FL</w:t>
            </w:r>
          </w:p>
        </w:tc>
        <w:tc>
          <w:tcPr>
            <w:tcW w:w="3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BFE4FF"/>
          </w:tcPr>
          <w:p>
            <w:pPr>
              <w:spacing w:after="0"/>
              <w:rPr>
                <w:sz w:val="19"/>
                <w:szCs w:val="19"/>
                <w:color w:val="auto"/>
              </w:rPr>
            </w:pPr>
          </w:p>
        </w:tc>
        <w:tc>
          <w:tcPr>
            <w:tcW w:w="1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4"/>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 D.C.</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7"/>
        </w:trPr>
        <w:tc>
          <w:tcPr>
            <w:tcW w:w="804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tcBorders>
            <w:shd w:val="clear" w:color="auto" w:fill="BFE4FF"/>
          </w:tcPr>
          <w:p>
            <w:pPr>
              <w:spacing w:after="0"/>
              <w:rPr>
                <w:sz w:val="18"/>
                <w:szCs w:val="18"/>
                <w:color w:val="auto"/>
              </w:rPr>
            </w:pPr>
          </w:p>
        </w:tc>
        <w:tc>
          <w:tcPr>
            <w:tcW w:w="3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BFE4FF"/>
            </w:tcBorders>
            <w:shd w:val="clear" w:color="auto" w:fill="BFE4FF"/>
          </w:tcPr>
          <w:p>
            <w:pPr>
              <w:spacing w:after="0"/>
              <w:rPr>
                <w:sz w:val="18"/>
                <w:szCs w:val="18"/>
                <w:color w:val="auto"/>
              </w:rPr>
            </w:pPr>
          </w:p>
        </w:tc>
        <w:tc>
          <w:tcPr>
            <w:tcW w:w="15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approximately 0.4 million of office and light-industrial NRSF.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In most of our markets, our tenant leases for our communications sites with wireless carriers generally have initial non-cancellable terms of five to ten years with multiple renewal terms. Accordingly, the vast majority of the revenue generated by our property operations during the year ended December 31, 2025 was recurring revenue that we should continue to receive in future periods. Most of our tenant leases for our communications sites have provisions that periodically increase or “escalate” the rent due under the lease, typically based on (a) an annual fixed escalation (averaging approximately 3% in the United States), (b) an inflationary index in most of our international markets, or (c) a combination of both. In addition, certain of our tenant leases provide for additional revenue primarily to cover costs, such as ground rent or power and fuel costs.</w:t>
      </w:r>
    </w:p>
    <w:p>
      <w:pPr>
        <w:spacing w:after="0" w:line="10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Based upon existing customer leases and foreign currency exchange rates as of December 31, 2025, we expect to generate over $54 billion of non-cancellable customer lease revenue over future periods, before the impact of straight-line lease accounting.</w:t>
      </w:r>
    </w:p>
    <w:p>
      <w:pPr>
        <w:spacing w:after="0" w:line="1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revenues generated by our property operations may be affected by cancellations of existing tenant leases. As discussed above, most of our tenant leases with wireless carriers and broadcasters are multiyear contracts, which typically are non-cancellable; however, in some instances, a lease may be cancelled upon the payment of a termination fee.</w:t>
      </w:r>
    </w:p>
    <w:p>
      <w:pPr>
        <w:spacing w:after="0" w:line="11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Revenue lost from either tenant lease cancellations or the non-renewal of leases or rent renegotiations, which we refer to as churn, has historically not had a material adverse effect on the revenues generated by our consolidated property operations. During the year ended December 31, 2025, churn was approximately 2% of our tenant billings, primarily driven by churn in our U.S. &amp; Canada property segment, as discussed below.</w:t>
      </w:r>
    </w:p>
    <w:p>
      <w:pPr>
        <w:spacing w:after="0" w:line="10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AT&amp;T Mexico Dispute. </w:t>
      </w:r>
      <w:r>
        <w:rPr>
          <w:rFonts w:ascii="Times New Roman" w:cs="Times New Roman" w:eastAsia="Times New Roman" w:hAnsi="Times New Roman"/>
          <w:sz w:val="16"/>
          <w:szCs w:val="16"/>
          <w:color w:val="auto"/>
        </w:rPr>
        <w:t>We are currently engaged in an Arbitration with AT&amp;T Mexico. AT&amp;T Mexico, which represented approximately $300 million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tenant revenue in 2025, is challenging the calculation of the monthly lease amount established under the MLA, as well as certain other provisions of the MLA, seeking rent abatement both retroactively and prospectively, and had been withholding tower rents since the start of 2025. We incurred approximately</w:t>
      </w:r>
    </w:p>
    <w:p>
      <w:pPr>
        <w:spacing w:after="0" w:line="1"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$30 million of reserves during the year ended December 31, 2025 related to this customer. We expect to record future reserves until the Arbitration is settled. We believe we have meritorious defenses to the claims raised in this Arbitration, are vigorously defending the full enforceability of the MLA and remain confident in the terms and conditions of the MLA. The Arbitration is scheduled for a hearing in August 2026.</w:t>
      </w:r>
    </w:p>
    <w:p>
      <w:pPr>
        <w:spacing w:after="0" w:line="123"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On September 23, 2025, we and AT&amp;T Mexico reached an agreement pursuant to which AT&amp;T Mexico will remit payment of the majority of the withheld tower rents and will resume monthly payments of the majority of its owed tower rents. The remainder of the outstanding receivables and the future monthly tower rent amounts not remitted directly to us will be deposited into an irrevocable escrow account, overseen by an independent trustee, to be released in accordance with a final ruling in the Arbitration or by mutual consent of us and AT&amp;T Mexico.</w:t>
      </w:r>
    </w:p>
    <w:p>
      <w:pPr>
        <w:spacing w:after="0" w:line="11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DISH Dispute. </w:t>
      </w:r>
      <w:r>
        <w:rPr>
          <w:rFonts w:ascii="Times New Roman" w:cs="Times New Roman" w:eastAsia="Times New Roman" w:hAnsi="Times New Roman"/>
          <w:sz w:val="18"/>
          <w:szCs w:val="18"/>
          <w:color w:val="auto"/>
        </w:rPr>
        <w:t>On September 24, 2025, DISH delivered a notice purporting to be excused from its contractual obligations under the SCA. DISH has failed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its payment obligations, and as of January 2026 is in default under the SCA. We remain confident that DISH has not been excused from its obligations under the SCA, and that the SCA remains in full force and effect. On October 20, 2025, we filed a complaint in the U.S. District Court for the District of Colorado seeking a declaratory judgment that DISH has not been excused from its obligations under the SCA, that the SCA remains in full force and effect, and that DISH remains required to perform all of its obligations under the SCA. DISH represented approximately 2% and 4% of our total annual property revenue and total annual U.S. &amp; Canada property revenue, respectively, for 2025.</w:t>
      </w:r>
    </w:p>
    <w:p>
      <w:pPr>
        <w:spacing w:after="0" w:line="1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Property Operations Revenue Growth</w:t>
      </w:r>
      <w:r>
        <w:rPr>
          <w:rFonts w:ascii="Times New Roman" w:cs="Times New Roman" w:eastAsia="Times New Roman" w:hAnsi="Times New Roman"/>
          <w:sz w:val="18"/>
          <w:szCs w:val="18"/>
          <w:color w:val="auto"/>
        </w:rPr>
        <w:t>. Due to our diversified communications site portfolio, our tenant lease rates vary considerably depending upon numerous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including, but not limited to, amount, type and position of tenant equipment on the tower, remaining tower capacity and tower location. We measure the remaining tower capacity by assessing several factors, including tower height, tower type, environmental conditions, existing equipment on the tower and zoning and permitting regulations in effect in the jurisdiction where the tower is located. In many instances, tower capacity can be increased with relatively modest tower augmentation capital expenditures, which are often reimbursed to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factors affecting the revenue growth of our property segments are:</w:t>
      </w:r>
    </w:p>
    <w:p>
      <w:pPr>
        <w:spacing w:after="0" w:line="149" w:lineRule="exact"/>
        <w:rPr>
          <w:sz w:val="20"/>
          <w:szCs w:val="20"/>
          <w:color w:val="auto"/>
        </w:rPr>
      </w:pPr>
    </w:p>
    <w:p>
      <w:pPr>
        <w:ind w:left="640" w:hanging="31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tenant billings, including:</w:t>
      </w:r>
    </w:p>
    <w:p>
      <w:pPr>
        <w:spacing w:after="0" w:line="21"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revenue attributable to leasing additional space on our sites (“colocations”) and lease amendments;</w:t>
      </w:r>
    </w:p>
    <w:p>
      <w:pPr>
        <w:spacing w:after="0" w:line="3"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rent escalations on existing tenant leases, net of churn; and</w:t>
      </w:r>
    </w:p>
    <w:p>
      <w:pPr>
        <w:spacing w:after="0" w:line="3"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revenue attributable to leases in place on day one on sites acquired or constructed since the beginning of the prior-year period.</w:t>
      </w:r>
    </w:p>
    <w:p>
      <w:pPr>
        <w:spacing w:after="0" w:line="3" w:lineRule="exact"/>
        <w:rPr>
          <w:rFonts w:ascii="Times New Roman" w:cs="Times New Roman" w:eastAsia="Times New Roman" w:hAnsi="Times New Roman"/>
          <w:sz w:val="18"/>
          <w:szCs w:val="18"/>
          <w:color w:val="auto"/>
        </w:rPr>
      </w:pPr>
    </w:p>
    <w:p>
      <w:pPr>
        <w:ind w:left="640" w:right="360" w:hanging="318"/>
        <w:spacing w:after="0" w:line="24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from our Data Centers segment in the United States, including rental and power revenue from new lease commencements and expansions, contractual rent and power escalations on existing leases, mark-to-market increases on renewing leases and increased interconnection services and solutions.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left="640" w:right="60" w:hanging="318"/>
        <w:spacing w:after="0" w:line="315" w:lineRule="auto"/>
        <w:tabs>
          <w:tab w:leader="none" w:pos="63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growth from other items, including additional tenant payments primarily to cover costs, such as ground rent or power and fuel costs included in certain tenant leases (“pass-through”), straight-line revenue and decommissioning, partially offset, in certain cases, by revenue reserve provisions.</w:t>
      </w:r>
    </w:p>
    <w:p>
      <w:pPr>
        <w:spacing w:after="0" w:line="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continue to believe that our site leasing revenue, which makes up the vast majority of our property segment revenue, is likely to increase due to the growing use of wireless services globally and our ability to meet the corresponding incremental demand for our communications real estate. By adding new tenants and new equipment for existing tenants on our sites, we are able to increase these sites’ utilization and profitability. We believe the majority of our site leasing activity will continue to come from wireless service providers, with tenants in a number of other industries contributing incremental leasing demand. Our site portfolio and our established tenant base provide us with new business opportunities, which have historically resulted in consistent and predictable organic revenue growth as wireless carriers seek to increase the coverage and capacity of their existing networks, while also deploying next generation wireless technologies. In addition, we intend to continue to supplement our organic growth by selectively developing or acquiring new sites in our existing and new markets where we can achieve our risk-adjusted return on investment objectives.</w:t>
      </w:r>
    </w:p>
    <w:p>
      <w:pPr>
        <w:spacing w:after="0" w:line="11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6"/>
          <w:szCs w:val="16"/>
          <w:i w:val="1"/>
          <w:iCs w:val="1"/>
          <w:color w:val="auto"/>
        </w:rPr>
        <w:t>Property Operations Organic Revenue Growth</w:t>
      </w:r>
      <w:r>
        <w:rPr>
          <w:rFonts w:ascii="Times New Roman" w:cs="Times New Roman" w:eastAsia="Times New Roman" w:hAnsi="Times New Roman"/>
          <w:sz w:val="16"/>
          <w:szCs w:val="16"/>
          <w:color w:val="auto"/>
        </w:rPr>
        <w:t>. Consistent with our strategy to increase the utilization and return on investment from our sites, our objective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add new tenants and new equipment for existing tenants through colocation and lease amendments. Our ability to lease additional space on our sites is primarily a function of the rate at which wireless carriers and other tenants deploy capital to improve and expand their wireless networks. This rate of wireless network investment is influenced by the growth of wireless services, the penetration of advanced wireless devices, the level of emphasis on network quality and capacity in carrier competition, the financial performance of our tenants and their access to capital and general economic conditions. According to industry data, recent aggregate annual wireless capital spending in the United States has averaged at least $30 billion, resulting in consistent demand for our sites.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industry research and projections, we expect that a number of key industry trends will result in incremental revenue opportunities for us:</w:t>
      </w:r>
    </w:p>
    <w:p>
      <w:pPr>
        <w:spacing w:after="0" w:line="136" w:lineRule="exact"/>
        <w:rPr>
          <w:sz w:val="20"/>
          <w:szCs w:val="20"/>
          <w:color w:val="auto"/>
        </w:rPr>
      </w:pPr>
    </w:p>
    <w:p>
      <w:pPr>
        <w:ind w:left="640" w:right="40" w:hanging="318"/>
        <w:spacing w:after="0" w:line="249"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growth in mobile data consumption continues to be driven by increasing smartphone and other advanced device penetration, the proliferation of bandwidth-intensive applications on these devices and the continuing evolution of the mobile ecosystem. We believe carriers will be compelled to deploy additional equipment on existing networks while also rolling out more advanced wireless networks to address coverage and capacity needs resulting from this increasing mobile data usage.</w:t>
      </w:r>
    </w:p>
    <w:p>
      <w:pPr>
        <w:spacing w:after="0" w:line="1" w:lineRule="exact"/>
        <w:rPr>
          <w:rFonts w:ascii="Times New Roman" w:cs="Times New Roman" w:eastAsia="Times New Roman" w:hAnsi="Times New Roman"/>
          <w:sz w:val="18"/>
          <w:szCs w:val="18"/>
          <w:color w:val="auto"/>
        </w:rPr>
      </w:pPr>
    </w:p>
    <w:p>
      <w:pPr>
        <w:ind w:left="640" w:right="480" w:hanging="318"/>
        <w:spacing w:after="0" w:line="24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deployment of advanced mobile technology, such as 4G and 5G, will provide higher speed data services and further enable fixed broadband substitution. As a result, we expect that our tenants will continue deploying additional equipment across their existing networks.</w:t>
      </w:r>
    </w:p>
    <w:p>
      <w:pPr>
        <w:ind w:left="640" w:right="300" w:hanging="318"/>
        <w:spacing w:after="0" w:line="24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service providers compete based on the quality of their networks, which is driven by capacity and coverage. To maintain or improve their network performance as overall network usage increases, our tenants continue to deploy additional equipment across their existing sites while also adding new cell sites. We anticipate increasing network densification over the next several years, as existing network density is anticipated to be insufficient to account for rapidly increasing levels of wireless data usage.</w:t>
      </w:r>
    </w:p>
    <w:p>
      <w:pPr>
        <w:ind w:left="640" w:right="100" w:hanging="318"/>
        <w:spacing w:after="0" w:line="232"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spectrum acquisition and deployment by wireless service providers, which is expected to result in additional sites and equipment on existing sites as operators optimize network configuration and utilize the additional spectrum. We expect this to be particularly relevant in the context of higher-band spectrum such as 2.5 gigahertz (GHz) and C-Band being deployed for 5G, as these spectrum assets tend to have more limited propagation characteristics compared to the lower-band spectrum that has historically been deployed on our towers.</w:t>
      </w:r>
    </w:p>
    <w:p>
      <w:pPr>
        <w:ind w:left="640" w:right="60" w:hanging="318"/>
        <w:spacing w:after="0" w:line="24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next generation technologies, such as edge computing functionality, autonomous vehicle networks and a number of other internet-of-things, or IoT, applications and other potential use cases for wireless services requiring wireless connectivity. These technologies may create new and complementary use cases for our communications real estate over time, although these use cases are currently in nascent stages.</w:t>
      </w:r>
    </w:p>
    <w:p>
      <w:pPr>
        <w:spacing w:after="0" w:line="1" w:lineRule="exact"/>
        <w:rPr>
          <w:rFonts w:ascii="Times New Roman" w:cs="Times New Roman" w:eastAsia="Times New Roman" w:hAnsi="Times New Roman"/>
          <w:sz w:val="18"/>
          <w:szCs w:val="18"/>
          <w:color w:val="auto"/>
        </w:rPr>
      </w:pPr>
    </w:p>
    <w:p>
      <w:pPr>
        <w:ind w:left="640" w:right="60" w:hanging="318"/>
        <w:spacing w:after="0" w:line="246"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data growth, including through increased use of AI, and emerging high-performance, latency-sensitive applications, will drive an increased need for reliable, secure and interconnected data center solutions. We believe these trends will result in incremental utilization and interconnection demand at our data center facilities.</w:t>
      </w:r>
    </w:p>
    <w:p>
      <w:pPr>
        <w:spacing w:after="0" w:line="12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part of our international expansion initiatives, we have targeted markets in various stages of network development to diversify our international exposure and position us to benefit from a number of different wireless technology deployments over the long term, while benefitting from our shared global experience, capabilities and services. In addition, we have focused on building relationships with large multinational carriers to increase the opportunities for growth or mutually beneficial transactional opportunities across common markets. We believe that consistent carrier network investments across our international markets will, over the long term, position us to generate meaningful organic revenue growth going forward.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We believe that the network technology migration we have seen in the United States, which has led to significantly denser networks and meaningful new business commencements for us over a number of years, will be replicated in our international markets over time. As a result, we expect to be able to leverage our extensive international portfolio of approximately 108,000 communications sites and the relationships we have built with our carrier tenants to drive sustainable, long</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term growth.</w:t>
      </w:r>
    </w:p>
    <w:p>
      <w:pPr>
        <w:spacing w:after="0" w:line="1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master lease agreements with many of our tenants for our communications sites that provide for consistent, long-term revenue and reduce the likelihood of non-contractual churn. Certain of those master lease agreements are comprehensive in nature and further build and augment strong strategic partnerships with our tenants while significantly reducing colocation cycle times, thereby providing our tenants with the ability to rapidly and efficiently deploy equipment on our sites.</w:t>
      </w:r>
    </w:p>
    <w:p>
      <w:pPr>
        <w:spacing w:after="0" w:line="11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Strong industry tailwinds also underpin our data center business. Our portfolio of highly interconnected data center facilities and related assets in the United States is well positioned to monetize elevated demand for hybrid-cloud and multi-cloud deployments, as well as demand from early-stage AI-related workloads like inferencing, machine learning models and GPU-as-a-Service from neo clouds. We believe it is important for AI workloads to be collocated with hybrid installations. Our data center facilities are well-suited for this, as they have a rich ecosystem of network and cloud interconnections coupled with purpose-built capacity designed to support AI and other higher-density deployments. These positive trends reinforce our expectation for our data centers to deliver long-term growth with attractive returns.</w:t>
      </w:r>
    </w:p>
    <w:p>
      <w:pPr>
        <w:spacing w:after="0" w:line="12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Demand for our communications infrastructure assets could be negatively impacted by a number of factors, including increased competition within our industries, an increase in network sharing or consolidation among our customers and financial difficulties for our customers, as set forth in Item 1A of this Annual Report under the captions “Risk Factors—If our customers consolidate their operations, exit their businesses or share site infrastructure to a significant degree, our growth and revenue could be materially and adversely affected,” “Risk Factors—Increasing competition within our industries may materially and adversely affect our revenue” and “Risk Factors—A substantial portion of our current and projected future revenue is derived from a small number of customers, and we are sensitive to adverse changes in the creditworthiness and financial strength of our customers.” In addition, the emergence and growth of new technologies could reduce demand for our sites, as set forth under the caption “Risk Factors—New technologies or changes, or lack thereof, in our or a customer’s business model could make our communications infrastructure leasing business less desirable and result in decreasing revenues and operating results.” Further, our customers may be subject to new regulatory policies from time to time that materially and adversely affect the demand for our communications infrastructure assets.</w:t>
      </w:r>
    </w:p>
    <w:p>
      <w:pPr>
        <w:spacing w:after="0" w:line="107"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Property Operations New Site Revenue Growth. </w:t>
      </w:r>
      <w:r>
        <w:rPr>
          <w:rFonts w:ascii="Times New Roman" w:cs="Times New Roman" w:eastAsia="Times New Roman" w:hAnsi="Times New Roman"/>
          <w:sz w:val="16"/>
          <w:szCs w:val="16"/>
          <w:color w:val="auto"/>
        </w:rPr>
        <w:t>During the year ended December 31, 2025, we grew our portfolio of communications real estate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acquisition and construction of approximately 2,230 communications sites globally. In a majority of our Africa &amp; APAC, Europe and Latin America markets, the revenue generated from newly acquired or constructed sites resulted in increases in both tenant and pass-through revenues (such as ground rent or power and fuel costs) and expenses. We continue to evaluate opportunities to acquire communications real estate portfolios, both domestically and internationally, to determine whether they meet our risk-adjusted hurdle rates and whether we believe we can effectively integrate them into our existing portfolio.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New Sites (Acquired or Constructed)</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Canada</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 &amp; APAC (1)</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2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and 2023, excludes approximately 90 and 865 new sites in India, respectively.</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6"/>
          <w:szCs w:val="16"/>
          <w:i w:val="1"/>
          <w:iCs w:val="1"/>
          <w:color w:val="auto"/>
        </w:rPr>
        <w:t xml:space="preserve">Property Operations Expenses. </w:t>
      </w:r>
      <w:r>
        <w:rPr>
          <w:rFonts w:ascii="Times New Roman" w:cs="Times New Roman" w:eastAsia="Times New Roman" w:hAnsi="Times New Roman"/>
          <w:sz w:val="16"/>
          <w:szCs w:val="16"/>
          <w:color w:val="auto"/>
        </w:rPr>
        <w:t>Direct operating expenses incurred by our property segments include direct site or facility level expenses and consist primarily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ground rent and power and fuel costs, some or all of which may be passed through to our customers, as well as property taxes and repairs and maintenance expenses. These segment direct operating expenses exclude all segment and corporate selling, general, administrative and development expenses, which are aggregated into one line item entitled Selling, general, administrative and development expense in our consolidated statements of operations. In general, our property segments’ selling, general, administrative and development expenses do not significantly increase as a result of adding incremental customers to our sites or facilities and typically increase only modestly year-over-year. As a result, leasing additional space to new customers on our sites or within our facilities provides significant incremental gross margin and cash flow. We may, however, incur additional segment selling, general, administrative and development expenses as we increase our presence in our existing markets or expand into new markets. Our profit margin growth is therefore positively impacted by the addition of new customers to our sites or facilities but can be temporarily diluted by our development or expansion activities.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Services Segment Revenue Growth</w:t>
      </w:r>
      <w:r>
        <w:rPr>
          <w:rFonts w:ascii="Times New Roman" w:cs="Times New Roman" w:eastAsia="Times New Roman" w:hAnsi="Times New Roman"/>
          <w:sz w:val="18"/>
          <w:szCs w:val="18"/>
          <w:color w:val="auto"/>
        </w:rPr>
        <w:t>. As we continue to focus on growing our property operations, we anticipate that our services revenue will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a small percentage of our total revenues.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5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amortization and accretion, as adjusted (“Adjusted EBITDA”), Funds From Operations, as defined by the National Association of Real Estate Investment Trusts (“Nareit FFO”) attributable to American Tower Corporation common stockholders, Adjusted Funds From Operations (“AFFO”) attributable to American Tower Corporation common stockholders (“AFFO attributable to American Tower Corporation common stockholders”) and Segment gross margin.</w:t>
      </w:r>
    </w:p>
    <w:p>
      <w:pPr>
        <w:spacing w:after="0" w:line="119"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income before Income (loss) from equity method investments; Income (loss) from discontinued operations, net of taxes; Income tax benefit (provision); Other income (expense); Gain (loss) on retirement of long-term obligations; Interest expense; Interest income; Other operating income (expense), including Goodwill impairment; Depreciation, amortization and accretion; and stock-based compensation expense.</w:t>
      </w:r>
    </w:p>
    <w:p>
      <w:pPr>
        <w:spacing w:after="0" w:line="10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Nareit FFO attributable to American Tower Corporation common stockholders is defined as net income before gains or losses from the sale or disposal of real estate, real estate related impairment charges, real estate related depreciation, amortization and accretion, and including adjustments and distributions for unconsolidated affiliates and noncontrolling interests and adjustments for discontinued operations. In this section, we refer to Nareit FFO attributable to American Tower Corporation common stockholders as “Nareit FFO (common stockholders).”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6"/>
          <w:szCs w:val="16"/>
          <w:color w:val="auto"/>
        </w:rPr>
        <w:t>We define AFFO attributable to American Tower Corporation common stockholders as Nareit FFO (common stockholders) before (i) straight-line revenue and expense; (ii) stock-based compensation expense; (iii) the deferred portion of income tax and other income tax adjustments; (iv) non-real estate related depreciation, amortization and accretion; (v) amortization of deferred financing costs, debt discounts and premiums and long-term deferred interest charges;</w:t>
      </w:r>
    </w:p>
    <w:p>
      <w:pPr>
        <w:spacing w:after="0" w:line="1" w:lineRule="exact"/>
        <w:rPr>
          <w:sz w:val="20"/>
          <w:szCs w:val="20"/>
          <w:color w:val="auto"/>
        </w:rPr>
      </w:pPr>
    </w:p>
    <w:p>
      <w:pPr>
        <w:ind w:firstLine="5"/>
        <w:spacing w:after="0" w:line="245" w:lineRule="auto"/>
        <w:tabs>
          <w:tab w:leader="none" w:pos="2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(vii) gain (loss) on retirement of long-term obligations; and (viii) other operating income (expense); less cash payments related to capital improvements and cash payments related to corporate capital expenditures and including adjustments and distributions for unconsolidated affiliates and noncontrolling interests and adjustments for discontinued operations, which includes the impact of noncontrolling interests and discontinued operations on both Nareit FFO and the corresponding adjustments included in AFFO. In this section, we refer to AFFO attributable to American Tower Corporation common stockholders as “AFFO (common stockholders).”</w:t>
      </w:r>
    </w:p>
    <w:p>
      <w:pPr>
        <w:spacing w:after="0" w:line="125"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8"/>
          <w:szCs w:val="18"/>
          <w:color w:val="auto"/>
        </w:rPr>
        <w:t>We define Segment gross margin as segment revenue less segment operating expenses, excluding depreciation, amortization and accretion; selling, general, administrative and development expense; and other operating expenses.</w:t>
      </w:r>
    </w:p>
    <w:p>
      <w:pPr>
        <w:spacing w:after="0" w:line="89"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Adjusted EBITDA, Nareit FFO (common stockholders), AFFO (common stockholders) and Segment gross margin are not intended to replace net income or any other performance measures determined in accordance with GAAP. None of Adjusted EBITDA, Nareit FFO (common stockholders), AFFO (common stockholders) or Segment gross margin represents cash flows from operating activities in accordance with GAAP and, therefore, these measures should not be considered indicative of cash flows from operating activities, as a measure of liquidity or a measure of funds available to fund our cash needs, including our ability to make cash distributions. Rather, Adjusted EBITDA, Nareit FFO (common stockholders), AFFO (common stockholders) and Segment gross margin are presented as we believe each is a useful indicator of our current operating performance. We believe that these metrics are useful to an investor in evaluating our operating performance because (1) each is a key measure used by our management team for decision making purposes and for evaluating our operating segments’ performance; (2) Adjusted EBITDA is a component underlying our credit ratings; (3) Adjusted EBITDA is widely used in the telecommunications real estate sector to measure operating performance as depreciation, amortization and accretion may vary significantly among companies depending upon accounting methods and useful lives, particularly where acquisitions and non-operating factors are involved; (4) AFFO (common stockholders) is widely used in the telecommunications real estate sector to adjust Nareit FFO (common stockholders) for items that may otherwise cause material fluctuations in Nareit FFO (common stockholders) growth from period to period that would not be representative of the underlying performance of property assets in those periods;</w:t>
      </w:r>
    </w:p>
    <w:p>
      <w:pPr>
        <w:spacing w:after="0" w:line="8" w:lineRule="exact"/>
        <w:rPr>
          <w:sz w:val="20"/>
          <w:szCs w:val="20"/>
          <w:color w:val="auto"/>
        </w:rPr>
      </w:pPr>
    </w:p>
    <w:p>
      <w:pPr>
        <w:ind w:right="160" w:firstLine="5"/>
        <w:spacing w:after="0" w:line="246" w:lineRule="auto"/>
        <w:tabs>
          <w:tab w:leader="none" w:pos="2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gross margin provides valuable insight into the site-level profitability of our assets (6) each provides investors with a meaningful measure for evaluating our period-to-period operating performance by eliminating items that are not operational in nature; and (7) each provides investors with a measure for comparing our results of operations to those of other companies, particularly those in our industry.</w:t>
      </w:r>
    </w:p>
    <w:p>
      <w:pPr>
        <w:spacing w:after="0" w:line="123" w:lineRule="exact"/>
        <w:rPr>
          <w:sz w:val="20"/>
          <w:szCs w:val="20"/>
          <w:color w:val="auto"/>
        </w:rPr>
      </w:pPr>
    </w:p>
    <w:p>
      <w:pPr>
        <w:jc w:val="both"/>
        <w:ind w:right="100"/>
        <w:spacing w:after="0" w:line="303" w:lineRule="auto"/>
        <w:rPr>
          <w:sz w:val="20"/>
          <w:szCs w:val="20"/>
          <w:color w:val="auto"/>
        </w:rPr>
      </w:pPr>
      <w:r>
        <w:rPr>
          <w:rFonts w:ascii="Times New Roman" w:cs="Times New Roman" w:eastAsia="Times New Roman" w:hAnsi="Times New Roman"/>
          <w:sz w:val="16"/>
          <w:szCs w:val="16"/>
          <w:color w:val="auto"/>
        </w:rPr>
        <w:t>Our measurement of Adjusted EBITDA, Nareit FFO (common stockholders), AFFO (common stockholders) and Segment gross margin may not, however, be fully comparable to similarly titled measures used by other companies. Reconciliations of Adjusted EBITDA, Nareit FFO (common stockholders) and AFFO (common stockholders) to net income and Segment gross margin to gross margin, the most directly comparable GAAP measures, have been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a discussion of our 2024 Results of Operations, including a discussion of our financial results for the fiscal year ended December 31, 2024 compared to the fiscal year ended December 31, 2023, refer to Part I, Item 7 of our annual report on Form 10-K filed with the SEC on February 25, 2025 (the “2024 Form 10-K”).</w:t>
      </w:r>
    </w:p>
    <w:p>
      <w:pPr>
        <w:sectPr>
          <w:pgSz w:w="11900" w:h="16838" w:orient="portrait"/>
          <w:cols w:equalWidth="0" w:num="1">
            <w:col w:w="11240"/>
          </w:cols>
          <w:pgMar w:left="320" w:top="121" w:right="339" w:bottom="1440" w:gutter="0" w:footer="0" w:header="0"/>
        </w:sect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2025 and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30480</wp:posOffset>
            </wp:positionV>
            <wp:extent cx="17316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0" w:lineRule="exact"/>
        <w:rPr>
          <w:sz w:val="20"/>
          <w:szCs w:val="20"/>
          <w:color w:val="auto"/>
        </w:rPr>
      </w:pPr>
    </w:p>
    <w:p>
      <w:pPr>
        <w:ind w:left="7680"/>
        <w:spacing w:after="0"/>
        <w:tabs>
          <w:tab w:leader="none" w:pos="90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Percent Change 2025</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vs 2024</w:t>
      </w:r>
    </w:p>
    <w:p>
      <w:pPr>
        <w:spacing w:after="0" w:line="6" w:lineRule="exact"/>
        <w:rPr>
          <w:sz w:val="20"/>
          <w:szCs w:val="20"/>
          <w:color w:val="auto"/>
        </w:rPr>
      </w:pPr>
    </w:p>
    <w:p>
      <w:pPr>
        <w:sectPr>
          <w:pgSz w:w="11900" w:h="16838" w:orient="portrait"/>
          <w:cols w:equalWidth="0" w:num="2">
            <w:col w:w="9320" w:space="620"/>
            <w:col w:w="13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&amp; Canada</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5,248.1</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24"/>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Africa &amp; APAC (1)</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7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Data Centers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4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r>
      <w:tr>
        <w:trPr>
          <w:trHeight w:val="217"/>
        </w:trPr>
        <w:tc>
          <w:tcPr>
            <w:tcW w:w="7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property</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4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r>
      <w:tr>
        <w:trPr>
          <w:trHeight w:val="217"/>
        </w:trPr>
        <w:tc>
          <w:tcPr>
            <w:tcW w:w="7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10,127.2</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Excludes the operating results of ATC TIPL, which are reported as discontinued operations. See Note 21 for further discussion.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&amp; Canada property segment revenue increase of $0.6 million was attributable to:</w:t>
      </w:r>
    </w:p>
    <w:p>
      <w:pPr>
        <w:spacing w:after="0" w:line="21" w:lineRule="exact"/>
        <w:rPr>
          <w:sz w:val="20"/>
          <w:szCs w:val="20"/>
          <w:color w:val="auto"/>
        </w:rPr>
      </w:pPr>
    </w:p>
    <w:p>
      <w:pPr>
        <w:ind w:left="540" w:hanging="218"/>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billings growth of $210.0 million, which was driven by:</w:t>
      </w:r>
    </w:p>
    <w:p>
      <w:pPr>
        <w:spacing w:after="0" w:line="3" w:lineRule="exact"/>
        <w:rPr>
          <w:rFonts w:ascii="Times New Roman" w:cs="Times New Roman" w:eastAsia="Times New Roman" w:hAnsi="Times New Roman"/>
          <w:sz w:val="18"/>
          <w:szCs w:val="18"/>
          <w:color w:val="auto"/>
        </w:rPr>
      </w:pPr>
    </w:p>
    <w:p>
      <w:pPr>
        <w:ind w:left="960" w:hanging="322"/>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$158.7 million due to colocations and amendments;</w:t>
      </w:r>
    </w:p>
    <w:p>
      <w:pPr>
        <w:spacing w:after="0" w:line="3" w:lineRule="exact"/>
        <w:rPr>
          <w:rFonts w:ascii="Times New Roman" w:cs="Times New Roman" w:eastAsia="Times New Roman" w:hAnsi="Times New Roman"/>
          <w:sz w:val="18"/>
          <w:szCs w:val="18"/>
          <w:color w:val="auto"/>
        </w:rPr>
      </w:pPr>
    </w:p>
    <w:p>
      <w:pPr>
        <w:ind w:left="960" w:hanging="322"/>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$52.8 million resulting from contractual escalations, net of churn; and</w:t>
      </w:r>
    </w:p>
    <w:p>
      <w:pPr>
        <w:spacing w:after="0" w:line="3" w:lineRule="exact"/>
        <w:rPr>
          <w:rFonts w:ascii="Times New Roman" w:cs="Times New Roman" w:eastAsia="Times New Roman" w:hAnsi="Times New Roman"/>
          <w:sz w:val="18"/>
          <w:szCs w:val="18"/>
          <w:color w:val="auto"/>
        </w:rPr>
      </w:pPr>
    </w:p>
    <w:p>
      <w:pPr>
        <w:ind w:left="960" w:hanging="322"/>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million generated from sites acquired or constructed since the beginning of the prior-year period (“newly acquired or constructed sites”);</w:t>
      </w:r>
    </w:p>
    <w:p>
      <w:pPr>
        <w:spacing w:after="0" w:line="3" w:lineRule="exact"/>
        <w:rPr>
          <w:rFonts w:ascii="Times New Roman" w:cs="Times New Roman" w:eastAsia="Times New Roman" w:hAnsi="Times New Roman"/>
          <w:sz w:val="18"/>
          <w:szCs w:val="18"/>
          <w:color w:val="auto"/>
        </w:rPr>
      </w:pPr>
    </w:p>
    <w:p>
      <w:pPr>
        <w:ind w:left="960" w:hanging="322"/>
        <w:spacing w:after="0"/>
        <w:tabs>
          <w:tab w:leader="none" w:pos="9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of $7.2 million from other tenant billings;</w:t>
      </w:r>
    </w:p>
    <w:p>
      <w:pPr>
        <w:spacing w:after="0" w:line="3"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of $209.1 million in other revenue, which includes a $175.8 million decrease due to straight-line accounting.</w:t>
      </w:r>
    </w:p>
    <w:p>
      <w:pPr>
        <w:spacing w:after="0" w:line="131"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18"/>
          <w:szCs w:val="18"/>
          <w:color w:val="auto"/>
        </w:rPr>
        <w:t>Segment revenue growth was partially offset by a decrease of $0.3 million attributable to the negative impact of foreign currency translation related to fluctuations in Canadian Dollar.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Africa &amp; APAC property segment revenue growth of $214.9 million was attributable to:</w:t>
      </w:r>
    </w:p>
    <w:p>
      <w:pPr>
        <w:spacing w:after="0" w:line="21" w:lineRule="exact"/>
        <w:rPr>
          <w:sz w:val="20"/>
          <w:szCs w:val="20"/>
          <w:color w:val="auto"/>
        </w:rPr>
      </w:pPr>
    </w:p>
    <w:p>
      <w:pPr>
        <w:ind w:left="540" w:hanging="218"/>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billings growth of $129.7 million, which was driven by:</w:t>
      </w:r>
    </w:p>
    <w:p>
      <w:pPr>
        <w:spacing w:after="0" w:line="3" w:lineRule="exact"/>
        <w:rPr>
          <w:rFonts w:ascii="Times New Roman" w:cs="Times New Roman" w:eastAsia="Times New Roman" w:hAnsi="Times New Roman"/>
          <w:sz w:val="18"/>
          <w:szCs w:val="18"/>
          <w:color w:val="auto"/>
        </w:rPr>
      </w:pPr>
    </w:p>
    <w:p>
      <w:pPr>
        <w:ind w:left="1260" w:hanging="306"/>
        <w:spacing w:after="0"/>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 million due to colocations and amendments;</w:t>
      </w:r>
    </w:p>
    <w:p>
      <w:pPr>
        <w:spacing w:after="0" w:line="3" w:lineRule="exact"/>
        <w:rPr>
          <w:rFonts w:ascii="Times New Roman" w:cs="Times New Roman" w:eastAsia="Times New Roman" w:hAnsi="Times New Roman"/>
          <w:sz w:val="18"/>
          <w:szCs w:val="18"/>
          <w:color w:val="auto"/>
        </w:rPr>
      </w:pPr>
    </w:p>
    <w:p>
      <w:pPr>
        <w:ind w:left="1260" w:hanging="306"/>
        <w:spacing w:after="0"/>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 million resulting from contractual escalations, net of churn;</w:t>
      </w:r>
    </w:p>
    <w:p>
      <w:pPr>
        <w:spacing w:after="0" w:line="3" w:lineRule="exact"/>
        <w:rPr>
          <w:rFonts w:ascii="Times New Roman" w:cs="Times New Roman" w:eastAsia="Times New Roman" w:hAnsi="Times New Roman"/>
          <w:sz w:val="18"/>
          <w:szCs w:val="18"/>
          <w:color w:val="auto"/>
        </w:rPr>
      </w:pPr>
    </w:p>
    <w:p>
      <w:pPr>
        <w:ind w:left="1260" w:hanging="306"/>
        <w:spacing w:after="0"/>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million generated from newly acquired or constructed sites; and</w:t>
      </w:r>
    </w:p>
    <w:p>
      <w:pPr>
        <w:spacing w:after="0" w:line="3" w:lineRule="exact"/>
        <w:rPr>
          <w:rFonts w:ascii="Times New Roman" w:cs="Times New Roman" w:eastAsia="Times New Roman" w:hAnsi="Times New Roman"/>
          <w:sz w:val="18"/>
          <w:szCs w:val="18"/>
          <w:color w:val="auto"/>
        </w:rPr>
      </w:pPr>
    </w:p>
    <w:p>
      <w:pPr>
        <w:ind w:left="1260" w:hanging="306"/>
        <w:spacing w:after="0"/>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million from other tenant billings;</w:t>
      </w:r>
    </w:p>
    <w:p>
      <w:pPr>
        <w:spacing w:after="0" w:line="3" w:lineRule="exact"/>
        <w:rPr>
          <w:rFonts w:ascii="Times New Roman" w:cs="Times New Roman" w:eastAsia="Times New Roman" w:hAnsi="Times New Roman"/>
          <w:sz w:val="18"/>
          <w:szCs w:val="18"/>
          <w:color w:val="auto"/>
        </w:rPr>
      </w:pPr>
    </w:p>
    <w:p>
      <w:pPr>
        <w:ind w:left="640" w:right="100" w:hanging="318"/>
        <w:spacing w:after="0" w:line="244" w:lineRule="auto"/>
        <w:tabs>
          <w:tab w:leader="none" w:pos="5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$24.7 million in other revenue, primarily attributable to a decrease in revenue reserves related to customers in Burkina Faso and Kenya; and</w:t>
      </w:r>
    </w:p>
    <w:p>
      <w:pPr>
        <w:ind w:left="540" w:hanging="218"/>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$15.7 million in pass-through revenue.</w:t>
      </w:r>
    </w:p>
    <w:p>
      <w:pPr>
        <w:spacing w:after="0" w:line="11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Segment revenue growth included an increase of $44.8 million, attributable to the impact of foreign currency translation, which included, among others, positive impacts of $27.6 million related to fluctuations in Ghanaian Cedi, $9.3 million related to fluctuations in Ugandan Shilling, $6.8 million related to fluctuations in Kenyan Shilling and $4.4 million related to fluctuations in West African CFA Franc, partially offset by negative impacts of $7.0 million related to fluctuations in Nigerian Naira.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property segment revenue growth of $103.0 million was attributable to:</w:t>
      </w:r>
    </w:p>
    <w:p>
      <w:pPr>
        <w:spacing w:after="0" w:line="21" w:lineRule="exact"/>
        <w:rPr>
          <w:sz w:val="20"/>
          <w:szCs w:val="20"/>
          <w:color w:val="auto"/>
        </w:rPr>
      </w:pPr>
    </w:p>
    <w:p>
      <w:pPr>
        <w:ind w:left="540" w:hanging="218"/>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billings growth of $39.8 million, which was driven by:</w:t>
      </w:r>
    </w:p>
    <w:p>
      <w:pPr>
        <w:spacing w:after="0" w:line="3" w:lineRule="exact"/>
        <w:rPr>
          <w:rFonts w:ascii="Times New Roman" w:cs="Times New Roman" w:eastAsia="Times New Roman" w:hAnsi="Times New Roman"/>
          <w:sz w:val="18"/>
          <w:szCs w:val="18"/>
          <w:color w:val="auto"/>
        </w:rPr>
      </w:pPr>
    </w:p>
    <w:p>
      <w:pPr>
        <w:ind w:left="960" w:hanging="322"/>
        <w:spacing w:after="0"/>
        <w:tabs>
          <w:tab w:leader="none" w:pos="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million due to colocations and amendments;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960" w:hanging="322"/>
        <w:spacing w:after="0"/>
        <w:tabs>
          <w:tab w:leader="none" w:pos="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million resulting from contractual escalations, net of churn; and</w:t>
      </w:r>
    </w:p>
    <w:p>
      <w:pPr>
        <w:spacing w:after="0" w:line="21" w:lineRule="exact"/>
        <w:rPr>
          <w:rFonts w:ascii="Times New Roman" w:cs="Times New Roman" w:eastAsia="Times New Roman" w:hAnsi="Times New Roman"/>
          <w:sz w:val="18"/>
          <w:szCs w:val="18"/>
          <w:color w:val="auto"/>
        </w:rPr>
      </w:pPr>
    </w:p>
    <w:p>
      <w:pPr>
        <w:ind w:left="960" w:hanging="322"/>
        <w:spacing w:after="0"/>
        <w:tabs>
          <w:tab w:leader="none" w:pos="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million generated from newly acquired or constructed sites;</w:t>
      </w:r>
    </w:p>
    <w:p>
      <w:pPr>
        <w:spacing w:after="0" w:line="3" w:lineRule="exact"/>
        <w:rPr>
          <w:rFonts w:ascii="Times New Roman" w:cs="Times New Roman" w:eastAsia="Times New Roman" w:hAnsi="Times New Roman"/>
          <w:sz w:val="18"/>
          <w:szCs w:val="18"/>
          <w:color w:val="auto"/>
        </w:rPr>
      </w:pPr>
    </w:p>
    <w:p>
      <w:pPr>
        <w:ind w:left="960" w:hanging="322"/>
        <w:spacing w:after="0"/>
        <w:tabs>
          <w:tab w:leader="none" w:pos="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of $1.4 million from other tenant billings;</w:t>
      </w:r>
    </w:p>
    <w:p>
      <w:pPr>
        <w:spacing w:after="0" w:line="3"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$14.5 million in other revenue; and</w:t>
      </w:r>
    </w:p>
    <w:p>
      <w:pPr>
        <w:spacing w:after="0" w:line="3"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$10.1 million in pass-through revenue, primarily attributable to an increase in energy costs.</w:t>
      </w:r>
    </w:p>
    <w:p>
      <w:pPr>
        <w:spacing w:after="0" w:line="13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Segment revenue growth included an increase of $38.6 million attributable to the positive impact of foreign currency translation related to fluctuations in Euro (“EUR”).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Latin America property segment revenue decrease of $75.3 million was attributable to:</w:t>
      </w:r>
    </w:p>
    <w:p>
      <w:pPr>
        <w:spacing w:after="0" w:line="21" w:lineRule="exact"/>
        <w:rPr>
          <w:sz w:val="20"/>
          <w:szCs w:val="20"/>
          <w:color w:val="auto"/>
        </w:rPr>
      </w:pPr>
    </w:p>
    <w:p>
      <w:pPr>
        <w:ind w:left="640" w:right="160" w:hanging="318"/>
        <w:spacing w:after="0" w:line="244" w:lineRule="auto"/>
        <w:tabs>
          <w:tab w:leader="none" w:pos="5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$71.6 million in other revenue, primarily attributable to an increase in revenue reserves related to customers in Brazil and Mexico and a decrease in tenant settlements in Brazil; and</w:t>
      </w:r>
    </w:p>
    <w:p>
      <w:pPr>
        <w:ind w:left="640" w:right="60" w:hanging="318"/>
        <w:spacing w:after="0" w:line="244" w:lineRule="auto"/>
        <w:tabs>
          <w:tab w:leader="none" w:pos="5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$56.2 million, attributable to the impact of foreign currency translation, which included, among others, negative impacts of $32.2 million related to fluctuations in Brazilian Real and $29.1 million related to fluctuations in Mexican Peso, partially offset by positive impacts of $5.6 million related to fluctuations in Peruvian Sol;</w:t>
      </w:r>
    </w:p>
    <w:p>
      <w:pPr>
        <w:spacing w:after="0" w:line="1"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billings growth of $36.5 million, which was driven by:</w:t>
      </w:r>
    </w:p>
    <w:p>
      <w:pPr>
        <w:spacing w:after="0" w:line="3" w:lineRule="exact"/>
        <w:rPr>
          <w:rFonts w:ascii="Times New Roman" w:cs="Times New Roman" w:eastAsia="Times New Roman" w:hAnsi="Times New Roman"/>
          <w:sz w:val="18"/>
          <w:szCs w:val="18"/>
          <w:color w:val="auto"/>
        </w:rPr>
      </w:pPr>
    </w:p>
    <w:p>
      <w:pPr>
        <w:ind w:left="1580" w:hanging="310"/>
        <w:spacing w:after="0"/>
        <w:tabs>
          <w:tab w:leader="none" w:pos="15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 million due to colocations and amendments;</w:t>
      </w:r>
    </w:p>
    <w:p>
      <w:pPr>
        <w:spacing w:after="0" w:line="3" w:lineRule="exact"/>
        <w:rPr>
          <w:rFonts w:ascii="Times New Roman" w:cs="Times New Roman" w:eastAsia="Times New Roman" w:hAnsi="Times New Roman"/>
          <w:sz w:val="18"/>
          <w:szCs w:val="18"/>
          <w:color w:val="auto"/>
        </w:rPr>
      </w:pPr>
    </w:p>
    <w:p>
      <w:pPr>
        <w:ind w:left="1580" w:hanging="310"/>
        <w:spacing w:after="0"/>
        <w:tabs>
          <w:tab w:leader="none" w:pos="15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 million from contractual escalations, net of churn; and</w:t>
      </w:r>
    </w:p>
    <w:p>
      <w:pPr>
        <w:spacing w:after="0" w:line="3" w:lineRule="exact"/>
        <w:rPr>
          <w:rFonts w:ascii="Times New Roman" w:cs="Times New Roman" w:eastAsia="Times New Roman" w:hAnsi="Times New Roman"/>
          <w:sz w:val="18"/>
          <w:szCs w:val="18"/>
          <w:color w:val="auto"/>
        </w:rPr>
      </w:pPr>
    </w:p>
    <w:p>
      <w:pPr>
        <w:ind w:left="1580" w:hanging="310"/>
        <w:spacing w:after="0"/>
        <w:tabs>
          <w:tab w:leader="none" w:pos="15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generated from newly acquired or constructed sites;</w:t>
      </w:r>
    </w:p>
    <w:p>
      <w:pPr>
        <w:spacing w:after="0" w:line="3" w:lineRule="exact"/>
        <w:rPr>
          <w:rFonts w:ascii="Times New Roman" w:cs="Times New Roman" w:eastAsia="Times New Roman" w:hAnsi="Times New Roman"/>
          <w:sz w:val="18"/>
          <w:szCs w:val="18"/>
          <w:color w:val="auto"/>
        </w:rPr>
      </w:pPr>
    </w:p>
    <w:p>
      <w:pPr>
        <w:ind w:left="1580" w:hanging="310"/>
        <w:spacing w:after="0"/>
        <w:tabs>
          <w:tab w:leader="none" w:pos="15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of $4.3 million from other tenant billings; and</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$16.0 million in pass-through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Centers segment revenue growth of $128.3 million was attributable to:</w:t>
      </w:r>
    </w:p>
    <w:p>
      <w:pPr>
        <w:spacing w:after="0" w:line="21" w:lineRule="exact"/>
        <w:rPr>
          <w:sz w:val="20"/>
          <w:szCs w:val="20"/>
          <w:color w:val="auto"/>
        </w:rPr>
      </w:pPr>
    </w:p>
    <w:p>
      <w:pPr>
        <w:ind w:left="640" w:right="80" w:hanging="318"/>
        <w:spacing w:after="0" w:line="24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$74.5 million in rental, related and other revenue, primarily due to new lease commencements, customer expansions and rent increases upon customer renewals;</w:t>
      </w:r>
    </w:p>
    <w:p>
      <w:pPr>
        <w:ind w:left="640" w:right="300" w:hanging="318"/>
        <w:spacing w:after="0" w:line="24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$36.8 million in power revenue from new lease commencements, increased power consumption and pricing increases from existing customers;</w:t>
      </w:r>
    </w:p>
    <w:p>
      <w:pPr>
        <w:ind w:left="640" w:hanging="31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$16.2 million in interconnection revenue, primarily due to customer interconnection net additions and set-up fees; and</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$0.8 million in straight-line revenue.</w:t>
      </w:r>
    </w:p>
    <w:p>
      <w:pPr>
        <w:spacing w:after="0" w:line="11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8"/>
          <w:szCs w:val="18"/>
          <w:color w:val="auto"/>
        </w:rPr>
        <w:t>Services segment revenue growth of $145.9 million was primarily attributable to increases in construction management services, site application, zoning and permitting services and structural and mount analyses services.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 2025</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&amp; Canada</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4,378.7</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Africa &amp; APAC (1)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4"/>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Data Centers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44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property</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7,451.7</w:t>
            </w:r>
          </w:p>
        </w:tc>
        <w:tc>
          <w:tcPr>
            <w:tcW w:w="1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Excludes the operating results of ATC TIPL, which are reported as discontinued operations. See Note 21 for further discussion.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p>
      <w:pPr>
        <w:spacing w:after="0" w:line="138" w:lineRule="exact"/>
        <w:rPr>
          <w:sz w:val="20"/>
          <w:szCs w:val="20"/>
          <w:color w:val="auto"/>
        </w:rPr>
      </w:pPr>
    </w:p>
    <w:p>
      <w:pPr>
        <w:ind w:left="640" w:hanging="31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&amp; Canada property segment gross margin was relatively consistent as compared to the prior-year period.</w:t>
      </w:r>
    </w:p>
    <w:p>
      <w:pPr>
        <w:spacing w:after="0" w:line="148" w:lineRule="exact"/>
        <w:rPr>
          <w:rFonts w:ascii="Times New Roman" w:cs="Times New Roman" w:eastAsia="Times New Roman" w:hAnsi="Times New Roman"/>
          <w:sz w:val="18"/>
          <w:szCs w:val="18"/>
          <w:color w:val="auto"/>
        </w:rPr>
      </w:pPr>
    </w:p>
    <w:p>
      <w:pPr>
        <w:ind w:left="640" w:right="140" w:hanging="318"/>
        <w:spacing w:after="0" w:line="252"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Africa &amp; APAC property segment gross margin was primarily attributable to the increase in revenue described above, partially offset by an increase in direct expenses of $48.5 million, primarily due to an increase in costs associated with pass-through revenue, including fuel and utility costs, and an increase in repair and maintenance spending. Direct expenses were also negatively impacted by $17.5 million from the impact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40" w:right="80" w:hanging="318"/>
        <w:spacing w:after="0" w:line="303" w:lineRule="auto"/>
        <w:tabs>
          <w:tab w:leader="none" w:pos="63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Europe property segment gross margin was primarily attributable to the increase in revenue described above, partially offset by an increase in direct expenses of $20.4 million, primarily due to an increase in costs associated with pass-through revenue, including energy costs and an increase in land rent costs. Direct expenses were also negatively impacted by $14.4 million from the impact of foreign currency translation.</w:t>
      </w:r>
    </w:p>
    <w:p>
      <w:pPr>
        <w:spacing w:after="0" w:line="80" w:lineRule="exact"/>
        <w:rPr>
          <w:rFonts w:ascii="Times New Roman" w:cs="Times New Roman" w:eastAsia="Times New Roman" w:hAnsi="Times New Roman"/>
          <w:sz w:val="16"/>
          <w:szCs w:val="16"/>
          <w:color w:val="auto"/>
        </w:rPr>
      </w:pPr>
    </w:p>
    <w:p>
      <w:pPr>
        <w:ind w:left="640" w:right="200" w:hanging="318"/>
        <w:spacing w:after="0" w:line="332" w:lineRule="auto"/>
        <w:tabs>
          <w:tab w:leader="none" w:pos="63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Latin America property segment gross margin was primarily attributable to the decrease in revenue described above, partially offset by a decrease in direct expenses of $4.1 million. Direct expenses also benefited by $15.1 million from the impact of foreign currency translation.</w:t>
      </w:r>
    </w:p>
    <w:p>
      <w:pPr>
        <w:spacing w:after="0" w:line="44" w:lineRule="exact"/>
        <w:rPr>
          <w:rFonts w:ascii="Times New Roman" w:cs="Times New Roman" w:eastAsia="Times New Roman" w:hAnsi="Times New Roman"/>
          <w:sz w:val="16"/>
          <w:szCs w:val="16"/>
          <w:color w:val="auto"/>
        </w:rPr>
      </w:pPr>
    </w:p>
    <w:p>
      <w:pPr>
        <w:ind w:left="640" w:hanging="318"/>
        <w:spacing w:after="0" w:line="252"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Data Centers segment gross margin was primarily attributable to the increase in revenue described above, partially offset by an increase in direct expenses of $11.6 million, primarily due to an increase in costs associated with power revenue, including utility costs, partially offset by a decrease in property taxes primarily as a result of a one-time benefit of $26.0 million due to final resolution of revised real property valuations related to the CoreSite Acquisition. Direct expenses also benefited by a legal settlement and resolution of a utility back billing matter.</w:t>
      </w:r>
    </w:p>
    <w:p>
      <w:pPr>
        <w:spacing w:after="0" w:line="118" w:lineRule="exact"/>
        <w:rPr>
          <w:rFonts w:ascii="Times New Roman" w:cs="Times New Roman" w:eastAsia="Times New Roman" w:hAnsi="Times New Roman"/>
          <w:sz w:val="18"/>
          <w:szCs w:val="18"/>
          <w:color w:val="auto"/>
        </w:rPr>
      </w:pPr>
    </w:p>
    <w:p>
      <w:pPr>
        <w:ind w:left="640" w:right="100" w:hanging="318"/>
        <w:spacing w:after="0" w:line="269"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Services segment gross margin was primarily attributable to the increase in revenue described above, partially offset by an increase in direct expenses of $81.4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Administrative and Development Expense (“SG&amp;A”)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 2025</w:t>
            </w:r>
          </w:p>
        </w:tc>
        <w:tc>
          <w:tcPr>
            <w:tcW w:w="0" w:type="dxa"/>
            <w:vAlign w:val="bottom"/>
          </w:tcPr>
          <w:p>
            <w:pPr>
              <w:spacing w:after="0"/>
              <w:rPr>
                <w:sz w:val="1"/>
                <w:szCs w:val="1"/>
                <w:color w:val="auto"/>
              </w:rPr>
            </w:pPr>
          </w:p>
        </w:tc>
      </w:tr>
      <w:tr>
        <w:trPr>
          <w:trHeight w:val="24"/>
        </w:trPr>
        <w:tc>
          <w:tcPr>
            <w:tcW w:w="7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1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&amp; Canada</w:t>
            </w:r>
          </w:p>
        </w:tc>
        <w:tc>
          <w:tcPr>
            <w:tcW w:w="780" w:type="dxa"/>
            <w:vAlign w:val="bottom"/>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166.6</w:t>
            </w:r>
          </w:p>
        </w:tc>
        <w:tc>
          <w:tcPr>
            <w:tcW w:w="100" w:type="dxa"/>
            <w:vAlign w:val="bottom"/>
          </w:tcPr>
          <w:p>
            <w:pPr>
              <w:spacing w:after="0"/>
              <w:rPr>
                <w:sz w:val="19"/>
                <w:szCs w:val="19"/>
                <w:color w:val="auto"/>
              </w:rPr>
            </w:pPr>
          </w:p>
        </w:tc>
        <w:tc>
          <w:tcPr>
            <w:tcW w:w="80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161.1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Africa &amp; APAC (1)</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102.6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111.0</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7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Data Centers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4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property</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503.4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483.7</w:t>
            </w:r>
          </w:p>
        </w:tc>
        <w:tc>
          <w:tcPr>
            <w:tcW w:w="1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409.9</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428.7</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2"/>
        </w:trPr>
        <w:tc>
          <w:tcPr>
            <w:tcW w:w="7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selling, general, administrative and development expense</w:t>
            </w:r>
          </w:p>
        </w:tc>
        <w:tc>
          <w:tcPr>
            <w:tcW w:w="780" w:type="dxa"/>
            <w:vAlign w:val="bottom"/>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940.7</w:t>
            </w:r>
          </w:p>
        </w:tc>
        <w:tc>
          <w:tcPr>
            <w:tcW w:w="100" w:type="dxa"/>
            <w:vAlign w:val="bottom"/>
          </w:tcPr>
          <w:p>
            <w:pPr>
              <w:spacing w:after="0"/>
              <w:rPr>
                <w:sz w:val="19"/>
                <w:szCs w:val="19"/>
                <w:color w:val="auto"/>
              </w:rPr>
            </w:pPr>
          </w:p>
        </w:tc>
        <w:tc>
          <w:tcPr>
            <w:tcW w:w="80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933.4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Excludes the operating results of ATC TIPL, which are reported as discontinued operations. See Note 21 for further discussion.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p>
      <w:pPr>
        <w:spacing w:after="0" w:line="151" w:lineRule="exact"/>
        <w:rPr>
          <w:sz w:val="20"/>
          <w:szCs w:val="20"/>
          <w:color w:val="auto"/>
        </w:rPr>
      </w:pPr>
    </w:p>
    <w:p>
      <w:pPr>
        <w:ind w:left="640" w:right="260" w:hanging="318"/>
        <w:spacing w:after="0" w:line="269" w:lineRule="auto"/>
        <w:tabs>
          <w:tab w:leader="none" w:pos="63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our U.S. &amp; Canada property segment SG&amp;A was primarily driven by increased personnel and related costs to support our business, increased canceled construction costs and a net increase in bad debt expense, partially offset by decreased professional services costs.</w:t>
      </w:r>
    </w:p>
    <w:p>
      <w:pPr>
        <w:spacing w:after="0" w:line="102" w:lineRule="exact"/>
        <w:rPr>
          <w:rFonts w:ascii="Times New Roman" w:cs="Times New Roman" w:eastAsia="Times New Roman" w:hAnsi="Times New Roman"/>
          <w:sz w:val="18"/>
          <w:szCs w:val="18"/>
          <w:i w:val="1"/>
          <w:iCs w:val="1"/>
          <w:color w:val="auto"/>
        </w:rPr>
      </w:pPr>
    </w:p>
    <w:p>
      <w:pPr>
        <w:ind w:left="640" w:hanging="318"/>
        <w:spacing w:after="0" w:line="269" w:lineRule="auto"/>
        <w:tabs>
          <w:tab w:leader="none" w:pos="63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our Africa &amp; APAC property segment SG&amp;A was primarily driven by increased local tax and professional services costs and increased canceled construction costs, partially offset by decreased personnel and related costs.</w:t>
      </w:r>
    </w:p>
    <w:p>
      <w:pPr>
        <w:spacing w:after="0" w:line="89" w:lineRule="exact"/>
        <w:rPr>
          <w:rFonts w:ascii="Times New Roman" w:cs="Times New Roman" w:eastAsia="Times New Roman" w:hAnsi="Times New Roman"/>
          <w:sz w:val="18"/>
          <w:szCs w:val="18"/>
          <w:i w:val="1"/>
          <w:iCs w:val="1"/>
          <w:color w:val="auto"/>
        </w:rPr>
      </w:pPr>
    </w:p>
    <w:p>
      <w:pPr>
        <w:ind w:left="640" w:right="60" w:hanging="318"/>
        <w:spacing w:after="0" w:line="269" w:lineRule="auto"/>
        <w:tabs>
          <w:tab w:leader="none" w:pos="63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our Europe property segment SG&amp;A was primarily driven by increased canceled construction costs and the negative impact of foreign currency translation, partially offset by decreased professional services costs.</w:t>
      </w:r>
    </w:p>
    <w:p>
      <w:pPr>
        <w:spacing w:after="0" w:line="102" w:lineRule="exact"/>
        <w:rPr>
          <w:rFonts w:ascii="Times New Roman" w:cs="Times New Roman" w:eastAsia="Times New Roman" w:hAnsi="Times New Roman"/>
          <w:sz w:val="18"/>
          <w:szCs w:val="18"/>
          <w:i w:val="1"/>
          <w:iCs w:val="1"/>
          <w:color w:val="auto"/>
        </w:rPr>
      </w:pPr>
    </w:p>
    <w:p>
      <w:pPr>
        <w:ind w:left="640" w:right="300" w:hanging="318"/>
        <w:spacing w:after="0" w:line="256" w:lineRule="auto"/>
        <w:tabs>
          <w:tab w:leader="none" w:pos="63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decrease in our Latin America property segment SG&amp;A was primarily driven by a net decrease in bad debt expense of $7.1 million, decreased personnel and related costs, lower canceled construction costs and a benefit from the impact of foreign currency translation, partially offset by increased local tax and professional services costs, including legal fees in Mexico.</w:t>
      </w:r>
    </w:p>
    <w:p>
      <w:pPr>
        <w:spacing w:after="0" w:line="114" w:lineRule="exact"/>
        <w:rPr>
          <w:rFonts w:ascii="Times New Roman" w:cs="Times New Roman" w:eastAsia="Times New Roman" w:hAnsi="Times New Roman"/>
          <w:sz w:val="18"/>
          <w:szCs w:val="18"/>
          <w:i w:val="1"/>
          <w:iCs w:val="1"/>
          <w:color w:val="auto"/>
        </w:rPr>
      </w:pPr>
    </w:p>
    <w:p>
      <w:pPr>
        <w:ind w:left="640" w:right="420" w:hanging="318"/>
        <w:spacing w:after="0" w:line="269"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our Data Centers segment SG&amp;A was primarily driven by increased personnel and related costs to support our business, partially offset by a legal settlement in the period.</w:t>
      </w:r>
    </w:p>
    <w:p>
      <w:pPr>
        <w:spacing w:after="0" w:line="8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our Services segment SG&amp;A was primarily driven by increased personnel and related costs to support our business.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40" w:right="180" w:hanging="318"/>
        <w:spacing w:after="0" w:line="250"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other SG&amp;A was primarily attributable to a decrease in stock-based compensation expense of $18.5 million, primarily driven by the reversal of previously recognized stock-based compensation expense associated with awards forfeited in connection with the departure of our Executive Vice President and President, APAC due to such role being eliminated, as discussed in note 12 to our consolidated financial statements included in this Annual Report, and a decrease in other corporate SG&amp;A, partially offset by an increase in personnel and related costs to support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 2025</w:t>
            </w:r>
          </w:p>
        </w:tc>
        <w:tc>
          <w:tcPr>
            <w:tcW w:w="0" w:type="dxa"/>
            <w:vAlign w:val="bottom"/>
          </w:tcPr>
          <w:p>
            <w:pPr>
              <w:spacing w:after="0"/>
              <w:rPr>
                <w:sz w:val="1"/>
                <w:szCs w:val="1"/>
                <w:color w:val="auto"/>
              </w:rPr>
            </w:pPr>
          </w:p>
        </w:tc>
      </w:tr>
      <w:tr>
        <w:trPr>
          <w:trHeight w:val="63"/>
        </w:trPr>
        <w:tc>
          <w:tcPr>
            <w:tcW w:w="7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7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&amp; Canada</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4,212.1</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4,216.1</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Africa &amp; APAC (1)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4"/>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4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Data Centers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44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property</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Excludes the operating results of ATC TIPL, which are reported as discontinued operations. See Note 21 for further discussion.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p>
      <w:pPr>
        <w:spacing w:after="0" w:line="151" w:lineRule="exact"/>
        <w:rPr>
          <w:sz w:val="20"/>
          <w:szCs w:val="20"/>
          <w:color w:val="auto"/>
        </w:rPr>
      </w:pPr>
    </w:p>
    <w:p>
      <w:pPr>
        <w:ind w:left="640" w:right="300" w:hanging="318"/>
        <w:spacing w:after="0" w:line="269"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operating profit for our U.S. &amp; Canada property segment was primarily attributable to an increase in our segment SG&amp;A, partially offset by an increase in our segment gross margin.</w:t>
      </w:r>
    </w:p>
    <w:p>
      <w:pPr>
        <w:spacing w:after="0" w:line="102" w:lineRule="exact"/>
        <w:rPr>
          <w:rFonts w:ascii="Times New Roman" w:cs="Times New Roman" w:eastAsia="Times New Roman" w:hAnsi="Times New Roman"/>
          <w:sz w:val="18"/>
          <w:szCs w:val="18"/>
          <w:color w:val="auto"/>
        </w:rPr>
      </w:pPr>
    </w:p>
    <w:p>
      <w:pPr>
        <w:ind w:left="640" w:right="340" w:hanging="318"/>
        <w:spacing w:after="0" w:line="269"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our Africa &amp; APAC property segment, Europe property segment, Data Centers segment and our Services segment were primarily attributable to increases in our segment gross margin, partially offset by increases in our segment SG&amp;A.</w:t>
      </w:r>
    </w:p>
    <w:p>
      <w:pPr>
        <w:spacing w:after="0" w:line="89" w:lineRule="exact"/>
        <w:rPr>
          <w:rFonts w:ascii="Times New Roman" w:cs="Times New Roman" w:eastAsia="Times New Roman" w:hAnsi="Times New Roman"/>
          <w:sz w:val="18"/>
          <w:szCs w:val="18"/>
          <w:color w:val="auto"/>
        </w:rPr>
      </w:pPr>
    </w:p>
    <w:p>
      <w:pPr>
        <w:ind w:left="640" w:right="620" w:hanging="318"/>
        <w:spacing w:after="0" w:line="269"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operating profit for our Latin America property segment was primarily attributable to a decrease in our segment gross margin, partially offset by a decrease in our segment SG&amp;A.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Amortization and Accretion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Change 2025</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0" w:type="dxa"/>
            <w:vAlign w:val="bottom"/>
          </w:tcPr>
          <w:p>
            <w:pPr>
              <w:spacing w:after="0"/>
              <w:rPr>
                <w:sz w:val="1"/>
                <w:szCs w:val="1"/>
                <w:color w:val="auto"/>
              </w:rPr>
            </w:pP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18"/>
          <w:szCs w:val="18"/>
          <w:color w:val="auto"/>
        </w:rPr>
        <w:t>The increase in depreciation, amortization and accretion expense for the year ended December 31, 2025 was primarily attributable to foreign currency exchange rate fluctuations.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Change 2025</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0" w:type="dxa"/>
            <w:vAlign w:val="bottom"/>
          </w:tcPr>
          <w:p>
            <w:pPr>
              <w:spacing w:after="0"/>
              <w:rPr>
                <w:sz w:val="1"/>
                <w:szCs w:val="1"/>
                <w:color w:val="auto"/>
              </w:rPr>
            </w:pP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18"/>
          <w:szCs w:val="18"/>
          <w:color w:val="auto"/>
        </w:rPr>
        <w:t>The decrease in other operating expense for the year ended December 31, 2025 was primarily attributable to the gain on the sale of South Africa Fiber of $53.6 million, partially offset by an increase in impairment charges of $32.1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Expense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Change 2025</w:t>
            </w:r>
          </w:p>
        </w:tc>
        <w:tc>
          <w:tcPr>
            <w:tcW w:w="0" w:type="dxa"/>
            <w:vAlign w:val="bottom"/>
          </w:tcPr>
          <w:p>
            <w:pPr>
              <w:spacing w:after="0"/>
              <w:rPr>
                <w:sz w:val="1"/>
                <w:szCs w:val="1"/>
                <w:color w:val="auto"/>
              </w:rPr>
            </w:pPr>
          </w:p>
        </w:tc>
      </w:tr>
      <w:tr>
        <w:trPr>
          <w:trHeight w:val="24"/>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0" w:type="dxa"/>
            <w:vAlign w:val="bottom"/>
          </w:tcPr>
          <w:p>
            <w:pPr>
              <w:spacing w:after="0"/>
              <w:rPr>
                <w:sz w:val="1"/>
                <w:szCs w:val="1"/>
                <w:color w:val="auto"/>
              </w:rPr>
            </w:pPr>
          </w:p>
        </w:tc>
      </w:tr>
      <w:tr>
        <w:trPr>
          <w:trHeight w:val="22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Total other expense consists primarily of interest expense and realized and unrealized foreign currency gains and losses. We record unrealized foreign currency gains or losses as a result of foreign currency exchange rate fluctuations primarily associated with our intercompany notes and similar unaffiliated balances denominated in a currency other than the subsidiaries’ functional currencies.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increase in total other expense during the year ended December 31, 2025 was primarily due to foreign currency losses of $809.4 million in the current period, as compared to foreign currency gains of $308.3 million in the prior-year period, partially offset by a decrease in net interest expense of $43.9 million, primarily due to a decrease in our average debt outstanding. Total other expense during the years ended December 31, 2025 and 2024 also include gains from equity securities in the United States of $232.6 million and $70.4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Change 2025</w:t>
            </w:r>
          </w:p>
        </w:tc>
        <w:tc>
          <w:tcPr>
            <w:tcW w:w="0" w:type="dxa"/>
            <w:vAlign w:val="bottom"/>
          </w:tcPr>
          <w:p>
            <w:pPr>
              <w:spacing w:after="0"/>
              <w:rPr>
                <w:sz w:val="1"/>
                <w:szCs w:val="1"/>
                <w:color w:val="auto"/>
              </w:rPr>
            </w:pPr>
          </w:p>
        </w:tc>
      </w:tr>
      <w:tr>
        <w:trPr>
          <w:trHeight w:val="24"/>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0" w:type="dxa"/>
            <w:vAlign w:val="bottom"/>
          </w:tcPr>
          <w:p>
            <w:pPr>
              <w:spacing w:after="0"/>
              <w:rPr>
                <w:sz w:val="1"/>
                <w:szCs w:val="1"/>
                <w:color w:val="auto"/>
              </w:rPr>
            </w:pPr>
          </w:p>
        </w:tc>
      </w:tr>
      <w:tr>
        <w:trPr>
          <w:trHeight w:val="22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8"/>
          <w:szCs w:val="18"/>
          <w:color w:val="auto"/>
        </w:rPr>
        <w:t>As a REIT, we may deduct earnings distributed to stockholders against the income generated by our REIT operations. Consequently, the effective tax rate on income from continuing operations for each of the years ended December 31, 2025 and 2024 differs from the federal statutory rate.</w:t>
      </w:r>
    </w:p>
    <w:p>
      <w:pPr>
        <w:spacing w:after="0" w:line="8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2025, the increase in the income tax provision was primarily attributable to (i) increased earnings in certain foreign jurisdictions, (ii) taxes incurred as a result of the sale of South Africa Fiber, (iii) additions to reserves for uncertain tax positions, (iv) gains from equity securities in the United States and (v) the reversal of permanent reinvestment assertions in Nigeria, partially offset by a net benefit from the application of tax law changes primarily in Germany and a decrease in withholding taxes from equity distributions due in part to the ATC TIPL 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 Net of Taxes</w:t>
      </w:r>
    </w:p>
    <w:p>
      <w:pPr>
        <w:spacing w:after="0" w:line="15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On January 4, 2024, we, through our subsidiaries, ATC Asia Pacific Pte. Ltd. and ATC Telecom Infrastructure Private Limited (“ATC TIPL”), which held our operations in India, entered into an agreement with Data Infrastructure Trust (“DIT”), an infrastructure investment trust sponsored by an affiliate of Brookfield Asset Management, pursuant to which DIT agreed to acquire a 100% ownership interest in ATC TIPL (the “ATC TIPL Transaction”). Per the terms of the agreement, total aggregate consideration represented up to approximately 210 billion Indian Rupees (“INR”) (approximately $2.5 billion), including the value of the VIL OCDs and the VIL Shares (each as defined and further discussed below), payments on certain existing customer receivables, the repayment of existing intercompany debt and the repayment, or assumption, of our existing term loan in India, by DIT.</w:t>
      </w:r>
    </w:p>
    <w:p>
      <w:pPr>
        <w:spacing w:after="0" w:line="108"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ATC TIPL distributed approximately 29.6 billion INR (approximately $354.1 million) to us, which included the value of the VIL Shares and the VIL OCDs and the satisfaction of the economic benefit associated with the rights to payments on certain existing customer receivables. The distributions were deducted from the total aggregate consideration received by us at closing.</w:t>
      </w:r>
    </w:p>
    <w:p>
      <w:pPr>
        <w:spacing w:after="0" w:line="11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ATC TIPL Transaction received all government and regulatory approvals during the three months ended September 30, 2024. On September 12, 2024, we completed the ATC TIPL Transaction and received total consideration of 182 billion INR (approximately $2.2 billion). We used the proceeds from the ATC TIPL Transaction to repay existing indebtedness under the 2021 Multicurrency Credit Facility. During the year ended December 31, 2024, we recorded a loss on the sale of ATC TIPL of $1.2 billion, which primarily included the reclassification of our cumulative translation adjustment in India upon exiting the market of $1.1 billion.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key components of Loss from discontinued operations, net of taxes in the consolidated statements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2600" w:type="dxa"/>
            <w:vAlign w:val="bottom"/>
            <w:gridSpan w:val="5"/>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Change 2025</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7200" w:type="dxa"/>
            <w:vAlign w:val="bottom"/>
          </w:tcPr>
          <w:p>
            <w:pPr>
              <w:spacing w:after="0"/>
              <w:rPr>
                <w:sz w:val="4"/>
                <w:szCs w:val="4"/>
                <w:color w:val="auto"/>
              </w:rPr>
            </w:pPr>
          </w:p>
        </w:tc>
        <w:tc>
          <w:tcPr>
            <w:tcW w:w="8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 (1)</w:t>
            </w:r>
          </w:p>
        </w:tc>
        <w:tc>
          <w:tcPr>
            <w:tcW w:w="1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0" w:type="dxa"/>
            <w:vAlign w:val="bottom"/>
          </w:tcPr>
          <w:p>
            <w:pPr>
              <w:spacing w:after="0"/>
              <w:rPr>
                <w:sz w:val="1"/>
                <w:szCs w:val="1"/>
                <w:color w:val="auto"/>
              </w:rPr>
            </w:pP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8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administrative and development expense</w:t>
            </w:r>
          </w:p>
        </w:tc>
        <w:tc>
          <w:tcPr>
            <w:tcW w:w="8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ATC TIPL</w:t>
            </w:r>
          </w:p>
        </w:tc>
        <w:tc>
          <w:tcPr>
            <w:tcW w:w="8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1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440" w:type="dxa"/>
            <w:vAlign w:val="bottom"/>
            <w:tcBorders>
              <w:top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taxes</w:t>
            </w: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440" w:type="dxa"/>
            <w:vAlign w:val="bottom"/>
            <w:tcBorders>
              <w:top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8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2"/>
        </w:trPr>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440" w:type="dxa"/>
            <w:vAlign w:val="bottom"/>
            <w:tcBorders>
              <w:top w:val="single" w:sz="8" w:color="CCEEFF"/>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Includes the results of operations for ATC TIPL through September 12, 2024.</w:t>
      </w:r>
    </w:p>
    <w:p>
      <w:pPr>
        <w:spacing w:after="0" w:line="14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Following the rulings by the Supreme Court of India regarding carriers’ obligations for the adjusted gross revenue fees and charges prescribed by the court, we experienced variability and a level of uncertainty in collections in India. In the third quarter of 2022, one of our largest customers in India, Vodafone Idea Limited (“VIL”), communicated that it would make partial payments of its contractual amounts owed to us (the “VIL Shortfall”). We recorded reserves in late 2022 and the first half of 2023 for the VIL Shortfall. In the second half of 2023, VIL began making payments in full of its monthly contractual obligations owed to us. During the year ended December 31, 2023, we deferred recognition of revenue of approximately $27.3 million, net of recoveries, related to VIL in India. During the year ended December 31, 2024, we recognized approximately $95.7 million of this previously deferred revenue. We have fully recognized this previously deferred revenue.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2023, and as amended in August 2023, VIL issued optionally convertible debentures (the “VIL OCDs”) to ATC TIPL in exchange for VIL’s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certain amounts towards accounts receivables. The VIL OCDs were issued for an aggregate face value of 16.0 billion INR (approximately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$193.2 million on the date of issuance). On March 23, 2024, we converted an aggregate face value of 14.4 billion INR (approximately $172.7 million) of VIL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OCDs into 1,440 million shares of equity of VIL (the “VIL Shares”). On April 29, 2024, we completed the sale of 1,440 million VIL Shares at a price of 12.78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INR per share. The net proceeds for this transaction were approximately 18.0 billion INR (approximately $216.0 million at the date of settlement) after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deducting commissions and fees. On June 5, 2024, we completed the sale of the remaining aggregate face value of 1.6 billion INR (approximately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$19.2 million) of the VIL OCDs. The net proceeds for this transaction, excluding accrued interest, were approximately 1.8 billion INR (approximately</w:t>
      </w:r>
    </w:p>
    <w:p>
      <w:pPr>
        <w:spacing w:after="0" w:line="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$22.0 million at the date of settlement) after deducting fees. None of the VIL Shares or the VIL OCDs remained outstanding. During the year ended December 31, 2024, we recognized a gain of $46.4 million on the sale of the VIL Shares and the VIL OCDs.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i w:val="1"/>
          <w:iCs w:val="1"/>
          <w:color w:val="auto"/>
        </w:rPr>
        <w:t>Net Income / Adjusted EBITDA and Net Income / Nareit FFO attributable to American Tower Corporation common stockholders / AFFO attributable to American Tower Corporation common stockholders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 2025</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0" w:type="dxa"/>
            <w:vAlign w:val="bottom"/>
          </w:tcPr>
          <w:p>
            <w:pPr>
              <w:spacing w:after="0"/>
              <w:rPr>
                <w:sz w:val="1"/>
                <w:szCs w:val="1"/>
                <w:color w:val="auto"/>
              </w:rPr>
            </w:pP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44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14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4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1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4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2"/>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(1)</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Excludes the operating results of ATC TIPL, which are reported as discontinued operations. See Note 21 for further discussion.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 2025</w:t>
            </w:r>
          </w:p>
        </w:tc>
        <w:tc>
          <w:tcPr>
            <w:tcW w:w="0" w:type="dxa"/>
            <w:vAlign w:val="bottom"/>
          </w:tcPr>
          <w:p>
            <w:pPr>
              <w:spacing w:after="0"/>
              <w:rPr>
                <w:sz w:val="1"/>
                <w:szCs w:val="1"/>
                <w:color w:val="auto"/>
              </w:rPr>
            </w:pPr>
          </w:p>
        </w:tc>
      </w:tr>
      <w:tr>
        <w:trPr>
          <w:trHeight w:val="24"/>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vs 2024</w:t>
            </w:r>
          </w:p>
        </w:tc>
        <w:tc>
          <w:tcPr>
            <w:tcW w:w="0" w:type="dxa"/>
            <w:vAlign w:val="bottom"/>
          </w:tcPr>
          <w:p>
            <w:pPr>
              <w:spacing w:after="0"/>
              <w:rPr>
                <w:sz w:val="1"/>
                <w:szCs w:val="1"/>
                <w:color w:val="auto"/>
              </w:rPr>
            </w:pPr>
          </w:p>
        </w:tc>
      </w:tr>
      <w:tr>
        <w:trPr>
          <w:trHeight w:val="22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(1)</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related depreciation, amortization and accretion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1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from sale or disposal of real estate and real estate related impairment charges (2)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4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and distributions for unconsolidated affiliates and noncontrolling interests (3)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discontinued operations (4)</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14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7"/>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Nareit FFO attributable to American Tower Corporation common stockholders</w:t>
            </w: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4,160.9</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revenue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4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4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6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portion of income tax and other income tax adjustments (5)</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amortization and accretion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1"/>
        </w:trPr>
        <w:tc>
          <w:tcPr>
            <w:tcW w:w="72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Amortization of deferred financing costs, capitalized interest, debt discounts and premiums and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interest charges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44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improvement capital expenditures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44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capital expenditures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distributions for unconsolidated affiliates and noncontrolling interests (8)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discontinued operations (9)</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4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2"/>
        </w:trPr>
        <w:tc>
          <w:tcPr>
            <w:tcW w:w="7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AFFO attributable to American Tower Corporation common stockholders</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4,934.1</w:t>
            </w:r>
          </w:p>
        </w:tc>
        <w:tc>
          <w:tcPr>
            <w:tcW w:w="14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340"/>
              <w:spacing w:after="0" w:line="157" w:lineRule="exact"/>
              <w:rPr>
                <w:sz w:val="20"/>
                <w:szCs w:val="20"/>
                <w:color w:val="auto"/>
              </w:rPr>
            </w:pPr>
            <w:r>
              <w:rPr>
                <w:rFonts w:ascii="Times New Roman" w:cs="Times New Roman" w:eastAsia="Times New Roman" w:hAnsi="Times New Roman"/>
                <w:sz w:val="18"/>
                <w:szCs w:val="18"/>
                <w:color w:val="auto"/>
              </w:rPr>
              <w:t>AFFO attributable to American Tower Corporation common stockholders from continuing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2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AFFO attributable to American Tower Corporation common stockholders from discontinued</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00" w:hanging="295"/>
        <w:spacing w:after="0"/>
        <w:tabs>
          <w:tab w:leader="none" w:pos="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includes Loss from discontinued operations, net of taxes of $978.3 million.</w:t>
      </w:r>
    </w:p>
    <w:p>
      <w:pPr>
        <w:spacing w:after="0" w:line="6" w:lineRule="exact"/>
        <w:rPr>
          <w:rFonts w:ascii="Times New Roman" w:cs="Times New Roman" w:eastAsia="Times New Roman" w:hAnsi="Times New Roman"/>
          <w:sz w:val="14"/>
          <w:szCs w:val="14"/>
          <w:color w:val="auto"/>
        </w:rPr>
      </w:pPr>
    </w:p>
    <w:p>
      <w:pPr>
        <w:ind w:left="320" w:right="120" w:hanging="315"/>
        <w:spacing w:after="0" w:line="270" w:lineRule="auto"/>
        <w:tabs>
          <w:tab w:leader="none" w:pos="30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2025 and 2024, includes impairment charges of $100.7 million and $68.6 million, respectively. For the year ended December 31, 2025, includes a gain on the sale of South Africa Fiber of $53.6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left="320" w:right="460" w:hanging="315"/>
        <w:spacing w:after="0" w:line="256" w:lineRule="auto"/>
        <w:tabs>
          <w:tab w:leader="none" w:pos="30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distributions to noncontrolling interest holders, distributions related to the outstanding mandatorily convertible preferred equity in connection with our agreements with certain investment vehicles affiliated with Stonepeak Partners LP and adjustments for the impact of noncontrolling interests on Nareit FFO attributable to American Tower Corporation common stockholders.</w:t>
      </w:r>
    </w:p>
    <w:p>
      <w:pPr>
        <w:spacing w:after="0" w:line="1" w:lineRule="exact"/>
        <w:rPr>
          <w:rFonts w:ascii="Times New Roman" w:cs="Times New Roman" w:eastAsia="Times New Roman" w:hAnsi="Times New Roman"/>
          <w:sz w:val="14"/>
          <w:szCs w:val="14"/>
          <w:color w:val="auto"/>
        </w:rPr>
      </w:pPr>
    </w:p>
    <w:p>
      <w:pPr>
        <w:ind w:left="320" w:hanging="315"/>
        <w:spacing w:after="0" w:line="252" w:lineRule="auto"/>
        <w:tabs>
          <w:tab w:leader="none" w:pos="30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includes (i) real estate related depreciation, amortization and accretion for discontinued operations of $91.3 million, (ii) losses from the sale or disposal of real estate and real estate related impairment charges for discontinued operations of $1.2 billion. For the year ended December 31, 2024, includes a loss on the sale of ATC TIPL of $1.2 billion.</w:t>
      </w:r>
    </w:p>
    <w:p>
      <w:pPr>
        <w:jc w:val="both"/>
        <w:ind w:left="320" w:right="40" w:hanging="315"/>
        <w:spacing w:after="0" w:line="251" w:lineRule="auto"/>
        <w:tabs>
          <w:tab w:leader="none" w:pos="30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includes adjustments for (i) $0.3 million of taxes paid in Singapore related to the ATC TIPL Transaction, (ii) $25.8 million of taxes paid in South Africa, which were incurred as a result of the sale of South Africa Fiber, (iii) $30.4 million of taxes paid related to the sale of equity securities in the U.S. and (iv) $6.5 million of other tax adjustments. For the year ended December 31, 2024, includes adjustments for withholding taxes paid in Singapore of $36.4 million, which were incurred as a result of the ATC TIPL Transaction. We believe that these tax payments are nonrecurring, and do not believe these are an indication of our operating performance. Accordingly, we believe it is more meaningful to present AFFO attributable to American Tower Corporation common stockholders excluding these amounts.</w:t>
      </w:r>
    </w:p>
    <w:p>
      <w:pPr>
        <w:spacing w:after="0" w:line="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losses (gains) on foreign currency exchange rate fluctuations of $809.4 million and $(308.3) million, respectively.</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acquisition-related costs, integration costs and disposition costs.</w:t>
      </w:r>
    </w:p>
    <w:p>
      <w:pPr>
        <w:spacing w:after="0" w:line="10" w:lineRule="exact"/>
        <w:rPr>
          <w:rFonts w:ascii="Times New Roman" w:cs="Times New Roman" w:eastAsia="Times New Roman" w:hAnsi="Times New Roman"/>
          <w:sz w:val="14"/>
          <w:szCs w:val="14"/>
          <w:color w:val="auto"/>
        </w:rPr>
      </w:pPr>
    </w:p>
    <w:p>
      <w:pPr>
        <w:ind w:left="320" w:right="320" w:hanging="315"/>
        <w:spacing w:after="0" w:line="245" w:lineRule="auto"/>
        <w:tabs>
          <w:tab w:leader="none" w:pos="30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adjustments for the impact of noncontrolling interests on other line items, excluding those already adjusted for in Nareit FFO attributable to American Tower Corporation common stockholders.</w:t>
      </w:r>
    </w:p>
    <w:p>
      <w:pPr>
        <w:ind w:left="320" w:right="380" w:hanging="315"/>
        <w:spacing w:after="0" w:line="270" w:lineRule="auto"/>
        <w:tabs>
          <w:tab w:leader="none" w:pos="30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impact of discontinued operations associated with other line items, excluding the impact already included in Nareit FFO attributable to American Tower Corporation common stockholders.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income was primarily due to losses from discontinued operations, net of tax, as a result of the ATC TIPL Transaction in the prior year.</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decrease in net income from continuing operations was primarily due to (i) changes in other income (expense), primarily due to foreign currency exchange rate fluctuations and (ii) an increase in the income tax provision, partially offset by (y) an increase in segment operating profit and (z) a decrease in interest expense.</w:t>
      </w:r>
    </w:p>
    <w:p>
      <w:pPr>
        <w:spacing w:after="0" w:line="10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The increase in Adjusted EBITDA was primarily attributable to an increase in our gross margin, partially offset by an increase in SG&amp;A, excluding the impact of stock-based compensation expense of $25.8 million.</w:t>
      </w:r>
    </w:p>
    <w:p>
      <w:pPr>
        <w:spacing w:after="0" w:line="10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increase in AFFO attributable to American Tower Corporation common stockholders was primarily attributable to (i) an increase in our operating profit, excluding the impact of straight-line accounting, and (ii) decreases in cash paid for interest and cash paid for income taxes, partially offset by (x) a decrease in AFFO attributable to American Tower Corporation common stockholders from discontinued operations as a result of the sale of ATC TIPL in the third quarter of 2024, (y) an increase in capital improvement capital expenditures and (z) an increase in distributions and adjustments for noncontrolling interests, including distributions to noncontrolling interest holders in our Data Centers segment.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Gross Margin Reconciliation</w:t>
      </w:r>
    </w:p>
    <w:p>
      <w:pPr>
        <w:spacing w:after="0" w:line="138"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8"/>
          <w:szCs w:val="18"/>
          <w:color w:val="auto"/>
        </w:rPr>
        <w:t>Gross margin is defined as revenue less costs of operations inclusive of real estate related depreciation, amortization and accretion. Segment gross margin excludes depreciation, amortization and accretion.</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 w:right="700"/>
        <w:spacing w:after="0" w:line="315" w:lineRule="auto"/>
        <w:rPr>
          <w:sz w:val="20"/>
          <w:szCs w:val="20"/>
          <w:color w:val="auto"/>
        </w:rPr>
      </w:pPr>
      <w:r>
        <w:rPr>
          <w:rFonts w:ascii="Times New Roman" w:cs="Times New Roman" w:eastAsia="Times New Roman" w:hAnsi="Times New Roman"/>
          <w:sz w:val="14"/>
          <w:szCs w:val="14"/>
          <w:b w:val="1"/>
          <w:bCs w:val="1"/>
          <w:color w:val="auto"/>
        </w:rPr>
        <w:t xml:space="preserve">Year ended December 31, 2025 </w:t>
      </w:r>
      <w:r>
        <w:rPr>
          <w:rFonts w:ascii="Times New Roman" w:cs="Times New Roman" w:eastAsia="Times New Roman" w:hAnsi="Times New Roman"/>
          <w:sz w:val="14"/>
          <w:szCs w:val="14"/>
          <w:color w:val="auto"/>
        </w:rPr>
        <w:t>Gross margin</w:t>
      </w:r>
    </w:p>
    <w:p>
      <w:pPr>
        <w:spacing w:after="0" w:line="1"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4"/>
          <w:szCs w:val="14"/>
          <w:color w:val="auto"/>
        </w:rPr>
        <w:t>Real estate related depreciation, amortization and accretion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gross margin</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rPr>
              <w:t>Africa &amp;</w:t>
            </w: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3"/>
                <w:szCs w:val="13"/>
                <w:color w:val="auto"/>
              </w:rPr>
            </w:pP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APAC</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Property</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3,783.1</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935.2</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5,831.3</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5,996.9</w:t>
            </w:r>
          </w:p>
        </w:tc>
        <w:tc>
          <w:tcPr>
            <w:tcW w:w="0" w:type="dxa"/>
            <w:vAlign w:val="bottom"/>
          </w:tcPr>
          <w:p>
            <w:pPr>
              <w:spacing w:after="0"/>
              <w:rPr>
                <w:sz w:val="1"/>
                <w:szCs w:val="1"/>
                <w:color w:val="auto"/>
              </w:rPr>
            </w:pPr>
          </w:p>
        </w:tc>
      </w:tr>
      <w:tr>
        <w:trPr>
          <w:trHeight w:val="331"/>
        </w:trPr>
        <w:tc>
          <w:tcPr>
            <w:tcW w:w="2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196.4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1,899.6</w:t>
            </w:r>
          </w:p>
        </w:tc>
        <w:tc>
          <w:tcPr>
            <w:tcW w:w="0" w:type="dxa"/>
            <w:vAlign w:val="bottom"/>
          </w:tcPr>
          <w:p>
            <w:pPr>
              <w:spacing w:after="0"/>
              <w:rPr>
                <w:sz w:val="1"/>
                <w:szCs w:val="1"/>
                <w:color w:val="auto"/>
              </w:rPr>
            </w:pPr>
          </w:p>
        </w:tc>
      </w:tr>
      <w:tr>
        <w:trPr>
          <w:trHeight w:val="204"/>
        </w:trPr>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4,378.7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1,131.6</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7,896.5</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-526415</wp:posOffset>
            </wp:positionV>
            <wp:extent cx="7110730" cy="142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0730" cy="142240"/>
                    </a:xfrm>
                    <a:prstGeom prst="rect">
                      <a:avLst/>
                    </a:prstGeom>
                    <a:noFill/>
                  </pic:spPr>
                </pic:pic>
              </a:graphicData>
            </a:graphic>
          </wp:anchor>
        </w:drawing>
        <w:drawing>
          <wp:anchor simplePos="0" relativeHeight="251657728" behindDoc="1" locked="0" layoutInCell="0" allowOverlap="1">
            <wp:simplePos x="0" y="0"/>
            <wp:positionH relativeFrom="column">
              <wp:posOffset>-1748790</wp:posOffset>
            </wp:positionH>
            <wp:positionV relativeFrom="paragraph">
              <wp:posOffset>-175260</wp:posOffset>
            </wp:positionV>
            <wp:extent cx="7110730" cy="158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0730" cy="158750"/>
                    </a:xfrm>
                    <a:prstGeom prst="rect">
                      <a:avLst/>
                    </a:prstGeom>
                    <a:noFill/>
                  </pic:spPr>
                </pic:pic>
              </a:graphicData>
            </a:graphic>
          </wp:anchor>
        </w:drawing>
      </w:r>
    </w:p>
    <w:p>
      <w:pPr>
        <w:spacing w:after="0" w:line="23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3387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87725" cy="8255"/>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2560" w:space="200"/>
            <w:col w:w="844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Africa &amp;</w:t>
            </w: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3"/>
                <w:szCs w:val="13"/>
                <w:color w:val="auto"/>
              </w:rPr>
            </w:pP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760" w:type="dxa"/>
            <w:vAlign w:val="bottom"/>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APAC (1)</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Property</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3,790.6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985.9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8"/>
              </w:rPr>
              <w:t>(56.2)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5,673.2</w:t>
            </w:r>
          </w:p>
        </w:tc>
        <w:tc>
          <w:tcPr>
            <w:tcW w:w="0" w:type="dxa"/>
            <w:vAlign w:val="bottom"/>
          </w:tcPr>
          <w:p>
            <w:pPr>
              <w:spacing w:after="0"/>
              <w:rPr>
                <w:sz w:val="1"/>
                <w:szCs w:val="1"/>
                <w:color w:val="auto"/>
              </w:rPr>
            </w:pPr>
          </w:p>
        </w:tc>
      </w:tr>
      <w:tr>
        <w:trPr>
          <w:trHeight w:val="136"/>
        </w:trPr>
        <w:tc>
          <w:tcPr>
            <w:tcW w:w="276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Real estate related depreciation, amortization</w:t>
            </w:r>
          </w:p>
        </w:tc>
        <w:tc>
          <w:tcPr>
            <w:tcW w:w="260" w:type="dxa"/>
            <w:vAlign w:val="bottom"/>
          </w:tcPr>
          <w:p>
            <w:pPr>
              <w:spacing w:after="0"/>
              <w:rPr>
                <w:sz w:val="11"/>
                <w:szCs w:val="11"/>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586.6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590.2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1,879.6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1,879.6</w:t>
            </w:r>
          </w:p>
        </w:tc>
        <w:tc>
          <w:tcPr>
            <w:tcW w:w="0" w:type="dxa"/>
            <w:vAlign w:val="bottom"/>
          </w:tcPr>
          <w:p>
            <w:pPr>
              <w:spacing w:after="0"/>
              <w:rPr>
                <w:sz w:val="1"/>
                <w:szCs w:val="1"/>
                <w:color w:val="auto"/>
              </w:rPr>
            </w:pPr>
          </w:p>
        </w:tc>
      </w:tr>
      <w:tr>
        <w:trPr>
          <w:trHeight w:val="19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accretion</w:t>
            </w: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gross margin</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4,377.2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1,187.7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534.0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7,552.8</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w:t>
      </w:r>
    </w:p>
    <w:p>
      <w:pPr>
        <w:spacing w:after="0" w:line="11" w:lineRule="exact"/>
        <w:rPr>
          <w:sz w:val="20"/>
          <w:szCs w:val="20"/>
          <w:color w:val="auto"/>
        </w:rPr>
      </w:pPr>
    </w:p>
    <w:p>
      <w:pPr>
        <w:ind w:left="320" w:hanging="315"/>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operating results of ATC TIPL, which are reported as discontinued operations. See Note 21 for further discussion.</w:t>
      </w:r>
    </w:p>
    <w:p>
      <w:pPr>
        <w:sectPr>
          <w:pgSz w:w="11900" w:h="16838" w:orient="portrait"/>
          <w:cols w:equalWidth="0" w:num="1">
            <w:col w:w="11200"/>
          </w:cols>
          <w:pgMar w:left="320" w:top="121" w:right="37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left="20" w:right="700"/>
        <w:spacing w:after="0" w:line="315" w:lineRule="auto"/>
        <w:rPr>
          <w:sz w:val="20"/>
          <w:szCs w:val="20"/>
          <w:color w:val="auto"/>
        </w:rPr>
      </w:pPr>
      <w:r>
        <w:rPr>
          <w:rFonts w:ascii="Times New Roman" w:cs="Times New Roman" w:eastAsia="Times New Roman" w:hAnsi="Times New Roman"/>
          <w:sz w:val="14"/>
          <w:szCs w:val="14"/>
          <w:b w:val="1"/>
          <w:bCs w:val="1"/>
          <w:color w:val="auto"/>
        </w:rPr>
        <w:t xml:space="preserve">Year ended December 31, 2023 </w:t>
      </w:r>
      <w:r>
        <w:rPr>
          <w:rFonts w:ascii="Times New Roman" w:cs="Times New Roman" w:eastAsia="Times New Roman" w:hAnsi="Times New Roman"/>
          <w:sz w:val="14"/>
          <w:szCs w:val="14"/>
          <w:color w:val="auto"/>
        </w:rPr>
        <w:t>Gross margin</w:t>
      </w:r>
    </w:p>
    <w:p>
      <w:pPr>
        <w:spacing w:after="0" w:line="1"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4"/>
          <w:szCs w:val="14"/>
          <w:color w:val="auto"/>
        </w:rPr>
        <w:t>Real estate related depreciation, amortization and accretion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gross margin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rPr>
              <w:t>Africa &amp;</w:t>
            </w: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3"/>
                <w:szCs w:val="13"/>
                <w:color w:val="auto"/>
              </w:rPr>
            </w:pP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APAC (1)</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Property</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3,362.7</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890.5</w:t>
            </w:r>
          </w:p>
        </w:tc>
        <w:tc>
          <w:tcPr>
            <w:tcW w:w="80" w:type="dxa"/>
            <w:vAlign w:val="bottom"/>
          </w:tcPr>
          <w:p>
            <w:pPr>
              <w:spacing w:after="0"/>
              <w:rPr>
                <w:sz w:val="17"/>
                <w:szCs w:val="17"/>
                <w:color w:val="auto"/>
              </w:rPr>
            </w:pP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w w:val="98"/>
              </w:rPr>
              <w:t>(196.0)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4,685.1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4,768.0</w:t>
            </w:r>
          </w:p>
        </w:tc>
        <w:tc>
          <w:tcPr>
            <w:tcW w:w="0" w:type="dxa"/>
            <w:vAlign w:val="bottom"/>
          </w:tcPr>
          <w:p>
            <w:pPr>
              <w:spacing w:after="0"/>
              <w:rPr>
                <w:sz w:val="1"/>
                <w:szCs w:val="1"/>
                <w:color w:val="auto"/>
              </w:rPr>
            </w:pPr>
          </w:p>
        </w:tc>
      </w:tr>
      <w:tr>
        <w:trPr>
          <w:trHeight w:val="331"/>
        </w:trPr>
        <w:tc>
          <w:tcPr>
            <w:tcW w:w="2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341.8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auto"/>
                <w:w w:val="99"/>
              </w:rPr>
              <w:t>683.1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2,682.7</w:t>
            </w:r>
          </w:p>
        </w:tc>
        <w:tc>
          <w:tcPr>
            <w:tcW w:w="0" w:type="dxa"/>
            <w:vAlign w:val="bottom"/>
          </w:tcPr>
          <w:p>
            <w:pPr>
              <w:spacing w:after="0"/>
              <w:rPr>
                <w:sz w:val="1"/>
                <w:szCs w:val="1"/>
                <w:color w:val="auto"/>
              </w:rPr>
            </w:pPr>
          </w:p>
        </w:tc>
      </w:tr>
      <w:tr>
        <w:trPr>
          <w:trHeight w:val="204"/>
        </w:trPr>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4,366.3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1,232.3</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center"/>
              <w:ind w:left="121"/>
              <w:spacing w:after="0"/>
              <w:rPr>
                <w:sz w:val="20"/>
                <w:szCs w:val="20"/>
                <w:color w:val="auto"/>
              </w:rPr>
            </w:pPr>
            <w:r>
              <w:rPr>
                <w:rFonts w:ascii="Times New Roman" w:cs="Times New Roman" w:eastAsia="Times New Roman" w:hAnsi="Times New Roman"/>
                <w:sz w:val="16"/>
                <w:szCs w:val="16"/>
                <w:color w:val="auto"/>
                <w:w w:val="99"/>
              </w:rPr>
              <w:t>487.1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7,367.8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7,450.7</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-526415</wp:posOffset>
            </wp:positionV>
            <wp:extent cx="7110730" cy="142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0730" cy="142240"/>
                    </a:xfrm>
                    <a:prstGeom prst="rect">
                      <a:avLst/>
                    </a:prstGeom>
                    <a:noFill/>
                  </pic:spPr>
                </pic:pic>
              </a:graphicData>
            </a:graphic>
          </wp:anchor>
        </w:drawing>
        <w:drawing>
          <wp:anchor simplePos="0" relativeHeight="251657728" behindDoc="1" locked="0" layoutInCell="0" allowOverlap="1">
            <wp:simplePos x="0" y="0"/>
            <wp:positionH relativeFrom="column">
              <wp:posOffset>-1748790</wp:posOffset>
            </wp:positionH>
            <wp:positionV relativeFrom="paragraph">
              <wp:posOffset>-175260</wp:posOffset>
            </wp:positionV>
            <wp:extent cx="7110730" cy="158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0730" cy="15875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560" w:space="200"/>
            <w:col w:w="8440"/>
          </w:cols>
          <w:pgMar w:left="320" w:top="121"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______________</w:t>
      </w:r>
    </w:p>
    <w:p>
      <w:pPr>
        <w:ind w:left="320" w:hanging="315"/>
        <w:spacing w:after="0"/>
        <w:tabs>
          <w:tab w:leader="none" w:pos="3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the operating results of ATC TIPL, which are reported as discontinued operations. See Note 21 for further discussion.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5"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For a discussion of our 2024 Liquidity and Capital Resources, including a discussion of cash flows for the fiscal year ended December 31, 2024 compared to the fiscal year ended December 31, 2023, refer to Part I, Item 7 of the 2024 Form 10-K.</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During the year ended December 31, 2025, we increased our financial flexibility and our ability to grow our business while maintaining our long-term financial policies. Our significant 2025 financing transactions included:</w:t>
      </w:r>
    </w:p>
    <w:p>
      <w:pPr>
        <w:spacing w:after="0" w:line="37" w:lineRule="exact"/>
        <w:rPr>
          <w:sz w:val="20"/>
          <w:szCs w:val="20"/>
          <w:color w:val="auto"/>
        </w:rPr>
      </w:pPr>
    </w:p>
    <w:p>
      <w:pPr>
        <w:ind w:left="640" w:right="20" w:hanging="318"/>
        <w:spacing w:after="0" w:line="251"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our 2.950% senior unsecured notes due 2025 (the “2.950% Notes”), our 2.400% senior unsecured notes due 2025 (the “2.400% Notes”), our 1.375% senior unsecured notes due 2025 (the “1.375% Notes”), our 4.000% notes due 2025 (the “4.000% Notes”) and our 1.300% senior unsecured notes due 2025 (the “1.300% Notes”);</w:t>
      </w:r>
    </w:p>
    <w:p>
      <w:pPr>
        <w:ind w:left="640" w:right="220" w:hanging="318"/>
        <w:spacing w:after="0" w:line="24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$525.0 million aggregate principal amount outstanding under our Secured Tower Revenue Notes, Series 2015-2, Class A (the “Series 2015-2 Notes”);</w:t>
      </w:r>
    </w:p>
    <w:p>
      <w:pPr>
        <w:ind w:left="640" w:right="260" w:hanging="318"/>
        <w:spacing w:after="0" w:line="24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public offering in an aggregate principal amount of $3.0 billion, including 500.0 million EUR, of senior unsecured notes with maturities ranging from 2030 to 2035; and</w:t>
      </w:r>
    </w:p>
    <w:p>
      <w:pPr>
        <w:ind w:left="640" w:right="40" w:hanging="318"/>
        <w:spacing w:after="0" w:line="248"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the 2021 Multicurrency Credit Facility, the 2021 Credit Facility and the 2021 Term Loan (as defined below) to, among other things, (i) extend the maturity dates and (ii) update the Applicable Margins (as defined in the loan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liquidity as of December 31, 2025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Available under the 2021</w:t>
            </w:r>
          </w:p>
        </w:tc>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Multicurrency Credit Facility</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5,620.0</w:t>
            </w:r>
          </w:p>
        </w:tc>
      </w:tr>
      <w:tr>
        <w:trPr>
          <w:trHeight w:val="22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Available under the 2021</w:t>
            </w: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4"/>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8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17"/>
        </w:trPr>
        <w:tc>
          <w:tcPr>
            <w:tcW w:w="9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available under credit facilities, net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9,583.2</w:t>
            </w:r>
          </w:p>
        </w:tc>
      </w:tr>
      <w:tr>
        <w:trPr>
          <w:trHeight w:val="224"/>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w:t>
            </w:r>
          </w:p>
        </w:tc>
      </w:tr>
      <w:tr>
        <w:trPr>
          <w:trHeight w:val="217"/>
        </w:trPr>
        <w:tc>
          <w:tcPr>
            <w:tcW w:w="1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liquidity</w:t>
            </w:r>
          </w:p>
        </w:tc>
        <w:tc>
          <w:tcPr>
            <w:tcW w:w="816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11,058.0</w:t>
            </w:r>
          </w:p>
        </w:tc>
      </w:tr>
      <w:tr>
        <w:trPr>
          <w:trHeight w:val="20"/>
        </w:trPr>
        <w:tc>
          <w:tcPr>
            <w:tcW w:w="18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8"/>
          <w:szCs w:val="18"/>
          <w:color w:val="auto"/>
        </w:rPr>
        <w:t>Subsequent to December 31, 2025, we made additional borrowings of $600.0 million under the 2021 Credit Facility and net borrowings of $135.0 million under the 2021 Multicurrency Credit Facility. The borrowings were used to repay existing indebtedness and for general corporate purposes.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cash flow information is set forth below for the years ended December 31,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86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Net cash provided by (used for):</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5,290.5</w:t>
            </w:r>
          </w:p>
        </w:tc>
      </w:tr>
      <w:tr>
        <w:trPr>
          <w:trHeight w:val="224"/>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Investing activities (1)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r>
      <w:tr>
        <w:trPr>
          <w:trHeight w:val="224"/>
        </w:trPr>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(5,452.4)</w:t>
            </w:r>
          </w:p>
        </w:tc>
      </w:tr>
      <w:tr>
        <w:trPr>
          <w:trHeight w:val="22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effect of changes in foreign currency exchange rates on cash and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1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For the year ended December 31, 2024, includes $2.2 billion of proceeds from the ATC TIPL Transaction.</w:t>
      </w:r>
    </w:p>
    <w:p>
      <w:pPr>
        <w:spacing w:after="0" w:line="143"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6"/>
          <w:szCs w:val="16"/>
          <w:color w:val="auto"/>
        </w:rPr>
        <w:t>We use our cash flows to fund our operations and investments in our business, including maintenance and improvements, communications site and data center construction, managed network installations and acquisitions. Additionally, we use our cash flows to make distributions, including distributions of our REIT taxable income to maintain our qualification for taxation as a REIT under the Code. We may also periodically repay or repurchase our existing indebtedness or equity. We typically fund our international expansion efforts primarily through a combination of cash on hand, intercompany debt and equity contributions.</w:t>
      </w:r>
    </w:p>
    <w:p>
      <w:pPr>
        <w:spacing w:after="0" w:line="7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an on-going basis, we also perform a comprehensive assessment of our global operations to ensure our portfolio is positioned to drive sustained growth and achieve our risk-adjusted return objectives. This assessment may result in our decision to divest a portion, or all, of certain assets, including our South Africa Fiber business in 2025, our Australia and New Zealand businesses in 2024, the ATC TIPL Transaction, and our Mexico fiber and Poland businesses in 2023 and repurpose proceeds, and potential future capital, to other capital priorities.</w:t>
      </w:r>
    </w:p>
    <w:p>
      <w:pPr>
        <w:spacing w:after="0" w:line="15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As of December 31, 2025, we had total outstanding indebtedness of $37.4 billion, with a current portion of $3.4 billion. During the year ended December 31, 2025, we generated sufficient cash flow from operations, together with borrowings under our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160"/>
        <w:spacing w:after="0" w:line="242" w:lineRule="auto"/>
        <w:rPr>
          <w:sz w:val="20"/>
          <w:szCs w:val="20"/>
          <w:color w:val="auto"/>
        </w:rPr>
      </w:pPr>
      <w:r>
        <w:rPr>
          <w:rFonts w:ascii="Times New Roman" w:cs="Times New Roman" w:eastAsia="Times New Roman" w:hAnsi="Times New Roman"/>
          <w:sz w:val="18"/>
          <w:szCs w:val="18"/>
          <w:color w:val="auto"/>
        </w:rPr>
        <w:t>credit facilities, proceeds from our debt issuances and cash on hand, to fund our acquisitions, capital expenditures and debt service obligations, as well as our required distributions. We believe the cash generated by operating activities during the year ending December 31, 2026, together with our borrowing capacity under our credit facilities, will suffice to fund our required distributions, capital expenditures, debt service obligations (interest and principal repayments) and signed acquisitions.</w:t>
      </w:r>
    </w:p>
    <w:p>
      <w:pPr>
        <w:spacing w:after="0" w:line="114"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As of December 31, 2025, we had $1.5 billion of cash and cash equivalents held by our foreign subsidiaries. As of December 31, 2025, we had $140.7 million of cash and cash equivalents held by our joint ventures, of which $91.3 million was held by our foreign joint ventures. Certain foreign subsidiaries may pay us interest or principal on intercompany debt. Additionally, in the event that we repatriate funds from our foreign subsidiaries, we may be required to accrue and pay certain taxes.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40"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8"/>
          <w:szCs w:val="18"/>
          <w:color w:val="auto"/>
        </w:rPr>
        <w:t>For the year ended December 31, 2025, cash provided by operating activities increased $173.5 million as compared to the year ended December 31, 2024. The primary factors that impacted cash provided by operating activities as compared to the year ended December 31, 2024, include:</w:t>
      </w:r>
    </w:p>
    <w:p>
      <w:pPr>
        <w:spacing w:after="0" w:line="102" w:lineRule="exact"/>
        <w:rPr>
          <w:sz w:val="20"/>
          <w:szCs w:val="20"/>
          <w:color w:val="auto"/>
        </w:rPr>
      </w:pPr>
    </w:p>
    <w:p>
      <w:pPr>
        <w:ind w:left="640" w:hanging="31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operating profit, including the impact of straight-line accounting; and</w:t>
      </w:r>
    </w:p>
    <w:p>
      <w:pPr>
        <w:spacing w:after="0" w:line="21" w:lineRule="exact"/>
        <w:rPr>
          <w:rFonts w:ascii="Times New Roman" w:cs="Times New Roman" w:eastAsia="Times New Roman" w:hAnsi="Times New Roman"/>
          <w:sz w:val="18"/>
          <w:szCs w:val="18"/>
          <w:color w:val="auto"/>
        </w:rPr>
      </w:pPr>
    </w:p>
    <w:p>
      <w:pPr>
        <w:ind w:left="640" w:right="6540" w:hanging="318"/>
        <w:spacing w:after="0" w:line="24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cash paid for interest and cash paid for taxes; partially offset by:</w:t>
      </w:r>
    </w:p>
    <w:p>
      <w:pPr>
        <w:ind w:left="1260" w:hanging="306"/>
        <w:spacing w:after="0"/>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cash flows from ATC TIPL as a result of the sale in 2024; and</w:t>
      </w:r>
    </w:p>
    <w:p>
      <w:pPr>
        <w:spacing w:after="0" w:line="3" w:lineRule="exact"/>
        <w:rPr>
          <w:rFonts w:ascii="Times New Roman" w:cs="Times New Roman" w:eastAsia="Times New Roman" w:hAnsi="Times New Roman"/>
          <w:sz w:val="18"/>
          <w:szCs w:val="18"/>
          <w:color w:val="auto"/>
        </w:rPr>
      </w:pPr>
    </w:p>
    <w:p>
      <w:pPr>
        <w:ind w:left="1280" w:right="320" w:hanging="326"/>
        <w:spacing w:after="0" w:line="248" w:lineRule="auto"/>
        <w:tabs>
          <w:tab w:leader="none" w:pos="127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required for working capital, primarily as a result of an increase in prepaid and other assets and a decrease in accounts payable.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investing activities during the year ended December 31, 2025 are highlighted below:</w:t>
      </w:r>
    </w:p>
    <w:p>
      <w:pPr>
        <w:spacing w:after="0" w:line="149" w:lineRule="exact"/>
        <w:rPr>
          <w:sz w:val="20"/>
          <w:szCs w:val="20"/>
          <w:color w:val="auto"/>
        </w:rPr>
      </w:pPr>
    </w:p>
    <w:p>
      <w:pPr>
        <w:ind w:left="640" w:hanging="31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spent approximately $454.2 million for acquisitions.</w:t>
      </w:r>
    </w:p>
    <w:p>
      <w:pPr>
        <w:spacing w:after="0" w:line="21" w:lineRule="exact"/>
        <w:rPr>
          <w:rFonts w:ascii="Times New Roman" w:cs="Times New Roman" w:eastAsia="Times New Roman" w:hAnsi="Times New Roman"/>
          <w:sz w:val="18"/>
          <w:szCs w:val="18"/>
          <w:color w:val="auto"/>
        </w:rPr>
      </w:pPr>
    </w:p>
    <w:p>
      <w:pPr>
        <w:ind w:left="640" w:right="140" w:hanging="318"/>
        <w:spacing w:after="0" w:line="244"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approximately $137.7 million from the sale of South Africa Fiber and approximately $159.6 million from the sale of equity securities in the U.S.</w:t>
      </w:r>
    </w:p>
    <w:p>
      <w:pPr>
        <w:ind w:left="640" w:hanging="31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spent $1.7 billion for capital expenditures, as follows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Discretionary capital projects (1)</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w:t>
            </w:r>
          </w:p>
        </w:tc>
      </w:tr>
      <w:tr>
        <w:trPr>
          <w:trHeight w:val="224"/>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 lease purchases (2)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24"/>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improvements and corporate expenditures (3)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4"/>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Redevelopment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24"/>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Start-up capital projects</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2"/>
        </w:trPr>
        <w:tc>
          <w:tcPr>
            <w:tcW w:w="9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1,720.7</w:t>
            </w: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320" w:hanging="315"/>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construction of 1,918 communications sites globally and approximately $608.9 million of spend related to data center assets.</w:t>
      </w:r>
    </w:p>
    <w:p>
      <w:pPr>
        <w:spacing w:after="0" w:line="10" w:lineRule="exact"/>
        <w:rPr>
          <w:rFonts w:ascii="Times New Roman" w:cs="Times New Roman" w:eastAsia="Times New Roman" w:hAnsi="Times New Roman"/>
          <w:sz w:val="14"/>
          <w:szCs w:val="14"/>
          <w:color w:val="auto"/>
        </w:rPr>
      </w:pPr>
    </w:p>
    <w:p>
      <w:pPr>
        <w:ind w:left="320" w:right="300" w:hanging="315"/>
        <w:spacing w:after="0" w:line="248" w:lineRule="auto"/>
        <w:tabs>
          <w:tab w:leader="none" w:pos="3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$36.0 million of perpetual land easement payments reported in Deferred financing costs and other financing activities in the cash flows from financing activities in our consolidated statements of cash flows.</w:t>
      </w:r>
    </w:p>
    <w:p>
      <w:pPr>
        <w:ind w:left="320" w:right="480" w:hanging="315"/>
        <w:spacing w:after="0" w:line="264" w:lineRule="auto"/>
        <w:tabs>
          <w:tab w:leader="none" w:pos="3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$4.3 million of finance lease payments reported in Repayments of notes payable, credit facilities, senior notes, secured debt, term loans and finance leases in the cash flows from financing activities in our consolidated statements of cash flows.</w:t>
      </w:r>
    </w:p>
    <w:p>
      <w:pPr>
        <w:spacing w:after="0" w:line="148"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We plan to continue to allocate our available capital, after satisfying our distribution requirements, among investment alternatives that meet our return on investment criteria, while maintaining our commitment to our long-term financial policies. Accordingly, we expect to continue to deploy capital through our annual capital expenditure program, including land purchases and new site and data center facility construction, and through acquisitions. We also regularly review our portfolios as to capital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required to upgrade our infrastructure to our structural standards or address capacity, structural or permitting issues.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We expect that our 2026 total capital expenditures will be as follows (in millions):</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
        </w:trPr>
        <w:tc>
          <w:tcPr>
            <w:tcW w:w="8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Discretionary capital projects (1)</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 lease purchases</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improvements and corporate expenditures</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Redevelopment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Start-up capital projects</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2"/>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Includes the construction of approximately 1,700 to 2,300 communications sites globally and approximately $695 million of anticipated spend related to data center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financing activities were as follows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5"/>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senior notes, net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3,568.6</w:t>
            </w:r>
          </w:p>
        </w:tc>
      </w:tr>
      <w:tr>
        <w:trPr>
          <w:trHeight w:val="22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(repayments of) credit facilities,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(2,321.1)</w:t>
            </w:r>
          </w:p>
        </w:tc>
      </w:tr>
      <w:tr>
        <w:trPr>
          <w:trHeight w:val="22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term loans (1)</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r>
      <w:tr>
        <w:trPr>
          <w:trHeight w:val="22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securitized debt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senior notes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r>
      <w:tr>
        <w:trPr>
          <w:trHeight w:val="22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paid on common stock</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(3,074.9)</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320" w:right="120" w:hanging="315"/>
        <w:spacing w:after="0" w:line="250" w:lineRule="auto"/>
        <w:tabs>
          <w:tab w:leader="none" w:pos="31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includes the repayments of the 825.0 million EUR unsecured term loan, as amended in December 2021, and the 10.0 billion INR unsecured term loan in India, which was repaid in connection with the completion of the ATC TIPL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w:t>
      </w:r>
    </w:p>
    <w:p>
      <w:pPr>
        <w:spacing w:after="0" w:line="149"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8"/>
          <w:szCs w:val="18"/>
          <w:i w:val="1"/>
          <w:iCs w:val="1"/>
          <w:color w:val="auto"/>
        </w:rPr>
        <w:t>American Tower Secured Revenue Notes and Repayment of Series 2015-2 Notes</w:t>
      </w:r>
      <w:r>
        <w:rPr>
          <w:rFonts w:ascii="Times New Roman" w:cs="Times New Roman" w:eastAsia="Times New Roman" w:hAnsi="Times New Roman"/>
          <w:sz w:val="18"/>
          <w:szCs w:val="18"/>
          <w:color w:val="auto"/>
        </w:rPr>
        <w:t>—In May 2015, GTP Acquisition Partners I, LLC, one of our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refinanced existing debt with cash on hand and proceeds from a private issuance (the “2015 Securitization”) of (i) $350.0 million of American Tower Secured Revenue Notes, Series 2015-1, Class A, which were subsequently repaid on the June 2020 payment date, and (ii) $525.0 million of the Series 2015-2 Notes. On the June 2025 payment date, we repaid $525.0 million aggregate principal amount outstanding under the Series 2015-2 Notes, pursuant to the terms of the agreements governing such securities. The repayment was funded with borrowings under the 2021 Multicurrency Credit Facility and cash on hand. Following such repayment, no notes were outstanding under the 2015 Securitization.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Repayments of Senior Notes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Repayment of 2.950% Senior Notes—</w:t>
      </w:r>
      <w:r>
        <w:rPr>
          <w:rFonts w:ascii="Times New Roman" w:cs="Times New Roman" w:eastAsia="Times New Roman" w:hAnsi="Times New Roman"/>
          <w:sz w:val="16"/>
          <w:szCs w:val="16"/>
          <w:color w:val="auto"/>
        </w:rPr>
        <w:t>On January 14, 2025, we repaid $650.0 million aggregate principal amount of the 2.950% Notes upon their maturity. The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2.950% Notes were repaid using cash on hand and borrowings under the 2021 Multicurrency Credit Facility. Upon completion of the repayment, none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2.950% Notes remained outstanding.</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2.400% Senior Notes—</w:t>
      </w:r>
      <w:r>
        <w:rPr>
          <w:rFonts w:ascii="Times New Roman" w:cs="Times New Roman" w:eastAsia="Times New Roman" w:hAnsi="Times New Roman"/>
          <w:sz w:val="18"/>
          <w:szCs w:val="18"/>
          <w:color w:val="auto"/>
        </w:rPr>
        <w:t>On March 14, 2025, we repaid $750.0 million aggregate principal amount of the 2.400% Notes upon their maturity.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2.400% Notes were repaid using proceeds from the issuance of the 4.900% Notes and the 5.350% Notes (each as defined below). Upon completion of the repayment, none of the 2.400% Notes remained outstanding.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Repayment of 1.375% Senior Notes</w:t>
      </w:r>
      <w:r>
        <w:rPr>
          <w:rFonts w:ascii="Times New Roman" w:cs="Times New Roman" w:eastAsia="Times New Roman" w:hAnsi="Times New Roman"/>
          <w:sz w:val="16"/>
          <w:szCs w:val="16"/>
          <w:color w:val="auto"/>
        </w:rPr>
        <w:t>—On April 3, 2025, we repaid 500.0 million EUR aggregate principal amount of the 1.375% Notes upon their maturity. The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1.375% Notes were repaid using borrowings under the 2021 Multicurrency Credit Facility and cash on hand. Upon completion of the repayment, none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1.375% Notes remained outstanding.</w:t>
      </w:r>
    </w:p>
    <w:p>
      <w:pPr>
        <w:spacing w:after="0" w:line="12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4.000% Senior Notes</w:t>
      </w:r>
      <w:r>
        <w:rPr>
          <w:rFonts w:ascii="Times New Roman" w:cs="Times New Roman" w:eastAsia="Times New Roman" w:hAnsi="Times New Roman"/>
          <w:sz w:val="18"/>
          <w:szCs w:val="18"/>
          <w:color w:val="auto"/>
        </w:rPr>
        <w:t>—On May 30, 2025, we repaid $750.0 million aggregate principal amount of the 4.000% Notes upon their maturity.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4.000% Notes were repaid using borrowings under the 2021 Credit Facility and cash on hand. Upon completion of the repayment, none of the 4.000%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1.300% Senior Notes</w:t>
      </w:r>
      <w:r>
        <w:rPr>
          <w:rFonts w:ascii="Times New Roman" w:cs="Times New Roman" w:eastAsia="Times New Roman" w:hAnsi="Times New Roman"/>
          <w:sz w:val="18"/>
          <w:szCs w:val="18"/>
          <w:color w:val="auto"/>
        </w:rPr>
        <w:t>—On September 12, 2025, we repaid $500.0 million aggregate principal amount of the 1.300% Notes upon their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1.300% Notes were repaid using borrowings under the 2021 Credit Facility. Upon completion of the repayment, none of the 1.300% Notes remained outstanding.</w:t>
      </w:r>
    </w:p>
    <w:p>
      <w:pPr>
        <w:spacing w:after="0" w:line="1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4.400% Senior Notes</w:t>
      </w:r>
      <w:r>
        <w:rPr>
          <w:rFonts w:ascii="Times New Roman" w:cs="Times New Roman" w:eastAsia="Times New Roman" w:hAnsi="Times New Roman"/>
          <w:sz w:val="18"/>
          <w:szCs w:val="18"/>
          <w:color w:val="auto"/>
        </w:rPr>
        <w:t>—On February 13, 2026, we repaid $500.0 million aggregate principal amount of our 4.400% senior unsecured notes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(the “4.400% Notes”) upon their maturity. The 4.400% Notes were repaid using borrowings under the 2021 Credit Facility and cash on hand. Upon completion of the repayment, none of the 4.400% Notes remained outstanding.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Offerings of Senior Notes</w:t>
      </w:r>
    </w:p>
    <w:p>
      <w:pPr>
        <w:spacing w:after="0" w:line="14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4.900% Senior Notes and 5.350% Senior Notes Offering—</w:t>
      </w:r>
      <w:r>
        <w:rPr>
          <w:rFonts w:ascii="Times New Roman" w:cs="Times New Roman" w:eastAsia="Times New Roman" w:hAnsi="Times New Roman"/>
          <w:sz w:val="18"/>
          <w:szCs w:val="18"/>
          <w:color w:val="auto"/>
        </w:rPr>
        <w:t>On March 14, 2025, we completed a registered public offering of $650.0 million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4.900% senior unsecured notes due 2030 (the “Initial 4.900% Notes”) and $350.0 million aggregate principal amount of 5.350% senior unsecured notes due 2035 (the “Initial 5.350% Notes”). The net proceeds from this offering were approximately $988.9 million, after deducting commissions and estimated expenses. We used the net proceeds to repay the 2.400% Notes, to repay existing indebtedness under the 2021 Multicurrency Credit Facility and for general corporate purposes.</w:t>
      </w:r>
    </w:p>
    <w:p>
      <w:pPr>
        <w:spacing w:after="0" w:line="11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September 16, 2025, we completed a registered public offering of $200.0 million aggregate principal amount through a reopening of the Initial 4.900% Notes (the “Reopened 4.900% Notes” and, collectively with the Initial 4.900% Notes, the “4.900% Notes”) and $375.0 million aggregate principal amount through a reopening of the Initial 5.350% Notes (the “Reopened 5.350% Notes” and, collectively with the Initial 5.350% Notes, the “5.350% Notes”). The net proceeds from this offering were approximately $587.8 million, after deducting commissions and estimated expenses. We used the net proceeds to repay existing indebtedness under the 2021 Credit Facility and for general corporate purposes.</w:t>
      </w:r>
    </w:p>
    <w:p>
      <w:pPr>
        <w:spacing w:after="0" w:line="106"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i w:val="1"/>
          <w:iCs w:val="1"/>
          <w:color w:val="auto"/>
        </w:rPr>
        <w:t>3.625% Senior Notes Offering—</w:t>
      </w:r>
      <w:r>
        <w:rPr>
          <w:rFonts w:ascii="Times New Roman" w:cs="Times New Roman" w:eastAsia="Times New Roman" w:hAnsi="Times New Roman"/>
          <w:sz w:val="18"/>
          <w:szCs w:val="18"/>
          <w:color w:val="auto"/>
        </w:rPr>
        <w:t>On May 30, 2025, we completed a registered public offering of 500.0 million EUR (approximately $567.4 million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issuance) aggregate principal amount of 3.625% senior unsecured notes due 2032 (the “3.625% Notes). The net proceeds from this offering were approximately 496.8 million EUR (approximately $563.7 million at the date of issuance), after deducting commissions and estimated expenses. We used the net proceeds to repay existing indebtedness under the 2021 Multicurrency Credit Facility and for general corporate purposes.</w:t>
      </w:r>
    </w:p>
    <w:p>
      <w:pPr>
        <w:spacing w:after="0" w:line="1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4.700% Senior Notes Offering—</w:t>
      </w:r>
      <w:r>
        <w:rPr>
          <w:rFonts w:ascii="Times New Roman" w:cs="Times New Roman" w:eastAsia="Times New Roman" w:hAnsi="Times New Roman"/>
          <w:sz w:val="18"/>
          <w:szCs w:val="18"/>
          <w:color w:val="auto"/>
        </w:rPr>
        <w:t>On December 5, 2025, we completed a registered public offering of $850.0 million aggregate principal amount of 4.700%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unsecured notes due 2032 (the “4.700% Notes,” and, collectively with the 4.900% Notes, the 5.350% Notes and the 3.625% Notes, the “Notes”). The net proceeds from this offering were approximately $839.5 million, after deducting commissions and estimated expenses. We used the net proceeds to repay existing indebtedness under the 2021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terms of the Notes are as follows:</w:t>
      </w:r>
    </w:p>
    <w:p>
      <w:pPr>
        <w:spacing w:after="0" w:line="2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Aggregate</w:t>
      </w:r>
    </w:p>
    <w:p>
      <w:pPr>
        <w:ind w:left="1980"/>
        <w:spacing w:after="0" w:line="216" w:lineRule="auto"/>
        <w:rPr>
          <w:sz w:val="20"/>
          <w:szCs w:val="20"/>
          <w:color w:val="auto"/>
        </w:rPr>
      </w:pPr>
      <w:r>
        <w:rPr>
          <w:rFonts w:ascii="Times New Roman" w:cs="Times New Roman" w:eastAsia="Times New Roman" w:hAnsi="Times New Roman"/>
          <w:sz w:val="14"/>
          <w:szCs w:val="14"/>
          <w:b w:val="1"/>
          <w:bCs w:val="1"/>
          <w:color w:val="auto"/>
        </w:rPr>
        <w:t>Principal</w:t>
      </w:r>
    </w:p>
    <w:tbl>
      <w:tblPr>
        <w:tblLayout w:type="fixed"/>
        <w:tblInd w:w="0" w:type="dxa"/>
        <w:tblCellMar>
          <w:top w:w="0" w:type="dxa"/>
          <w:left w:w="0" w:type="dxa"/>
          <w:bottom w:w="0" w:type="dxa"/>
          <w:right w:w="0" w:type="dxa"/>
        </w:tblCellMar>
      </w:tblPr>
      <w:tr>
        <w:trPr>
          <w:trHeight w:val="138"/>
        </w:trPr>
        <w:tc>
          <w:tcPr>
            <w:tcW w:w="17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rPr>
              <w:t>Amount (in</w:t>
            </w:r>
          </w:p>
        </w:tc>
        <w:tc>
          <w:tcPr>
            <w:tcW w:w="14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Issue Date and</w:t>
            </w:r>
          </w:p>
        </w:tc>
        <w:tc>
          <w:tcPr>
            <w:tcW w:w="14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6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4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First Interest</w:t>
            </w:r>
          </w:p>
        </w:tc>
        <w:tc>
          <w:tcPr>
            <w:tcW w:w="144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b w:val="1"/>
                <w:bCs w:val="1"/>
                <w:color w:val="auto"/>
                <w:w w:val="99"/>
              </w:rPr>
              <w:t>Interest Payments</w:t>
            </w:r>
          </w:p>
        </w:tc>
        <w:tc>
          <w:tcPr>
            <w:tcW w:w="13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Par Call Date (2)</w:t>
            </w:r>
          </w:p>
        </w:tc>
        <w:tc>
          <w:tcPr>
            <w:tcW w:w="0" w:type="dxa"/>
            <w:vAlign w:val="bottom"/>
          </w:tcPr>
          <w:p>
            <w:pPr>
              <w:spacing w:after="0"/>
              <w:rPr>
                <w:sz w:val="1"/>
                <w:szCs w:val="1"/>
                <w:color w:val="auto"/>
              </w:rPr>
            </w:pPr>
          </w:p>
        </w:tc>
      </w:tr>
      <w:tr>
        <w:trPr>
          <w:trHeight w:val="191"/>
        </w:trPr>
        <w:tc>
          <w:tcPr>
            <w:tcW w:w="17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 Accrual Date</w:t>
            </w:r>
          </w:p>
        </w:tc>
        <w:tc>
          <w:tcPr>
            <w:tcW w:w="1440" w:type="dxa"/>
            <w:vAlign w:val="bottom"/>
            <w:gridSpan w:val="2"/>
            <w:vMerge w:val="continue"/>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Payment</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Due (1)</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7"/>
              </w:rPr>
              <w:t>4.900%</w:t>
            </w:r>
          </w:p>
        </w:tc>
        <w:tc>
          <w:tcPr>
            <w:tcW w:w="10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Notes (3)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850.0</w:t>
            </w: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March 14, 2025</w:t>
            </w: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March 15, 2030</w:t>
            </w: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4.900%</w:t>
            </w: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September 15,</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March 15 and</w:t>
            </w: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8"/>
              </w:rPr>
              <w:t>February 15, 2030</w:t>
            </w:r>
          </w:p>
        </w:tc>
        <w:tc>
          <w:tcPr>
            <w:tcW w:w="0" w:type="dxa"/>
            <w:vAlign w:val="bottom"/>
          </w:tcPr>
          <w:p>
            <w:pPr>
              <w:spacing w:after="0"/>
              <w:rPr>
                <w:sz w:val="1"/>
                <w:szCs w:val="1"/>
                <w:color w:val="auto"/>
              </w:rPr>
            </w:pPr>
          </w:p>
        </w:tc>
      </w:tr>
      <w:tr>
        <w:trPr>
          <w:trHeight w:val="237"/>
        </w:trPr>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15</w:t>
            </w: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w w:val="97"/>
              </w:rPr>
              <w:t>5.350%</w:t>
            </w:r>
          </w:p>
        </w:tc>
        <w:tc>
          <w:tcPr>
            <w:tcW w:w="11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Notes (3)</w:t>
            </w:r>
          </w:p>
        </w:tc>
        <w:tc>
          <w:tcPr>
            <w:tcW w:w="1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4"/>
                <w:szCs w:val="14"/>
                <w:color w:val="auto"/>
              </w:rPr>
            </w:pPr>
          </w:p>
        </w:tc>
        <w:tc>
          <w:tcPr>
            <w:tcW w:w="1420" w:type="dxa"/>
            <w:vAlign w:val="bottom"/>
            <w:gridSpan w:val="2"/>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rPr>
              <w:t>March 14, 2025</w:t>
            </w:r>
          </w:p>
        </w:tc>
        <w:tc>
          <w:tcPr>
            <w:tcW w:w="1440" w:type="dxa"/>
            <w:vAlign w:val="bottom"/>
            <w:gridSpan w:val="2"/>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rPr>
              <w:t>March 15, 2035</w:t>
            </w:r>
          </w:p>
        </w:tc>
        <w:tc>
          <w:tcPr>
            <w:tcW w:w="11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5.350%</w:t>
            </w:r>
          </w:p>
        </w:tc>
        <w:tc>
          <w:tcPr>
            <w:tcW w:w="80" w:type="dxa"/>
            <w:vAlign w:val="bottom"/>
          </w:tcPr>
          <w:p>
            <w:pPr>
              <w:spacing w:after="0"/>
              <w:rPr>
                <w:sz w:val="14"/>
                <w:szCs w:val="14"/>
                <w:color w:val="auto"/>
              </w:rPr>
            </w:pPr>
          </w:p>
        </w:tc>
        <w:tc>
          <w:tcPr>
            <w:tcW w:w="1440" w:type="dxa"/>
            <w:vAlign w:val="bottom"/>
            <w:gridSpan w:val="2"/>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rPr>
              <w:t>September 15,</w:t>
            </w:r>
          </w:p>
        </w:tc>
        <w:tc>
          <w:tcPr>
            <w:tcW w:w="1440" w:type="dxa"/>
            <w:vAlign w:val="bottom"/>
            <w:gridSpan w:val="2"/>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March 15 and</w:t>
            </w:r>
          </w:p>
        </w:tc>
        <w:tc>
          <w:tcPr>
            <w:tcW w:w="13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December 15,</w:t>
            </w: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15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28"/>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3.625%</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30, 2025</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30, 2032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30, 2026</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30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30, 2032</w:t>
            </w:r>
          </w:p>
        </w:tc>
        <w:tc>
          <w:tcPr>
            <w:tcW w:w="0" w:type="dxa"/>
            <w:vAlign w:val="bottom"/>
          </w:tcPr>
          <w:p>
            <w:pPr>
              <w:spacing w:after="0"/>
              <w:rPr>
                <w:sz w:val="1"/>
                <w:szCs w:val="1"/>
                <w:color w:val="auto"/>
              </w:rPr>
            </w:pPr>
          </w:p>
        </w:tc>
      </w:tr>
      <w:tr>
        <w:trPr>
          <w:trHeight w:val="171"/>
        </w:trPr>
        <w:tc>
          <w:tcPr>
            <w:tcW w:w="5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w w:val="97"/>
              </w:rPr>
              <w:t>4.700%</w:t>
            </w:r>
          </w:p>
        </w:tc>
        <w:tc>
          <w:tcPr>
            <w:tcW w:w="11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4"/>
                <w:szCs w:val="14"/>
                <w:color w:val="auto"/>
              </w:rPr>
            </w:pPr>
          </w:p>
        </w:tc>
        <w:tc>
          <w:tcPr>
            <w:tcW w:w="1420" w:type="dxa"/>
            <w:vAlign w:val="bottom"/>
            <w:gridSpan w:val="2"/>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w w:val="98"/>
              </w:rPr>
              <w:t>December 5, 2025</w:t>
            </w:r>
          </w:p>
        </w:tc>
        <w:tc>
          <w:tcPr>
            <w:tcW w:w="1440" w:type="dxa"/>
            <w:vAlign w:val="bottom"/>
            <w:gridSpan w:val="2"/>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rPr>
              <w:t>December 15,</w:t>
            </w:r>
          </w:p>
        </w:tc>
        <w:tc>
          <w:tcPr>
            <w:tcW w:w="11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4.700%</w:t>
            </w:r>
          </w:p>
        </w:tc>
        <w:tc>
          <w:tcPr>
            <w:tcW w:w="80" w:type="dxa"/>
            <w:vAlign w:val="bottom"/>
          </w:tcPr>
          <w:p>
            <w:pPr>
              <w:spacing w:after="0"/>
              <w:rPr>
                <w:sz w:val="14"/>
                <w:szCs w:val="14"/>
                <w:color w:val="auto"/>
              </w:rPr>
            </w:pPr>
          </w:p>
        </w:tc>
        <w:tc>
          <w:tcPr>
            <w:tcW w:w="1440" w:type="dxa"/>
            <w:vAlign w:val="bottom"/>
            <w:gridSpan w:val="2"/>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rPr>
              <w:t>June 15, 2026</w:t>
            </w:r>
          </w:p>
        </w:tc>
        <w:tc>
          <w:tcPr>
            <w:tcW w:w="1440" w:type="dxa"/>
            <w:vAlign w:val="bottom"/>
            <w:gridSpan w:val="2"/>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June 15 and</w:t>
            </w:r>
          </w:p>
        </w:tc>
        <w:tc>
          <w:tcPr>
            <w:tcW w:w="13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October 15, 2032</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15</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320" w:right="160" w:hanging="315"/>
        <w:spacing w:after="0" w:line="250" w:lineRule="auto"/>
        <w:tabs>
          <w:tab w:leader="none" w:pos="31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and unpaid interest on U.S. Dollar (“USD”) denominated notes is payable in USD semi-annually in arrears and will be computed from the issue date on the basis of a 360-day year comprised of twelve 30-day months. Interest on EUR denominated notes is payable in EUR annually in arrears and will be computed on the basis of the actual number of days in the period for which interest is being calculated and the actual number of days from and including the last date on which interest was paid on the notes, beginning on the issue date.</w:t>
      </w:r>
    </w:p>
    <w:p>
      <w:pPr>
        <w:spacing w:after="0" w:line="1" w:lineRule="exact"/>
        <w:rPr>
          <w:rFonts w:ascii="Times New Roman" w:cs="Times New Roman" w:eastAsia="Times New Roman" w:hAnsi="Times New Roman"/>
          <w:sz w:val="14"/>
          <w:szCs w:val="14"/>
          <w:color w:val="auto"/>
        </w:rPr>
      </w:pPr>
    </w:p>
    <w:p>
      <w:pPr>
        <w:ind w:left="320" w:right="140" w:hanging="315"/>
        <w:spacing w:after="0" w:line="252" w:lineRule="auto"/>
        <w:tabs>
          <w:tab w:leader="none" w:pos="31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 Notes at any time, in whole or in part, at a redemption price equal to 100% of the principal amount of the Notes plus a make-whole premium, together with accrued interest to the redemption date. If we redeem the Notes on or after the par call date, we will not be required to pay a make-whole premium.</w:t>
      </w:r>
    </w:p>
    <w:p>
      <w:pPr>
        <w:jc w:val="both"/>
        <w:ind w:left="320" w:right="160" w:hanging="315"/>
        <w:spacing w:after="0" w:line="250" w:lineRule="auto"/>
        <w:tabs>
          <w:tab w:leader="none" w:pos="31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4.900% Notes and the Initial 5.350% Notes were issued on March 14, 2025. The Reopened 4.900% Notes and the Reopened 5.350% Notes were issued on September 16, 2025. The first interest payments made on September 15, 2025 related solely to the Initial 4.900% Notes and the Initial 5.350% Notes. The first interest payments on the Reopened 4.900% Notes and the Reopened 5.350% Notes are due on March 15, 2026.</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3.625% Notes are denominated in EUR; dollar amounts represent the aggregate principal amount at the issuance date.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6"/>
          <w:szCs w:val="16"/>
          <w:color w:val="auto"/>
        </w:rPr>
        <w:t>If we undergo a change of control and corresponding ratings decline, each as defined in the applicable supplemental indenture for the Notes, we may be required to repurchase all of the Notes at a purchase price equal to 101% of the aggregate principal amount of the Notes repurchased, plus accrued and unpaid interest (including additional interest, if any), up to but not including the repurchase date. The Notes rank equally in right of payment with all of our other senior unsecured debt obligations and are structurally subordinated to all existing and future indebtedness and other obligations of our subsidiaries.</w:t>
      </w:r>
    </w:p>
    <w:p>
      <w:pPr>
        <w:spacing w:after="0" w:line="7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Each applicable supplemental indenture contains certain covenants that restrict our ability to merge, consolidate or sell assets and our (together with our subsidiaries’) ability to incur liens. These covenants are subject to a number of exceptions, including that we and our subsidiaries may incur certain liens on assets, mortgages or other liens securing indebtedness if the aggregate amount of indebtedness secured by such liens does not exceed 3.5x Adjusted EBITDA, as defined in the applicable supplemental indenture.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Facilities</w:t>
      </w:r>
    </w:p>
    <w:p>
      <w:pPr>
        <w:spacing w:after="0" w:line="14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i w:val="1"/>
          <w:iCs w:val="1"/>
          <w:color w:val="auto"/>
        </w:rPr>
        <w:t>Amendments to Bank Facilities—</w:t>
      </w:r>
      <w:r>
        <w:rPr>
          <w:rFonts w:ascii="Times New Roman" w:cs="Times New Roman" w:eastAsia="Times New Roman" w:hAnsi="Times New Roman"/>
          <w:sz w:val="18"/>
          <w:szCs w:val="18"/>
          <w:color w:val="auto"/>
        </w:rPr>
        <w:t>On January 28, 2025, we amended our (i) 2021 Multicurrency Credit Facility, (ii) 2021 Credit Facility and (iii) $1.0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term loan, as amended and restated in December 2021, as further amended (the “2021 Term Loan”).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amendments, among other things,</w:t>
      </w:r>
    </w:p>
    <w:p>
      <w:pPr>
        <w:spacing w:after="0" w:line="149" w:lineRule="exact"/>
        <w:rPr>
          <w:sz w:val="20"/>
          <w:szCs w:val="20"/>
          <w:color w:val="auto"/>
        </w:rPr>
      </w:pPr>
    </w:p>
    <w:p>
      <w:pPr>
        <w:ind w:left="640" w:right="860" w:hanging="318"/>
        <w:spacing w:after="0" w:line="269" w:lineRule="auto"/>
        <w:tabs>
          <w:tab w:leader="none" w:pos="6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dates of the 2021 Multicurrency Credit Facility and the 2021 Credit Facility to January 28, 2028 and January 28, 2030, respectively;</w:t>
      </w:r>
    </w:p>
    <w:p>
      <w:pPr>
        <w:spacing w:after="0" w:line="102"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of the 2021 Term Loan to January 28, 2028; and</w:t>
      </w:r>
    </w:p>
    <w:p>
      <w:pPr>
        <w:spacing w:after="0" w:line="135"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Applicable Margins (as defined in the loan agreements).</w:t>
      </w:r>
    </w:p>
    <w:p>
      <w:pPr>
        <w:spacing w:after="0" w:line="147"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8"/>
          <w:szCs w:val="18"/>
          <w:i w:val="1"/>
          <w:iCs w:val="1"/>
          <w:color w:val="auto"/>
        </w:rPr>
        <w:t>2021 Multicurrency Credit Facility—</w:t>
      </w:r>
      <w:r>
        <w:rPr>
          <w:rFonts w:ascii="Times New Roman" w:cs="Times New Roman" w:eastAsia="Times New Roman" w:hAnsi="Times New Roman"/>
          <w:sz w:val="18"/>
          <w:szCs w:val="18"/>
          <w:color w:val="auto"/>
        </w:rPr>
        <w:t>As of December 31, 2025, we had the ability to borrow up to a total of $6.0 billion under the 2021 Multicurrency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which includes a $3.5 billion sublimit for multicurrency borrowings, a $200.0 million sublimit for letters of credit and a $50.0 million sublimit for swingline loans. During the year ended December 31, 2025, we borrowed an aggregate of $2.4 billion, including 492.0 million EUR ($529.1 million as of the borrowing date) and repaid an aggregate of $2.0 billion, including 492.0 million EUR ($549.9 million as of the repayment date), of revolving indebtedness under the 2021 Multicurrency Credit Facility. We used the borrowings to repay outstanding indebtedness, including the 2.950% Notes, the 1.375% Notes and the Series 2015-2 Notes, and for general corporate purposes. As of December 31, 2025, there are no EUR borrowings outstanding under the 2021 Multicurrency Credit Facility.</w:t>
      </w:r>
    </w:p>
    <w:p>
      <w:pPr>
        <w:spacing w:after="0" w:line="123" w:lineRule="exact"/>
        <w:rPr>
          <w:sz w:val="20"/>
          <w:szCs w:val="20"/>
          <w:color w:val="auto"/>
        </w:rPr>
      </w:pPr>
    </w:p>
    <w:p>
      <w:pPr>
        <w:ind w:right="320"/>
        <w:spacing w:after="0" w:line="251" w:lineRule="auto"/>
        <w:rPr>
          <w:sz w:val="20"/>
          <w:szCs w:val="20"/>
          <w:color w:val="auto"/>
        </w:rPr>
      </w:pPr>
      <w:r>
        <w:rPr>
          <w:rFonts w:ascii="Times New Roman" w:cs="Times New Roman" w:eastAsia="Times New Roman" w:hAnsi="Times New Roman"/>
          <w:sz w:val="18"/>
          <w:szCs w:val="18"/>
          <w:i w:val="1"/>
          <w:iCs w:val="1"/>
          <w:color w:val="auto"/>
        </w:rPr>
        <w:t>2021 Credit Facility—</w:t>
      </w:r>
      <w:r>
        <w:rPr>
          <w:rFonts w:ascii="Times New Roman" w:cs="Times New Roman" w:eastAsia="Times New Roman" w:hAnsi="Times New Roman"/>
          <w:sz w:val="18"/>
          <w:szCs w:val="18"/>
          <w:color w:val="auto"/>
        </w:rPr>
        <w:t>As of December 31, 2025, we had the ability to borrow up to a total of $4.0 billion under the 2021 Credit Facility, which includes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billion sublimit for multicurrency borrowings, $200.0 million sublimit for letters of credit and a $50.0 million sublimit for swingline loans. During the year ended December 31, 2025, we borrowed an aggregate of $3.7 billion and repaid an aggregate of $3.7 billion of revolving indebtedness under our 2021 Credit Facility. We used the borrowings to repay outstanding indebtedness, including the 4.000% Notes and the 1.300% Notes, and for general corporate purposes.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key terms under the 2021 Multicurrency Credit Facility, the 2021 Credit Facility and the 2021 Term Loan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SOFR or EURIBOR</w:t>
            </w:r>
          </w:p>
        </w:tc>
        <w:tc>
          <w:tcPr>
            <w:tcW w:w="16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Base rate borrowing</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margin over SOFR or</w:t>
            </w:r>
          </w:p>
        </w:tc>
        <w:tc>
          <w:tcPr>
            <w:tcW w:w="0" w:type="dxa"/>
            <w:vAlign w:val="bottom"/>
          </w:tcPr>
          <w:p>
            <w:pPr>
              <w:spacing w:after="0"/>
              <w:rPr>
                <w:sz w:val="1"/>
                <w:szCs w:val="1"/>
                <w:color w:val="auto"/>
              </w:rPr>
            </w:pPr>
          </w:p>
        </w:tc>
      </w:tr>
      <w:tr>
        <w:trPr>
          <w:trHeight w:val="143"/>
        </w:trPr>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Bank Facility</w:t>
            </w:r>
          </w:p>
        </w:tc>
        <w:tc>
          <w:tcPr>
            <w:tcW w:w="320" w:type="dxa"/>
            <w:vAlign w:val="bottom"/>
          </w:tcPr>
          <w:p>
            <w:pPr>
              <w:spacing w:after="0"/>
              <w:rPr>
                <w:sz w:val="12"/>
                <w:szCs w:val="12"/>
                <w:color w:val="auto"/>
              </w:rPr>
            </w:pPr>
          </w:p>
        </w:tc>
        <w:tc>
          <w:tcPr>
            <w:tcW w:w="1440" w:type="dxa"/>
            <w:vAlign w:val="bottom"/>
            <w:gridSpan w:val="2"/>
          </w:tcPr>
          <w:p>
            <w:pPr>
              <w:jc w:val="center"/>
              <w:ind w:right="99"/>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Principal Balance</w:t>
            </w: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400" w:type="dxa"/>
            <w:vAlign w:val="bottom"/>
          </w:tcPr>
          <w:p>
            <w:pPr>
              <w:spacing w:after="0"/>
              <w:rPr>
                <w:sz w:val="12"/>
                <w:szCs w:val="12"/>
                <w:color w:val="auto"/>
              </w:rPr>
            </w:pPr>
          </w:p>
        </w:tc>
        <w:tc>
          <w:tcPr>
            <w:tcW w:w="1760" w:type="dxa"/>
            <w:vAlign w:val="bottom"/>
          </w:tcPr>
          <w:p>
            <w:pPr>
              <w:jc w:val="center"/>
              <w:ind w:right="61"/>
              <w:spacing w:after="0" w:line="143" w:lineRule="exact"/>
              <w:rPr>
                <w:sz w:val="20"/>
                <w:szCs w:val="20"/>
                <w:color w:val="auto"/>
              </w:rPr>
            </w:pPr>
            <w:r>
              <w:rPr>
                <w:rFonts w:ascii="Times New Roman" w:cs="Times New Roman" w:eastAsia="Times New Roman" w:hAnsi="Times New Roman"/>
                <w:sz w:val="14"/>
                <w:szCs w:val="14"/>
                <w:b w:val="1"/>
                <w:bCs w:val="1"/>
                <w:color w:val="auto"/>
                <w:w w:val="99"/>
              </w:rPr>
              <w:t>borrowing interest rate</w:t>
            </w:r>
          </w:p>
        </w:tc>
        <w:tc>
          <w:tcPr>
            <w:tcW w:w="1620" w:type="dxa"/>
            <w:vAlign w:val="bottom"/>
            <w:vMerge w:val="continue"/>
          </w:tcPr>
          <w:p>
            <w:pPr>
              <w:spacing w:after="0"/>
              <w:rPr>
                <w:sz w:val="12"/>
                <w:szCs w:val="12"/>
                <w:color w:val="auto"/>
              </w:rPr>
            </w:pPr>
          </w:p>
        </w:tc>
        <w:tc>
          <w:tcPr>
            <w:tcW w:w="19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EURIBOR and the base rate,</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w w:val="99"/>
              </w:rPr>
              <w:t>($ in millions)</w:t>
            </w:r>
          </w:p>
        </w:tc>
        <w:tc>
          <w:tcPr>
            <w:tcW w:w="17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range (1)</w:t>
            </w:r>
          </w:p>
        </w:tc>
        <w:tc>
          <w:tcPr>
            <w:tcW w:w="1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interest rate range (1)</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respectively</w:t>
            </w:r>
          </w:p>
        </w:tc>
        <w:tc>
          <w:tcPr>
            <w:tcW w:w="0" w:type="dxa"/>
            <w:vAlign w:val="bottom"/>
          </w:tcPr>
          <w:p>
            <w:pPr>
              <w:spacing w:after="0"/>
              <w:rPr>
                <w:sz w:val="1"/>
                <w:szCs w:val="1"/>
                <w:color w:val="auto"/>
              </w:rPr>
            </w:pPr>
          </w:p>
        </w:tc>
      </w:tr>
      <w:tr>
        <w:trPr>
          <w:trHeight w:val="157"/>
        </w:trPr>
        <w:tc>
          <w:tcPr>
            <w:tcW w:w="4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w w:val="99"/>
              </w:rPr>
              <w:t>2021</w:t>
            </w:r>
          </w:p>
        </w:tc>
        <w:tc>
          <w:tcPr>
            <w:tcW w:w="17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Multicurrency Credit</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5"/>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380.0</w:t>
            </w:r>
          </w:p>
        </w:tc>
        <w:tc>
          <w:tcPr>
            <w:tcW w:w="1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January 28, 2028</w:t>
            </w:r>
          </w:p>
        </w:tc>
        <w:tc>
          <w:tcPr>
            <w:tcW w:w="4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0.750% - 1.375%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 - 0.375%</w:t>
            </w:r>
          </w:p>
        </w:tc>
        <w:tc>
          <w:tcPr>
            <w:tcW w:w="1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0.875% and 0.000%</w:t>
            </w:r>
          </w:p>
        </w:tc>
        <w:tc>
          <w:tcPr>
            <w:tcW w:w="0" w:type="dxa"/>
            <w:vAlign w:val="bottom"/>
          </w:tcPr>
          <w:p>
            <w:pPr>
              <w:spacing w:after="0"/>
              <w:rPr>
                <w:sz w:val="1"/>
                <w:szCs w:val="1"/>
                <w:color w:val="auto"/>
              </w:rPr>
            </w:pPr>
          </w:p>
        </w:tc>
      </w:tr>
      <w:tr>
        <w:trPr>
          <w:trHeight w:val="224"/>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5"/>
              </w:rPr>
              <w:t>(2)</w:t>
            </w:r>
          </w:p>
        </w:tc>
        <w:tc>
          <w:tcPr>
            <w:tcW w:w="200" w:type="dxa"/>
            <w:vAlign w:val="bottom"/>
          </w:tcPr>
          <w:p>
            <w:pPr>
              <w:spacing w:after="0"/>
              <w:rPr>
                <w:sz w:val="19"/>
                <w:szCs w:val="19"/>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28, 2030</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0.750% - 1.375%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 - 0.375%</w:t>
            </w:r>
          </w:p>
        </w:tc>
        <w:tc>
          <w:tcPr>
            <w:tcW w:w="19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0.875% and 0.000%</w:t>
            </w:r>
          </w:p>
        </w:tc>
        <w:tc>
          <w:tcPr>
            <w:tcW w:w="0" w:type="dxa"/>
            <w:vAlign w:val="bottom"/>
          </w:tcPr>
          <w:p>
            <w:pPr>
              <w:spacing w:after="0"/>
              <w:rPr>
                <w:sz w:val="1"/>
                <w:szCs w:val="1"/>
                <w:color w:val="auto"/>
              </w:rPr>
            </w:pPr>
          </w:p>
        </w:tc>
      </w:tr>
      <w:tr>
        <w:trPr>
          <w:trHeight w:val="224"/>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5"/>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1,000.0</w:t>
            </w:r>
          </w:p>
        </w:tc>
        <w:tc>
          <w:tcPr>
            <w:tcW w:w="1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January 28, 2028</w:t>
            </w:r>
          </w:p>
        </w:tc>
        <w:tc>
          <w:tcPr>
            <w:tcW w:w="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0.750% - 1.375%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 - 0.375%</w:t>
            </w:r>
          </w:p>
        </w:tc>
        <w:tc>
          <w:tcPr>
            <w:tcW w:w="1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0.875% and 0.000%</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3" w:lineRule="exact"/>
        <w:rPr>
          <w:sz w:val="20"/>
          <w:szCs w:val="20"/>
          <w:color w:val="auto"/>
        </w:rPr>
      </w:pPr>
    </w:p>
    <w:p>
      <w:pPr>
        <w:ind w:left="320" w:hanging="315"/>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interest rate above: (a) Secured Overnight Financing Rate (“SOFR”) for SOFR based borrowings, (b) Euro Interbank Offer Rate (“EURIBOR”) for EURIBOR based borrowings and</w:t>
      </w:r>
    </w:p>
    <w:p>
      <w:pPr>
        <w:spacing w:after="0" w:line="6"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the defined base rate for base rate borrowings, in each case based on our debt ratings.</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Currently borrowed at SOFR.</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two optional renewal periods.</w:t>
      </w:r>
    </w:p>
    <w:p>
      <w:pPr>
        <w:spacing w:after="0" w:line="134"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We must pay a quarterly commitment fee on the undrawn portion of each of the 2021 Multicurrency Credit Facility and the 2021 Credit Facility. The commitment fee for the 2021 Multicurrency Credit Facility and the 2021 Credit Facility ranges from 0.080% to 0.200% per annum, based upon our debt ratings, and is currently 0.100%.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 2021 Multicurrency Credit Facility, the 2021 Credit Facility and the 2021 Term Loan and the associated loan agreements (the “Bank Loan Agreements”) do not require amortization of principal and may be paid prior to maturity in whole or in part at our option without penalty or premium. We have the option of choosing either a defined base rate, SOFR or EURIBOR as the applicable base rate for borrowings under these bank facilities.</w:t>
      </w:r>
    </w:p>
    <w:p>
      <w:pPr>
        <w:spacing w:after="0" w:line="10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Each Bank Loan Agreement contains certain reporting, information, financial and operating covenants and other restrictions (including limitations on additional debt, guaranties, sales of assets and liens) with which we must comply. Failure to comply with the financial and operating covenants of the loan agreements could not only prevent us from being able to borrow additional funds under the revolving credit facilities, but may constitute a default, which could result in, among other things, the amounts outstanding under the applicable agreement, including all accrued interest and unpaid fees, becoming immediately due and payable.</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Subsidiary Debt— </w:t>
      </w:r>
      <w:r>
        <w:rPr>
          <w:rFonts w:ascii="Times New Roman" w:cs="Times New Roman" w:eastAsia="Times New Roman" w:hAnsi="Times New Roman"/>
          <w:sz w:val="18"/>
          <w:szCs w:val="18"/>
          <w:color w:val="auto"/>
        </w:rPr>
        <w:t>Each of the agreements governing the other subsidiary debt contains contractual covenants and other restrictions. Failure to comply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certain of the financial and operating covenants could constitute a default under the applicable debt agreement, which could result in, among other things, the amounts outstanding, including all accrued interest and unpaid fees, becoming immediately due and payable.</w:t>
      </w:r>
    </w:p>
    <w:p>
      <w:pPr>
        <w:spacing w:after="0" w:line="11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Bangladesh Term Loan—</w:t>
      </w:r>
      <w:r>
        <w:rPr>
          <w:rFonts w:ascii="Times New Roman" w:cs="Times New Roman" w:eastAsia="Times New Roman" w:hAnsi="Times New Roman"/>
          <w:sz w:val="18"/>
          <w:szCs w:val="18"/>
          <w:color w:val="auto"/>
        </w:rPr>
        <w:t>In March 2025, we entered into a 400.0 million BDT (approximately $3.3 million) term loan with a maturity date that is eight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date of the first draw thereunder (the “Bangladesh Term Loan”). On March 24, 2025, we borrowed 150.0 million BDT (approximately $1.2 million) under the Bangladesh Term Loan. The Bangladesh Term Loan bears interest at 13.50% per annum, subject to quarterly resets. Interest is payable quarterly. Any outstanding principal and accrued but unpaid interest will be due and payable in full at maturity. The Bangladesh Term Loan does not require amortization of principal and may be paid prior to maturity in whole or in part at our option without penalty or premium.</w:t>
      </w:r>
    </w:p>
    <w:p>
      <w:pPr>
        <w:spacing w:after="0" w:line="10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i w:val="1"/>
          <w:iCs w:val="1"/>
          <w:color w:val="auto"/>
        </w:rPr>
        <w:t>CoreSite DE1 Note—</w:t>
      </w:r>
      <w:r>
        <w:rPr>
          <w:rFonts w:ascii="Times New Roman" w:cs="Times New Roman" w:eastAsia="Times New Roman" w:hAnsi="Times New Roman"/>
          <w:sz w:val="18"/>
          <w:szCs w:val="18"/>
          <w:color w:val="auto"/>
        </w:rPr>
        <w:t>On April 1, 2025, in connection with our acquisition of a multi-tenant data center facility in Denver, Colorado, in which we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leased space (“DE1”), we entered into an agreement to pay $5.0 million of purchase price to the seller in monthly installments through March 31, 2028 (the “CoreSite DE1 Note”). The CoreSite DE1 Note accrues interest at the prime rate as announced by Bank of America, N.A plus 200 basis points. As of December 31, 2025, the interest rate was 9.50% per annum. Interest is payable monthly in arrears. Any outstanding principal and accrued but unpaid interest will be due and payable in full at maturity. The CoreSite DE1 Note may be paid prior to maturity in whole or in part at our option without penalty or premium, provided that if such prepayment is made prior to April 1, 2027, we are required to pay any additional interest which would have accrued under the CoreSite DE1 Note in the ordinary course through April 1, 2027.</w:t>
      </w:r>
    </w:p>
    <w:p>
      <w:pPr>
        <w:spacing w:after="0" w:line="12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Stock Repurchase Programs</w:t>
      </w:r>
      <w:r>
        <w:rPr>
          <w:rFonts w:ascii="Times New Roman" w:cs="Times New Roman" w:eastAsia="Times New Roman" w:hAnsi="Times New Roman"/>
          <w:sz w:val="18"/>
          <w:szCs w:val="18"/>
          <w:color w:val="auto"/>
        </w:rPr>
        <w:t>—During the year ended December 31, 2025, we repurchased 2,036,100 shares of our common stock for an aggregate of $364.6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including commissions and fees, under both the 2011 Buyback and the 2017 Buyback. As of December 31, 2025, we have no amounts remaining under the 2011 Buyback.</w:t>
      </w:r>
    </w:p>
    <w:p>
      <w:pPr>
        <w:spacing w:after="0" w:line="11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Under the 2017 Buyback, we are authorized to purchase shares from time to time through open market purchases or in privately negotiated transactions not to exceed market prices and subject to market conditions and other factors. With respect to open market purchases, we may use plans adopted in accordance with Rule 10b5-1 under the Exchange Act in accordance with securities laws and other legal requirements, which allows us to repurchase shares during periods when it may otherwise be prevented from doing so under insider trading laws or because of self-imposed trading blackout periods.</w:t>
      </w:r>
    </w:p>
    <w:p>
      <w:pPr>
        <w:spacing w:after="0" w:line="10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Subsequent to December 31, 2025, through February 17, 2026, we repurchased 312,352 shares of our common stock for an aggregate of approximately $53.0 million, including commissions and fees, under the 2017 Buyback.</w:t>
      </w:r>
    </w:p>
    <w:p>
      <w:pPr>
        <w:spacing w:after="0" w:line="10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Through February 17, 2026, we have repurchased a total of 2,253,664 shares of our common stock under the 2017 Buyback for an aggregate of $400.0 million, including commissions and fees. We expect to continue to manage the pacing of the remaining $1.6 billion under the 2017 Buyback in response to general market conditions and other relevant factors. We expect to fund any further repurchases of our common stock through a combination of cash on hand, cash generated by operations and borrowings under our credit facilities. Purchases under the 2017 Buyback are subject to our having available cash to fund repurchases.</w:t>
      </w:r>
    </w:p>
    <w:p>
      <w:pPr>
        <w:spacing w:after="0" w:line="11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i w:val="1"/>
          <w:iCs w:val="1"/>
          <w:color w:val="auto"/>
        </w:rPr>
        <w:t>Sales of Equity Securities</w:t>
      </w:r>
      <w:r>
        <w:rPr>
          <w:rFonts w:ascii="Times New Roman" w:cs="Times New Roman" w:eastAsia="Times New Roman" w:hAnsi="Times New Roman"/>
          <w:sz w:val="18"/>
          <w:szCs w:val="18"/>
          <w:color w:val="auto"/>
        </w:rPr>
        <w:t>—We receive proceeds from sales of our equity securities pursuant to our employee stock purchase plan (the “ESPP”) and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stock options granted under our equity incentive plan, as amended (the “2007 Plan”). During the year ended December 31, 2025, we received an aggregate of $41.7 million in proceeds upon exercises of stock options and sales pursuant to the ESPP.</w:t>
      </w:r>
    </w:p>
    <w:p>
      <w:pPr>
        <w:spacing w:after="0" w:line="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Future Financing Transactions</w:t>
      </w:r>
      <w:r>
        <w:rPr>
          <w:rFonts w:ascii="Times New Roman" w:cs="Times New Roman" w:eastAsia="Times New Roman" w:hAnsi="Times New Roman"/>
          <w:sz w:val="18"/>
          <w:szCs w:val="18"/>
          <w:color w:val="auto"/>
        </w:rPr>
        <w:t>—We regularly consider various options to obtain financing and access the capital markets, subject to market conditions,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our funding needs. Such capital raising alternatives, in addition to those noted above, may include amendments and extensions of our bank facilities, entry into new bank facilities, transactions with private equity funds or partnerships, additional senior note and equity offerings and securitization transactions. No assurance can be given as to whether any such financing transactions will be completed or as to the timing or terms thereof.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i w:val="1"/>
          <w:iCs w:val="1"/>
          <w:color w:val="auto"/>
        </w:rPr>
        <w:t>Distributions—</w:t>
      </w:r>
      <w:r>
        <w:rPr>
          <w:rFonts w:ascii="Times New Roman" w:cs="Times New Roman" w:eastAsia="Times New Roman" w:hAnsi="Times New Roman"/>
          <w:sz w:val="16"/>
          <w:szCs w:val="16"/>
          <w:color w:val="auto"/>
        </w:rPr>
        <w:t>As a REIT, we must annually distribute to our stockholders an amount equal to at least 90% of our REIT taxable income (determined before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deduction for distributed earnings and excluding any net capital gain). Generally, we have distributed, and expect to continue to distribute, all or substantially all of our REIT taxable income after taking into consideration our utilization of NOLs. We have distributed an aggregate of approximately $23.7 billion to our common stockholders, including the dividend paid in February 2026. The dividends paid to common stockholders in 2025 were primarily classified as ordinary income that may be treated as qualified REIT dividends under Section 199A of the Code and we currently expect the 2026 dividends to be similarly classified.</w:t>
      </w:r>
    </w:p>
    <w:p>
      <w:pPr>
        <w:spacing w:after="0" w:line="8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we paid $6.72 per share, or $3.1 billion, to our common stockholders of record. In addition, we declared a distribution of $1.70 per share, or $792.9 million, paid on February 2, 2026 to our common stockholders of record at the close of business on December 29, 2025.</w:t>
      </w:r>
    </w:p>
    <w:p>
      <w:pPr>
        <w:spacing w:after="0" w:line="1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accrue distributions on unvested restricted stock units, which are payable upon vesting. The amount accrued for distributions payable related to unvested restricted stock units was $20.8 million and $22.5 million as of December 31, 2025 and 2024, respectively. During the year ended December 31, 2025, we paid $12.2 million of distributions upon the vesting of restricted stock units.</w:t>
      </w:r>
    </w:p>
    <w:p>
      <w:pPr>
        <w:spacing w:after="0" w:line="11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amount, timing and frequency of future distributions will be at the sole discretion of our Board and will depend on various factors, a number of which may be beyond our control, including our financial condition and operating cash flows, the amount required to maintain our qualification for taxation as a REIT and reduce any income and excise taxes that we otherwise would be required to pay, limitations on distributions in our existing and future debt and preferred equity instruments, our ability to utilize NOLs to offset our distribution requirements, limitations on our ability to fund distributions using cash generated through our TRSs and other factors that our Board may deem relevant.</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For more details on the cash distributions paid to our common stockholders during the year ended December 31, 2025, see note 13 to our consolidated financial statements included in this Annual Report.</w:t>
      </w:r>
    </w:p>
    <w:p>
      <w:pPr>
        <w:spacing w:after="0" w:line="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We utilize notional cash pooling arrangements with financial institutions for cash management purposes. These arrangements allow for cash withdrawals based upon aggregate cash balances on deposit at the same financial institution.</w:t>
      </w:r>
    </w:p>
    <w:p>
      <w:pPr>
        <w:spacing w:after="0" w:line="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The following table summarizes material cash requirements from known contractual and other obligations as of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(in millions):</w:t>
      </w: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 (1)</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37,434.9</w:t>
            </w:r>
          </w:p>
        </w:tc>
      </w:tr>
      <w:tr>
        <w:trPr>
          <w:trHeight w:val="22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 (2)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11,976.6</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3" w:lineRule="exact"/>
        <w:rPr>
          <w:sz w:val="20"/>
          <w:szCs w:val="20"/>
          <w:color w:val="auto"/>
        </w:rPr>
      </w:pPr>
    </w:p>
    <w:p>
      <w:pPr>
        <w:ind w:left="300" w:hanging="295"/>
        <w:spacing w:after="0"/>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aggregate principal maturities of long-term debt, including finance lease obligations (see note 8 to our consolidated financial statements included in this Annual Report).</w:t>
      </w:r>
    </w:p>
    <w:p>
      <w:pPr>
        <w:spacing w:after="0" w:line="6" w:lineRule="exact"/>
        <w:rPr>
          <w:rFonts w:ascii="Times New Roman" w:cs="Times New Roman" w:eastAsia="Times New Roman" w:hAnsi="Times New Roman"/>
          <w:sz w:val="14"/>
          <w:szCs w:val="14"/>
          <w:color w:val="auto"/>
        </w:rPr>
      </w:pPr>
    </w:p>
    <w:p>
      <w:pPr>
        <w:ind w:left="320" w:right="160" w:hanging="315"/>
        <w:spacing w:after="0" w:line="270" w:lineRule="auto"/>
        <w:tabs>
          <w:tab w:leader="none" w:pos="30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payments under non-cancellable initial terms, as well as payments for certain renewal periods at our option, which we expect to renew because failure to do so could result in a loss of the applicable communications sites and related revenues from tenant leases (see note 4 to our consolidated financial statements included in this Annual Report).</w:t>
      </w:r>
    </w:p>
    <w:p>
      <w:pPr>
        <w:spacing w:after="0" w:line="20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We expect that our 2026 total distributions declared to our common stockholders will be $3.3 billion. The amount, timing and frequency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distributions will be at the sole discretion of our Board.</w:t>
      </w:r>
    </w:p>
    <w:p>
      <w:pPr>
        <w:spacing w:after="0" w:line="86"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We are required to remove our assets and remediate the leased sites upon which certain of our assets are located.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the estimated undiscounted future cash outlay for asset retirement obligations was $4.6 billion.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153"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color w:val="auto"/>
        </w:rPr>
        <w:t>Our liquidity depends on our ability to generate cash flow from operating activities, borrow funds under our credit facilities and maintain compliance with the contractual agreements governing our indebtedness. We believe that the debt agreements discussed below represent our material debt agreements that contain covenants, our compliance with which would be material to an investor’s understanding of our financial results and the impact of those results on our liquidity.</w:t>
      </w:r>
    </w:p>
    <w:p>
      <w:pPr>
        <w:spacing w:after="0" w:line="65"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6"/>
          <w:szCs w:val="16"/>
          <w:i w:val="1"/>
          <w:iCs w:val="1"/>
          <w:color w:val="auto"/>
        </w:rPr>
        <w:t>Internally Generated Funds</w:t>
      </w:r>
      <w:r>
        <w:rPr>
          <w:rFonts w:ascii="Times New Roman" w:cs="Times New Roman" w:eastAsia="Times New Roman" w:hAnsi="Times New Roman"/>
          <w:sz w:val="16"/>
          <w:szCs w:val="16"/>
          <w:color w:val="auto"/>
        </w:rPr>
        <w:t>—Because the majority of our customer leases are multiyear contracts, a significant majority of the revenues generated by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property operations as of the end of 2025 is recurring revenue that we should continue to receive in future periods. Accordingly, a key factor affecting our ability to generate cash flow from operating activities is to maintain this recurring revenue and to convert it into operating profit by minimizing operating costs and fully achieving our operating efficiencies. In addition, our ability to increase cash flow from operating activities depends upon the demand for our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infrastructure and our related services and our ability to increase the utilization of our existing communications infrastructure.</w:t>
      </w:r>
    </w:p>
    <w:p>
      <w:pPr>
        <w:spacing w:after="0" w:line="13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Restrictions Under Loan Agreements Relating to Our Credit Facilities</w:t>
      </w:r>
      <w:r>
        <w:rPr>
          <w:rFonts w:ascii="Times New Roman" w:cs="Times New Roman" w:eastAsia="Times New Roman" w:hAnsi="Times New Roman"/>
          <w:sz w:val="18"/>
          <w:szCs w:val="18"/>
          <w:color w:val="auto"/>
        </w:rPr>
        <w:t>—Each Bank Loan Agreement contains certain financial and operating covenants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restrictions applicable to us and our subsidiaries that are not designated as unrestricted subsidiaries on a consolidated basis. These restrictions include limitations on additional debt, distributions and dividends, guaranties, sales of assets and liens. The Bank Loan Agreements also contain covenants that establish financial tests with which we and our restricted subsidiaries must comply related to total leverage and senior secured leverage, as set forth in the table below. As of December 31, 2025, we were in compliance with each of these covenants.</w:t>
      </w:r>
    </w:p>
    <w:p>
      <w:pPr>
        <w:spacing w:after="0" w:line="7"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Compliance Tests For The 12 Months Ended</w:t>
      </w:r>
    </w:p>
    <w:p>
      <w:pPr>
        <w:jc w:val="center"/>
        <w:ind w:left="6800"/>
        <w:spacing w:after="0" w:line="218" w:lineRule="auto"/>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 in billions)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Consolidated Total Leverage Ratio</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Consolidated Senior Secured Leverage Ratio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Ratio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30480</wp:posOffset>
            </wp:positionV>
            <wp:extent cx="7135495" cy="2178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21780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Debt to Adjusted EBITDA</w:t>
      </w:r>
    </w:p>
    <w:p>
      <w:pPr>
        <w:spacing w:after="0"/>
        <w:rPr>
          <w:sz w:val="20"/>
          <w:szCs w:val="20"/>
          <w:color w:val="auto"/>
        </w:rPr>
      </w:pPr>
      <w:r>
        <w:rPr>
          <w:rFonts w:ascii="Times New Roman" w:cs="Times New Roman" w:eastAsia="Times New Roman" w:hAnsi="Times New Roman"/>
          <w:sz w:val="14"/>
          <w:szCs w:val="14"/>
          <w:color w:val="auto"/>
        </w:rPr>
        <w:t>≤ 6.00:1.00</w:t>
      </w:r>
    </w:p>
    <w:p>
      <w:pPr>
        <w:spacing w:after="0" w:line="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Senior Secured Debt to Adjusted EBITDA ≤ 3.00:1.00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2480" w:type="dxa"/>
            <w:vAlign w:val="bottom"/>
            <w:tcBorders>
              <w:top w:val="single" w:sz="8" w:color="auto"/>
            </w:tcBorders>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Additional Debt Capacity Under</w:t>
            </w:r>
          </w:p>
        </w:tc>
        <w:tc>
          <w:tcPr>
            <w:tcW w:w="194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Capacity for Adjusted EBITDA</w:t>
            </w:r>
          </w:p>
        </w:tc>
      </w:tr>
      <w:tr>
        <w:trPr>
          <w:trHeight w:val="190"/>
        </w:trPr>
        <w:tc>
          <w:tcPr>
            <w:tcW w:w="2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Covenants (2)</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Under Covenants (3)</w:t>
            </w:r>
          </w:p>
        </w:tc>
      </w:tr>
      <w:tr>
        <w:trPr>
          <w:trHeight w:val="238"/>
        </w:trPr>
        <w:tc>
          <w:tcPr>
            <w:tcW w:w="232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20"/>
                <w:szCs w:val="20"/>
                <w:color w:val="auto"/>
              </w:rPr>
            </w:pPr>
          </w:p>
        </w:tc>
        <w:tc>
          <w:tcPr>
            <w:tcW w:w="194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4"/>
                <w:szCs w:val="14"/>
                <w:color w:val="auto"/>
              </w:rPr>
              <w:t>~0.9</w:t>
            </w:r>
          </w:p>
        </w:tc>
      </w:tr>
      <w:tr>
        <w:trPr>
          <w:trHeight w:val="329"/>
        </w:trPr>
        <w:tc>
          <w:tcPr>
            <w:tcW w:w="232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~19.8 (4)</w:t>
            </w:r>
          </w:p>
        </w:tc>
        <w:tc>
          <w:tcPr>
            <w:tcW w:w="160" w:type="dxa"/>
            <w:vAlign w:val="bottom"/>
          </w:tcPr>
          <w:p>
            <w:pPr>
              <w:spacing w:after="0"/>
              <w:rPr>
                <w:sz w:val="24"/>
                <w:szCs w:val="24"/>
                <w:color w:val="auto"/>
              </w:rPr>
            </w:pPr>
          </w:p>
        </w:tc>
        <w:tc>
          <w:tcPr>
            <w:tcW w:w="194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~6.6 (4)</w:t>
            </w:r>
          </w:p>
        </w:tc>
      </w:tr>
    </w:tbl>
    <w:p>
      <w:pPr>
        <w:spacing w:after="0" w:line="342" w:lineRule="exact"/>
        <w:rPr>
          <w:sz w:val="20"/>
          <w:szCs w:val="20"/>
          <w:color w:val="auto"/>
        </w:rPr>
      </w:pPr>
    </w:p>
    <w:p>
      <w:pPr>
        <w:sectPr>
          <w:pgSz w:w="11900" w:h="16838" w:orient="portrait"/>
          <w:cols w:equalWidth="0" w:num="3">
            <w:col w:w="3380" w:space="720"/>
            <w:col w:w="2400" w:space="320"/>
            <w:col w:w="4420"/>
          </w:cols>
          <w:pgMar w:left="320" w:top="121" w:right="339" w:bottom="1440" w:gutter="0" w:footer="0" w:header="0"/>
          <w:type w:val="continuous"/>
        </w:sectPr>
      </w:pPr>
    </w:p>
    <w:p>
      <w:pPr>
        <w:ind w:left="300" w:hanging="295"/>
        <w:spacing w:after="0"/>
        <w:tabs>
          <w:tab w:leader="none" w:pos="3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component of the ratio as defined in the applicable loan agreement.</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no change to Adjusted EBITDA.</w:t>
      </w:r>
    </w:p>
    <w:p>
      <w:pPr>
        <w:spacing w:after="0" w:line="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no change to our debt levels.</w:t>
      </w:r>
    </w:p>
    <w:p>
      <w:pPr>
        <w:spacing w:after="0" w:line="6"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however, additional Senior Secured Debt under this ratio would be limited to the capacity under the Consolidated Total Leverage Ratio.</w:t>
      </w:r>
    </w:p>
    <w:p>
      <w:pPr>
        <w:spacing w:after="0" w:line="148"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8"/>
          <w:szCs w:val="18"/>
          <w:color w:val="auto"/>
        </w:rPr>
        <w:t>The Bank Loan Agreements also contain reporting and information covenants that require us to provide financial and operating information to the lenders within certain time periods. If we are unable to provide the required information on a timely basis, we would be in breach of these covenants.</w:t>
      </w:r>
    </w:p>
    <w:p>
      <w:pPr>
        <w:spacing w:after="0" w:line="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color w:val="auto"/>
        </w:rPr>
        <w:t>Failure to comply with the financial maintenance tests and certain other covenants of the Bank Loan Agreements could not only prevent us from being able to borrow additional funds under the revolving credit facilities, but may also constitute a default under these credit facilities, which could result in, among other things, the amounts outstanding, including all accrued interest and unpaid fees, becoming immediately due and payable. If this were to occur, we may not have sufficient cash on hand to repay such indebtedness. The key factors affecting our ability to comply with the debt covenants described above are our financial performance relative to the financial maintenance tests defined in the Bank Loan Agreements and our ability to fund our debt service obligations. Based upon our current expectations, we believe our operating results during the next 12 months will be sufficient to comply with these covenants.</w:t>
      </w:r>
    </w:p>
    <w:p>
      <w:pPr>
        <w:spacing w:after="0" w:line="9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i w:val="1"/>
          <w:iCs w:val="1"/>
          <w:color w:val="auto"/>
        </w:rPr>
        <w:t>Restrictions Under Agreements Relating to the Trust Securitization—</w:t>
      </w:r>
      <w:r>
        <w:rPr>
          <w:rFonts w:ascii="Times New Roman" w:cs="Times New Roman" w:eastAsia="Times New Roman" w:hAnsi="Times New Roman"/>
          <w:sz w:val="18"/>
          <w:szCs w:val="18"/>
          <w:color w:val="auto"/>
        </w:rPr>
        <w:t>The indenture and related supplemental indenture governing the loan agreement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securitization transactions completed in March 2018 (the “2018 Securitization”) and March 2023 (the “2023 Securitization” and, together with the 2018 Securitization, the “Trust Securitization”) (the “Securitization Loan Agreements”) include certain financial ratios and operating covenants and other restrictions customary for transactions subject to rated securitizations. Among other things, American Tower Asset Sub, LLC and American Tower Asset Sub II, LLC (together, the “AMT Asset Subs”) are prohibited from incurring other indebtedness for borrowed money or further encumbering their assets, subject to customary carve-outs for ordinary course trade payables and permitted encumbrances (as defined in the applicable agreements).</w:t>
      </w:r>
    </w:p>
    <w:p>
      <w:pPr>
        <w:spacing w:after="0" w:line="12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Under the Securitization Loan Agreements, amounts due will be paid from the cash flows generated by the assets securing the nonrecourse loan that secures the Secured Tower Revenue Securities, Series 2018-1, Subclass A (the “Series 2018-1A Securities”), the Secured Tower Revenue Securities, Series 2018-1, Subclass R (the “Series 2018-1R Securities” and, together with the Series 2018-1A Securities, the “2018 Securities”), the Secured Tower Revenue Securities 2023-1, Subclass A (the “Series 2023-1A Securities”), the Secured Tower Revenue Securities, Series 2023-1, Subclass R (the “Series 2023-1R Securities” and, together with the Series 2023-1A Securities, the “2023 Securities”) issued in the Trust Securitization (the “Loan”), as applicable, which must be deposited into certain reserve accounts, and thereafter distributed, solely pursuant to the terms of the applicable agreement. On a monthly basis, after paying all required amounts under the applicable agreement, subject to the conditions described in the table below, the excess cash flows generated from the operation of these assets are released to the AMT Asset Subs, which can then be distributed to us for use. As of December 31, 2025, $69.0 million held in such reserve accounts was classified as restricted cash.</w:t>
      </w:r>
    </w:p>
    <w:p>
      <w:pPr>
        <w:spacing w:after="0" w:line="11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Certain information with respect to the Trust Securitization is set forth below. The debt service coverage ratio (“DSCR”) is generally calculated as the ratio of the net cash flow (as defined in the applicable agreement) to the amount of interest, servicing</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18"/>
          <w:szCs w:val="18"/>
          <w:color w:val="auto"/>
        </w:rPr>
        <w:t>fees and trustee fees required to be paid over the succeeding 12 months on the principal amount of the Loan that will be outstanding on the payment date following such date of determination.</w:t>
      </w:r>
    </w:p>
    <w:p>
      <w:pPr>
        <w:spacing w:after="0" w:line="16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Conditions Limiting Distributions of</w:t>
      </w:r>
    </w:p>
    <w:p>
      <w:pPr>
        <w:spacing w:after="0" w:line="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Excess Cash</w:t>
      </w:r>
    </w:p>
    <w:tbl>
      <w:tblPr>
        <w:tblLayout w:type="fixed"/>
        <w:tblInd w:w="0" w:type="dxa"/>
        <w:tblCellMar>
          <w:top w:w="0" w:type="dxa"/>
          <w:left w:w="0" w:type="dxa"/>
          <w:bottom w:w="0" w:type="dxa"/>
          <w:right w:w="0" w:type="dxa"/>
        </w:tblCellMar>
      </w:tblPr>
      <w:tr>
        <w:trPr>
          <w:trHeight w:val="117"/>
        </w:trPr>
        <w:tc>
          <w:tcPr>
            <w:tcW w:w="1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Excess Cash</w:t>
            </w:r>
          </w:p>
        </w:tc>
        <w:tc>
          <w:tcPr>
            <w:tcW w:w="1000" w:type="dxa"/>
            <w:vAlign w:val="bottom"/>
          </w:tcPr>
          <w:p>
            <w:pPr>
              <w:spacing w:after="0"/>
              <w:rPr>
                <w:sz w:val="10"/>
                <w:szCs w:val="10"/>
                <w:color w:val="auto"/>
              </w:rPr>
            </w:pP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Capacity for</w:t>
            </w:r>
          </w:p>
        </w:tc>
        <w:tc>
          <w:tcPr>
            <w:tcW w:w="12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Capacity for</w:t>
            </w:r>
          </w:p>
        </w:tc>
        <w:tc>
          <w:tcPr>
            <w:tcW w:w="0" w:type="dxa"/>
            <w:vAlign w:val="bottom"/>
          </w:tcPr>
          <w:p>
            <w:pPr>
              <w:spacing w:after="0"/>
              <w:rPr>
                <w:sz w:val="1"/>
                <w:szCs w:val="1"/>
                <w:color w:val="auto"/>
              </w:rPr>
            </w:pPr>
          </w:p>
        </w:tc>
      </w:tr>
      <w:tr>
        <w:trPr>
          <w:trHeight w:val="143"/>
        </w:trPr>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DSCR as of</w:t>
            </w: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Decrease in Net</w:t>
            </w:r>
          </w:p>
        </w:tc>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Decrease in Net</w:t>
            </w:r>
          </w:p>
        </w:tc>
        <w:tc>
          <w:tcPr>
            <w:tcW w:w="0" w:type="dxa"/>
            <w:vAlign w:val="bottom"/>
          </w:tcPr>
          <w:p>
            <w:pPr>
              <w:spacing w:after="0"/>
              <w:rPr>
                <w:sz w:val="1"/>
                <w:szCs w:val="1"/>
                <w:color w:val="auto"/>
              </w:rPr>
            </w:pPr>
          </w:p>
        </w:tc>
      </w:tr>
      <w:tr>
        <w:trPr>
          <w:trHeight w:val="145"/>
        </w:trPr>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Notes/Securities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Cash Trap</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Distributed During</w:t>
            </w:r>
          </w:p>
        </w:tc>
        <w:tc>
          <w:tcPr>
            <w:tcW w:w="1000" w:type="dxa"/>
            <w:vAlign w:val="bottom"/>
            <w:vMerge w:val="continue"/>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Cash Flow Before</w:t>
            </w:r>
          </w:p>
        </w:tc>
        <w:tc>
          <w:tcPr>
            <w:tcW w:w="1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Cash Flow Before</w:t>
            </w:r>
          </w:p>
        </w:tc>
        <w:tc>
          <w:tcPr>
            <w:tcW w:w="0" w:type="dxa"/>
            <w:vAlign w:val="bottom"/>
          </w:tcPr>
          <w:p>
            <w:pPr>
              <w:spacing w:after="0"/>
              <w:rPr>
                <w:sz w:val="1"/>
                <w:szCs w:val="1"/>
                <w:color w:val="auto"/>
              </w:rPr>
            </w:pPr>
          </w:p>
        </w:tc>
      </w:tr>
      <w:tr>
        <w:trPr>
          <w:trHeight w:val="132"/>
        </w:trPr>
        <w:tc>
          <w:tcPr>
            <w:tcW w:w="1380" w:type="dxa"/>
            <w:vAlign w:val="bottom"/>
          </w:tcPr>
          <w:p>
            <w:pPr>
              <w:spacing w:after="0"/>
              <w:rPr>
                <w:sz w:val="11"/>
                <w:szCs w:val="11"/>
                <w:color w:val="auto"/>
              </w:rPr>
            </w:pPr>
          </w:p>
        </w:tc>
        <w:tc>
          <w:tcPr>
            <w:tcW w:w="1440" w:type="dxa"/>
            <w:vAlign w:val="bottom"/>
            <w:vMerge w:val="restart"/>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Issuer or Borrower</w:t>
            </w:r>
          </w:p>
        </w:tc>
        <w:tc>
          <w:tcPr>
            <w:tcW w:w="14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Triggering Cash</w:t>
            </w:r>
          </w:p>
        </w:tc>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Triggering</w:t>
            </w: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DSCR</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Trap DSCR (1)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DSCR (1)</w:t>
            </w:r>
          </w:p>
        </w:tc>
        <w:tc>
          <w:tcPr>
            <w:tcW w:w="0" w:type="dxa"/>
            <w:vAlign w:val="bottom"/>
          </w:tcPr>
          <w:p>
            <w:pPr>
              <w:spacing w:after="0"/>
              <w:rPr>
                <w:sz w:val="1"/>
                <w:szCs w:val="1"/>
                <w:color w:val="auto"/>
              </w:rPr>
            </w:pPr>
          </w:p>
        </w:tc>
      </w:tr>
      <w:tr>
        <w:trPr>
          <w:trHeight w:val="208"/>
        </w:trPr>
        <w:tc>
          <w:tcPr>
            <w:tcW w:w="13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0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152"/>
        </w:trPr>
        <w:tc>
          <w:tcPr>
            <w:tcW w:w="1380" w:type="dxa"/>
            <w:vAlign w:val="bottom"/>
            <w:shd w:val="clear" w:color="auto" w:fill="CCEEFF"/>
          </w:tcPr>
          <w:p>
            <w:pPr>
              <w:jc w:val="right"/>
              <w:ind w:right="10"/>
              <w:spacing w:after="0" w:line="152" w:lineRule="exact"/>
              <w:rPr>
                <w:sz w:val="20"/>
                <w:szCs w:val="20"/>
                <w:color w:val="auto"/>
              </w:rPr>
            </w:pPr>
            <w:r>
              <w:rPr>
                <w:rFonts w:ascii="Times New Roman" w:cs="Times New Roman" w:eastAsia="Times New Roman" w:hAnsi="Times New Roman"/>
                <w:sz w:val="14"/>
                <w:szCs w:val="14"/>
                <w:b w:val="1"/>
                <w:bCs w:val="1"/>
                <w:color w:val="auto"/>
              </w:rPr>
              <w:t>Trust Securitization</w:t>
            </w:r>
          </w:p>
        </w:tc>
        <w:tc>
          <w:tcPr>
            <w:tcW w:w="1440" w:type="dxa"/>
            <w:vAlign w:val="bottom"/>
            <w:shd w:val="clear" w:color="auto" w:fill="CCEEFF"/>
          </w:tcPr>
          <w:p>
            <w:pPr>
              <w:jc w:val="center"/>
              <w:ind w:left="5"/>
              <w:spacing w:after="0" w:line="152" w:lineRule="exact"/>
              <w:rPr>
                <w:sz w:val="20"/>
                <w:szCs w:val="20"/>
                <w:color w:val="auto"/>
              </w:rPr>
            </w:pPr>
            <w:r>
              <w:rPr>
                <w:rFonts w:ascii="Times New Roman" w:cs="Times New Roman" w:eastAsia="Times New Roman" w:hAnsi="Times New Roman"/>
                <w:sz w:val="16"/>
                <w:szCs w:val="16"/>
                <w:color w:val="auto"/>
                <w:w w:val="97"/>
              </w:rPr>
              <w:t>AMT Asset Subs</w:t>
            </w:r>
          </w:p>
        </w:tc>
        <w:tc>
          <w:tcPr>
            <w:tcW w:w="1400" w:type="dxa"/>
            <w:vAlign w:val="bottom"/>
            <w:shd w:val="clear" w:color="auto" w:fill="CCEEFF"/>
          </w:tcPr>
          <w:p>
            <w:pPr>
              <w:jc w:val="center"/>
              <w:ind w:left="2"/>
              <w:spacing w:after="0" w:line="152" w:lineRule="exact"/>
              <w:rPr>
                <w:sz w:val="20"/>
                <w:szCs w:val="20"/>
                <w:color w:val="auto"/>
              </w:rPr>
            </w:pPr>
            <w:r>
              <w:rPr>
                <w:rFonts w:ascii="Times New Roman" w:cs="Times New Roman" w:eastAsia="Times New Roman" w:hAnsi="Times New Roman"/>
                <w:sz w:val="16"/>
                <w:szCs w:val="16"/>
                <w:color w:val="auto"/>
                <w:w w:val="98"/>
              </w:rPr>
              <w:t>Secured Tower</w:t>
            </w:r>
          </w:p>
        </w:tc>
        <w:tc>
          <w:tcPr>
            <w:tcW w:w="112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6"/>
              </w:rPr>
              <w:t>1.30x, Tested</w:t>
            </w:r>
          </w:p>
        </w:tc>
        <w:tc>
          <w:tcPr>
            <w:tcW w:w="11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rPr>
              <w:t>(3)(4)</w:t>
            </w:r>
          </w:p>
        </w:tc>
        <w:tc>
          <w:tcPr>
            <w:tcW w:w="128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9"/>
              </w:rPr>
              <w:t>$563.2</w:t>
            </w:r>
          </w:p>
        </w:tc>
        <w:tc>
          <w:tcPr>
            <w:tcW w:w="100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9"/>
              </w:rPr>
              <w:t>6.38x</w:t>
            </w:r>
          </w:p>
        </w:tc>
        <w:tc>
          <w:tcPr>
            <w:tcW w:w="120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5"/>
              </w:rPr>
              <w:t>$457.2</w:t>
            </w:r>
          </w:p>
        </w:tc>
        <w:tc>
          <w:tcPr>
            <w:tcW w:w="128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9"/>
              </w:rPr>
              <w:t>$470.7</w:t>
            </w:r>
          </w:p>
        </w:tc>
        <w:tc>
          <w:tcPr>
            <w:tcW w:w="0" w:type="dxa"/>
            <w:vAlign w:val="bottom"/>
          </w:tcPr>
          <w:p>
            <w:pPr>
              <w:spacing w:after="0"/>
              <w:rPr>
                <w:sz w:val="1"/>
                <w:szCs w:val="1"/>
                <w:color w:val="auto"/>
              </w:rPr>
            </w:pPr>
          </w:p>
        </w:tc>
      </w:tr>
      <w:tr>
        <w:trPr>
          <w:trHeight w:val="145"/>
        </w:trPr>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Revenue Securities,</w:t>
            </w:r>
          </w:p>
        </w:tc>
        <w:tc>
          <w:tcPr>
            <w:tcW w:w="11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6"/>
                <w:szCs w:val="16"/>
                <w:color w:val="auto"/>
                <w:w w:val="97"/>
              </w:rPr>
              <w:t>Quarterly (2)</w:t>
            </w:r>
          </w:p>
        </w:tc>
        <w:tc>
          <w:tcPr>
            <w:tcW w:w="1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left="2"/>
              <w:spacing w:after="0" w:line="158" w:lineRule="exact"/>
              <w:rPr>
                <w:sz w:val="20"/>
                <w:szCs w:val="20"/>
                <w:color w:val="auto"/>
              </w:rPr>
            </w:pPr>
            <w:r>
              <w:rPr>
                <w:rFonts w:ascii="Times New Roman" w:cs="Times New Roman" w:eastAsia="Times New Roman" w:hAnsi="Times New Roman"/>
                <w:sz w:val="16"/>
                <w:szCs w:val="16"/>
                <w:color w:val="auto"/>
                <w:w w:val="99"/>
              </w:rPr>
              <w:t>Series 2023-1,</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Subclass A, Secured</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left="2"/>
              <w:spacing w:after="0" w:line="158" w:lineRule="exact"/>
              <w:rPr>
                <w:sz w:val="20"/>
                <w:szCs w:val="20"/>
                <w:color w:val="auto"/>
              </w:rPr>
            </w:pPr>
            <w:r>
              <w:rPr>
                <w:rFonts w:ascii="Times New Roman" w:cs="Times New Roman" w:eastAsia="Times New Roman" w:hAnsi="Times New Roman"/>
                <w:sz w:val="16"/>
                <w:szCs w:val="16"/>
                <w:color w:val="auto"/>
                <w:w w:val="98"/>
              </w:rPr>
              <w:t>Tower Revenue</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left="2"/>
              <w:spacing w:after="0" w:line="158" w:lineRule="exact"/>
              <w:rPr>
                <w:sz w:val="20"/>
                <w:szCs w:val="20"/>
                <w:color w:val="auto"/>
              </w:rPr>
            </w:pPr>
            <w:r>
              <w:rPr>
                <w:rFonts w:ascii="Times New Roman" w:cs="Times New Roman" w:eastAsia="Times New Roman" w:hAnsi="Times New Roman"/>
                <w:sz w:val="16"/>
                <w:szCs w:val="16"/>
                <w:color w:val="auto"/>
                <w:w w:val="97"/>
              </w:rPr>
              <w:t>Securities, Series</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2023-1, Subclass R,</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left="2"/>
              <w:spacing w:after="0" w:line="158" w:lineRule="exact"/>
              <w:rPr>
                <w:sz w:val="20"/>
                <w:szCs w:val="20"/>
                <w:color w:val="auto"/>
              </w:rPr>
            </w:pPr>
            <w:r>
              <w:rPr>
                <w:rFonts w:ascii="Times New Roman" w:cs="Times New Roman" w:eastAsia="Times New Roman" w:hAnsi="Times New Roman"/>
                <w:sz w:val="16"/>
                <w:szCs w:val="16"/>
                <w:color w:val="auto"/>
                <w:w w:val="98"/>
              </w:rPr>
              <w:t>Secured Tower</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Revenue Securities,</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left="2"/>
              <w:spacing w:after="0" w:line="158" w:lineRule="exact"/>
              <w:rPr>
                <w:sz w:val="20"/>
                <w:szCs w:val="20"/>
                <w:color w:val="auto"/>
              </w:rPr>
            </w:pPr>
            <w:r>
              <w:rPr>
                <w:rFonts w:ascii="Times New Roman" w:cs="Times New Roman" w:eastAsia="Times New Roman" w:hAnsi="Times New Roman"/>
                <w:sz w:val="16"/>
                <w:szCs w:val="16"/>
                <w:color w:val="auto"/>
                <w:w w:val="99"/>
              </w:rPr>
              <w:t>Series 2018-1,</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Subclass A and</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left="2"/>
              <w:spacing w:after="0" w:line="158" w:lineRule="exact"/>
              <w:rPr>
                <w:sz w:val="20"/>
                <w:szCs w:val="20"/>
                <w:color w:val="auto"/>
              </w:rPr>
            </w:pPr>
            <w:r>
              <w:rPr>
                <w:rFonts w:ascii="Times New Roman" w:cs="Times New Roman" w:eastAsia="Times New Roman" w:hAnsi="Times New Roman"/>
                <w:sz w:val="16"/>
                <w:szCs w:val="16"/>
                <w:color w:val="auto"/>
                <w:w w:val="98"/>
              </w:rPr>
              <w:t>Secured Tower</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Revenue Securities,</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left="2"/>
              <w:spacing w:after="0" w:line="158" w:lineRule="exact"/>
              <w:rPr>
                <w:sz w:val="20"/>
                <w:szCs w:val="20"/>
                <w:color w:val="auto"/>
              </w:rPr>
            </w:pPr>
            <w:r>
              <w:rPr>
                <w:rFonts w:ascii="Times New Roman" w:cs="Times New Roman" w:eastAsia="Times New Roman" w:hAnsi="Times New Roman"/>
                <w:sz w:val="16"/>
                <w:szCs w:val="16"/>
                <w:color w:val="auto"/>
                <w:w w:val="99"/>
              </w:rPr>
              <w:t>Series 2018-1,</w:t>
            </w:r>
          </w:p>
        </w:tc>
        <w:tc>
          <w:tcPr>
            <w:tcW w:w="1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Subclass R</w:t>
            </w: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3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99"/>
              </w:rPr>
              <w:t>_______________</w:t>
            </w:r>
          </w:p>
        </w:tc>
        <w:tc>
          <w:tcPr>
            <w:tcW w:w="1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00" w:hanging="295"/>
        <w:spacing w:after="0"/>
        <w:tabs>
          <w:tab w:leader="none" w:pos="3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net cash flow of the issuer or borrower as of December 31, 2025 and the expenses payable over the next 12 months on the Loan.</w:t>
      </w:r>
    </w:p>
    <w:p>
      <w:pPr>
        <w:spacing w:after="0" w:line="10" w:lineRule="exact"/>
        <w:rPr>
          <w:rFonts w:ascii="Times New Roman" w:cs="Times New Roman" w:eastAsia="Times New Roman" w:hAnsi="Times New Roman"/>
          <w:sz w:val="14"/>
          <w:szCs w:val="14"/>
          <w:color w:val="auto"/>
        </w:rPr>
      </w:pPr>
    </w:p>
    <w:p>
      <w:pPr>
        <w:ind w:left="320" w:hanging="315"/>
        <w:spacing w:after="0" w:line="250" w:lineRule="auto"/>
        <w:tabs>
          <w:tab w:leader="none" w:pos="30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DSCR were equal to or below 1.30x (the “Cash Trap DSCR”) for any quarter, all cash flow in excess of amounts required to make debt service payments, fund required reserves, pay management fees and budgeted operating expenses and make other payments required under the applicable transaction documents, referred to as excess cash flow, will be deposited into a reserve account (the “Cash Trap Reserve Account”) instead of being released to the applicable issuer or borrower. Once triggered, a Cash Trap DSCR condition continues to exist until the DSCR exceeds the Cash Trap DSCR for two consecutive calendar quarters.</w:t>
      </w:r>
    </w:p>
    <w:p>
      <w:pPr>
        <w:spacing w:after="0" w:line="1" w:lineRule="exact"/>
        <w:rPr>
          <w:rFonts w:ascii="Times New Roman" w:cs="Times New Roman" w:eastAsia="Times New Roman" w:hAnsi="Times New Roman"/>
          <w:sz w:val="14"/>
          <w:szCs w:val="14"/>
          <w:color w:val="auto"/>
        </w:rPr>
      </w:pPr>
    </w:p>
    <w:p>
      <w:pPr>
        <w:ind w:left="320" w:right="520" w:hanging="315"/>
        <w:spacing w:after="0" w:line="248" w:lineRule="auto"/>
        <w:tabs>
          <w:tab w:leader="none" w:pos="3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amortization period commences if the DSCR is equal to or below 1.15x (the “Minimum DSCR”) at the end of any calendar quarter and continues to exist until the DSCR exceeds the Minimum DSCR for two consecutive calendar quarters.</w:t>
      </w:r>
    </w:p>
    <w:p>
      <w:pPr>
        <w:ind w:left="320" w:right="140" w:hanging="315"/>
        <w:spacing w:after="0" w:line="264" w:lineRule="auto"/>
        <w:tabs>
          <w:tab w:leader="none" w:pos="3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amortization period exists if the outstanding principal amount has not been paid in full on the applicable anticipated repayment date and continues to exist until the principal has been repaid in full.</w:t>
      </w:r>
    </w:p>
    <w:p>
      <w:pPr>
        <w:spacing w:after="0" w:line="12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 failure to meet the noted DSCR tests could prevent the AMT Asset Subs from distributing excess cash flow to us, which could affect our ability to fund our capital expenditures, including tower construction and acquisitions and to meet REIT distribution requirements. During an “amortization period,” all excess cash flow and any amounts then in the applicable Cash Trap Reserve Account would be applied to pay the principal of the Loan on each monthly payment date, and so would not be available for distribution to us. Further, additional interest will begin to accrue with respect to the Loan from and after the anticipated repayment date at a per annum rate determined in accordance with the applicable agreement. Furthermore, if the AMT Asset Subs were to default on the Loan, the trustee may seek to foreclose upon or otherwise convert the ownership of all or any portion of the 5,023 broadcast and wireless communications towers and related assets that secure the Loan, in which case we could lose those sites and their associated revenue.</w:t>
      </w:r>
    </w:p>
    <w:p>
      <w:pPr>
        <w:spacing w:after="0" w:line="11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6"/>
          <w:szCs w:val="16"/>
          <w:color w:val="auto"/>
        </w:rPr>
        <w:t>As discussed above, we use our available liquidity and seek new sources of liquidity to fund capital expenditures, future growth and expansion initiatives, satisfy our distribution requirements and repay or repurchase our debt. If we determine that it is desirable or necessary to raise additional capital, we may be unable to do so, or such additional financing may be prohibitively expensive or restricted by the terms of our outstanding indebtedness. Further, as discussed under Item 1A of this Annual Report under the caption “Risk Factors,” market volatility and disruption caused by inflation, high interest rates and supply chain disruptions may impact our ability to raise additional capital through debt financing activities or our ability to repay or refinance maturing liabilities, or impact the terms of any new obligations. If we are unable to raise capital when our needs arise, we may not be able to fund capital expenditures, future growth and expansion initiatives, satisfy our REIT distribution requirements and debt service obligations, or refinance our existing indebtedness.</w:t>
      </w:r>
    </w:p>
    <w:p>
      <w:pPr>
        <w:spacing w:after="0" w:line="96"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In addition, our liquidity depends on our ability to generate cash flow from operating activities. As set forth under Item 1A of this Annual Report under the caption “Risk Factors,” we derive a substantial portion of our current and projected future revenue from a small number of customers and, consequently, a failure by a significant customer to perform its contractual obligations to us could adversely affect our cash flow and liquidity.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GAAP. The preparation of these financial statements requires us to make estimates and assumptions that affect the reported amounts of assets, liabilities, revenues and expenses, as well as related disclosures of contingent assets and liabilities. We evaluate our policies and estimates on an ongoing basis. Management bases its estimates on historical experience and various other assumptions that are believed to be reasonable under the circumstances, the results of which form the basis for making judgments about the carrying amounts of assets and liabilities that are not readily apparent from other sources. Actual results may differ from these estimates under different assumptions or conditions.</w:t>
      </w:r>
    </w:p>
    <w:p>
      <w:pPr>
        <w:spacing w:after="0" w:line="12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have reviewed our policies and estimates to determine our critical accounting policies for the year ended December 31, 2025. We have identified the following policies as critical to an understanding of our results of operations and financial condition. This is not a comprehensive list of our accounting policies. See note 1 to our consolidated financial statements included in this Annual Report for a summary of our significant accounting policies. In many cases, the accounting treatment of a particular transaction is specifically dictated by GAAP, with no need for management’s judgment in its application. There are also areas in which management’s judgment in selecting any available alternative would not produce a materially different result.</w:t>
      </w:r>
    </w:p>
    <w:p>
      <w:pPr>
        <w:spacing w:after="0" w:line="145" w:lineRule="exact"/>
        <w:rPr>
          <w:sz w:val="20"/>
          <w:szCs w:val="20"/>
          <w:color w:val="auto"/>
        </w:rPr>
      </w:pPr>
    </w:p>
    <w:p>
      <w:pPr>
        <w:ind w:left="640" w:right="280" w:hanging="318"/>
        <w:spacing w:after="0" w:line="335" w:lineRule="auto"/>
        <w:tabs>
          <w:tab w:leader="none" w:pos="635" w:val="left"/>
        </w:tabs>
        <w:numPr>
          <w:ilvl w:val="0"/>
          <w:numId w:val="5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Impairment of Assets—Assets Subject to Depreciation and Amortization</w:t>
      </w:r>
      <w:r>
        <w:rPr>
          <w:rFonts w:ascii="Times New Roman" w:cs="Times New Roman" w:eastAsia="Times New Roman" w:hAnsi="Times New Roman"/>
          <w:sz w:val="16"/>
          <w:szCs w:val="16"/>
          <w:color w:val="auto"/>
        </w:rPr>
        <w:t>: We review long-lived assets for impairment at least annually or whenever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events, changes in circumstances or other indicators or evidence indicate that the carrying amount of our assets may not be recoverable.</w:t>
      </w:r>
    </w:p>
    <w:p>
      <w:pPr>
        <w:spacing w:after="0" w:line="2" w:lineRule="exact"/>
        <w:rPr>
          <w:rFonts w:ascii="Times New Roman" w:cs="Times New Roman" w:eastAsia="Times New Roman" w:hAnsi="Times New Roman"/>
          <w:sz w:val="16"/>
          <w:szCs w:val="16"/>
          <w:i w:val="1"/>
          <w:iCs w:val="1"/>
          <w:color w:val="auto"/>
        </w:rPr>
      </w:pPr>
    </w:p>
    <w:p>
      <w:pPr>
        <w:ind w:left="640" w:right="120"/>
        <w:spacing w:after="0" w:line="250"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We review our tower and data center portfolios, network location intangible and right-of-use assets for indicators of impairment at the lowest level of identifiable cash flows, typically at an individual tower or data center basis. Possible indicators include a site not having current tenant leases or having expenses in excess of revenues. A cash flow modeling approach is utilized to assess recoverability and incorporates, among other items, the location, the location demographics, the timing of additions of new tenants, lease rates and estimated length of tenancy and ongoing cash requirements.</w:t>
      </w:r>
    </w:p>
    <w:p>
      <w:pPr>
        <w:spacing w:after="0" w:line="68" w:lineRule="exact"/>
        <w:rPr>
          <w:rFonts w:ascii="Times New Roman" w:cs="Times New Roman" w:eastAsia="Times New Roman" w:hAnsi="Times New Roman"/>
          <w:sz w:val="16"/>
          <w:szCs w:val="16"/>
          <w:i w:val="1"/>
          <w:iCs w:val="1"/>
          <w:color w:val="auto"/>
        </w:rPr>
      </w:pPr>
    </w:p>
    <w:p>
      <w:pPr>
        <w:ind w:left="640" w:right="80"/>
        <w:spacing w:after="0" w:line="256"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We review our tenant-related intangible assets on a tenant by tenant basis for indicators of impairment, such as high levels of turnover or attrition, non-renewal of a significant number of contracts or the cancellation or termination of a relationship. We assess recoverability by determining whether the carrying amount of the tenant-related intangible assets will be recovered primarily through projected undiscounted future cash flows.</w:t>
      </w:r>
    </w:p>
    <w:p>
      <w:pPr>
        <w:spacing w:after="0" w:line="49" w:lineRule="exact"/>
        <w:rPr>
          <w:rFonts w:ascii="Times New Roman" w:cs="Times New Roman" w:eastAsia="Times New Roman" w:hAnsi="Times New Roman"/>
          <w:sz w:val="16"/>
          <w:szCs w:val="16"/>
          <w:i w:val="1"/>
          <w:iCs w:val="1"/>
          <w:color w:val="auto"/>
        </w:rPr>
      </w:pPr>
    </w:p>
    <w:p>
      <w:pPr>
        <w:ind w:left="640" w:right="100"/>
        <w:spacing w:after="0" w:line="252"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If the sum of the estimated undiscounted future cash flows of our long-lived assets is less than the carrying amount of the assets, an impairment loss may be recognized. Key assumptions included in the undiscounted cash flows are future revenue projections, estimates of ongoing tenancies and operating margins. An impairment loss would be based on the fair value of the asset, which is based on an estimate of discounted future cash flows to be provided from the asset. We record any related impairment charge in the period in which we identify such impairment.</w:t>
      </w:r>
    </w:p>
    <w:p>
      <w:pPr>
        <w:spacing w:after="0" w:line="156" w:lineRule="exact"/>
        <w:rPr>
          <w:rFonts w:ascii="Times New Roman" w:cs="Times New Roman" w:eastAsia="Times New Roman" w:hAnsi="Times New Roman"/>
          <w:sz w:val="16"/>
          <w:szCs w:val="16"/>
          <w:i w:val="1"/>
          <w:iCs w:val="1"/>
          <w:color w:val="auto"/>
        </w:rPr>
      </w:pPr>
    </w:p>
    <w:p>
      <w:pPr>
        <w:ind w:left="640" w:right="20" w:hanging="318"/>
        <w:spacing w:after="0" w:line="248" w:lineRule="auto"/>
        <w:tabs>
          <w:tab w:leader="none" w:pos="635"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of Assets—Goodwill: </w:t>
      </w:r>
      <w:r>
        <w:rPr>
          <w:rFonts w:ascii="Times New Roman" w:cs="Times New Roman" w:eastAsia="Times New Roman" w:hAnsi="Times New Roman"/>
          <w:sz w:val="18"/>
          <w:szCs w:val="18"/>
          <w:color w:val="auto"/>
        </w:rPr>
        <w:t>We review goodwill for impairment at least annually (as of December 31) or whenever events or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the carrying amount of an asset may not be recoverable. Goodwill is recorded in the applicable segment and assessed for impairment at the reporting unit level. We employ a discounted cash flow analysis when testing goodwill for impairment. The key assumptions utilized in the discounted cash flow analysis include current operating performance, terminal revenue growth rate, management’s expectations of future operating results and cash requirements, the current weighted average cost of capital and an expected tax rate. We compare the fair value of the reporting unit, as calculated under an income approach using future discounted cash flows, to the carrying amount of the applicable reporting unit. If the carrying amount exceeds the fair value, an impairment loss would be recognized for the amount of the excess. The loss recognized is limited to the total amount of goodwill allocated to that reporting unit.</w:t>
      </w:r>
    </w:p>
    <w:p>
      <w:pPr>
        <w:spacing w:after="0" w:line="56" w:lineRule="exact"/>
        <w:rPr>
          <w:rFonts w:ascii="Times New Roman" w:cs="Times New Roman" w:eastAsia="Times New Roman" w:hAnsi="Times New Roman"/>
          <w:sz w:val="18"/>
          <w:szCs w:val="18"/>
          <w:i w:val="1"/>
          <w:iCs w:val="1"/>
          <w:color w:val="auto"/>
        </w:rPr>
      </w:pPr>
    </w:p>
    <w:p>
      <w:pPr>
        <w:ind w:left="640" w:right="20"/>
        <w:spacing w:after="0" w:line="24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the year ended December 31, 2023, the results of our annual goodwill impairment test indicated that the carrying amount of our Spain reporting unit exceeded its estimated fair value, as calculated under an income approach using future discounted cash flows. As a result, we recorded a goodwill impairment charge of $80.0 million. The key assumptions utilized in the discounted cash flow analysis include current operating performance, terminal revenue growth rate, management’s expectations of future operating results and cash requirements, the current weighted average cost of capital and an expected tax rate. The reduction in the fair value of the Spain reporting unit was due to an increase in the weighted average cost of capital. The goodwill impairment charge in Spain was recorded in Goodwill impairment in the accompanying consolidated statements of operations.</w:t>
      </w:r>
    </w:p>
    <w:p>
      <w:pPr>
        <w:spacing w:after="0" w:line="70" w:lineRule="exact"/>
        <w:rPr>
          <w:rFonts w:ascii="Times New Roman" w:cs="Times New Roman" w:eastAsia="Times New Roman" w:hAnsi="Times New Roman"/>
          <w:sz w:val="18"/>
          <w:szCs w:val="18"/>
          <w:i w:val="1"/>
          <w:iCs w:val="1"/>
          <w:color w:val="auto"/>
        </w:rPr>
      </w:pPr>
    </w:p>
    <w:p>
      <w:pPr>
        <w:ind w:left="640" w:right="40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the year ended December 31, 2025, we estimated the fair value of the Bangladesh reporting unit using, among other things, indications of value received from third parties in connection with the review of various strategic alternatives for our Bangladesh operations. As a result, we recorded a goodwill impairment charge of $6.5 million.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right="400"/>
        <w:spacing w:after="0" w:line="269" w:lineRule="auto"/>
        <w:rPr>
          <w:sz w:val="20"/>
          <w:szCs w:val="20"/>
          <w:color w:val="auto"/>
        </w:rPr>
      </w:pPr>
      <w:r>
        <w:rPr>
          <w:rFonts w:ascii="Times New Roman" w:cs="Times New Roman" w:eastAsia="Times New Roman" w:hAnsi="Times New Roman"/>
          <w:sz w:val="18"/>
          <w:szCs w:val="18"/>
          <w:color w:val="auto"/>
        </w:rPr>
        <w:t>goodwill impairment charge is recorded in Other operating expense in the consolidated statements of operations for the year ended December 31, 2025.</w:t>
      </w:r>
    </w:p>
    <w:p>
      <w:pPr>
        <w:spacing w:after="0" w:line="89" w:lineRule="exact"/>
        <w:rPr>
          <w:sz w:val="20"/>
          <w:szCs w:val="20"/>
          <w:color w:val="auto"/>
        </w:rPr>
      </w:pPr>
    </w:p>
    <w:p>
      <w:pPr>
        <w:ind w:left="640" w:right="160"/>
        <w:spacing w:after="0" w:line="269" w:lineRule="auto"/>
        <w:rPr>
          <w:sz w:val="20"/>
          <w:szCs w:val="20"/>
          <w:color w:val="auto"/>
        </w:rPr>
      </w:pPr>
      <w:r>
        <w:rPr>
          <w:rFonts w:ascii="Times New Roman" w:cs="Times New Roman" w:eastAsia="Times New Roman" w:hAnsi="Times New Roman"/>
          <w:sz w:val="18"/>
          <w:szCs w:val="18"/>
          <w:color w:val="auto"/>
        </w:rPr>
        <w:t>During the year ended December 31, 2025, no other potential goodwill impairment was identified as the fair value of each of our reporting units was in excess of its carrying amount.</w:t>
      </w:r>
    </w:p>
    <w:p>
      <w:pPr>
        <w:spacing w:after="0" w:line="140" w:lineRule="exact"/>
        <w:rPr>
          <w:sz w:val="20"/>
          <w:szCs w:val="20"/>
          <w:color w:val="auto"/>
        </w:rPr>
      </w:pPr>
    </w:p>
    <w:p>
      <w:pPr>
        <w:ind w:left="640" w:hanging="318"/>
        <w:spacing w:after="0" w:line="248" w:lineRule="auto"/>
        <w:tabs>
          <w:tab w:leader="none" w:pos="635"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Our revenue is derived from leasing the right to use our communications sites, the land on which the sites are located, the 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our customers’ sites and the space in our data center facilities (the “lease component”) and from the reimbursement of costs incurred in operating the communications sites and data center facilities and supporting the customers’ equipment as well as other services and contractual rights (the “non-lease component”). Most of our revenue is derived from leasing arrangements and is accounted for as lease revenue unless the timing and pattern of revenue recognition of the non-lease component differs from the lease component. If the timing and pattern of the non-lease component revenue recognition differs from that of the lease component, we separately determine the stand-alone selling prices and pattern of revenue recognition for each performance obligation.</w:t>
      </w:r>
    </w:p>
    <w:p>
      <w:pPr>
        <w:spacing w:after="0" w:line="151" w:lineRule="exact"/>
        <w:rPr>
          <w:rFonts w:ascii="Times New Roman" w:cs="Times New Roman" w:eastAsia="Times New Roman" w:hAnsi="Times New Roman"/>
          <w:sz w:val="18"/>
          <w:szCs w:val="18"/>
          <w:i w:val="1"/>
          <w:iCs w:val="1"/>
          <w:color w:val="auto"/>
        </w:rPr>
      </w:pPr>
    </w:p>
    <w:p>
      <w:pPr>
        <w:ind w:left="640" w:right="20"/>
        <w:spacing w:after="0" w:line="24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revenue from leasing arrangements, including fixed escalation clauses present in non-cancellable lease arrangements, is reported on a straight-line basis over the term of the respective leases when collectibility is probable. Escalation clauses tied to a consumer price index or other inflation-based indices, and other variable incentives present in lease agreements with our tenants, are excluded from the straight-line calculation. Total property straight-line revenues for the years ended December 31, 2025, 2024 and 2023 were $101.0 million, $277.6 million and $465.4 million, respectively. Amounts billed upfront in connection with the execution of lease agreements are initially deferred and reflected in Unearned revenue in the accompanying consolidated balance sheets and recognized as revenue over the terms of the applicable lease arrangements. Amounts billed or received for services prior to being earned are deferred and reflected in Unearned revenue in the accompanying consolidated balance sheets until the criteria for recognition have been met. Periodically, we provide lease incentives to our tenants. If incentives are present in our leases, they are evaluated to determine proper treatment and, to the extent present, are recorded in Other current assets and Other non-current assets in the consolidated balance sheets and amortized on a straight line basis over the corresponding lease term as a non-cash reduction to revenue.</w:t>
      </w:r>
    </w:p>
    <w:p>
      <w:pPr>
        <w:spacing w:after="0" w:line="148" w:lineRule="exact"/>
        <w:rPr>
          <w:rFonts w:ascii="Times New Roman" w:cs="Times New Roman" w:eastAsia="Times New Roman" w:hAnsi="Times New Roman"/>
          <w:sz w:val="18"/>
          <w:szCs w:val="18"/>
          <w:i w:val="1"/>
          <w:iCs w:val="1"/>
          <w:color w:val="auto"/>
        </w:rPr>
      </w:pPr>
    </w:p>
    <w:p>
      <w:pPr>
        <w:ind w:left="640" w:right="60"/>
        <w:spacing w:after="0" w:line="24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derive the largest portion of our revenues, corresponding trade receivables and the related deferred rent asset from a small number of customers in the telecommunications industry, with 59% of our revenues derived from four customers. In addition, we have concentrations of credit risk in certain geographic areas. We mitigate the concentrations of credit risk with respect to trade receivables and the related deferred rent assets by actively monitoring the creditworthiness of our customers. In recognizing customer revenue we assess the collectibility of both the amounts billed and the portion recognized on a straight-line basis. This assessment takes customer credit risk and business and industry conditions into consideration to ultimately determine the collectibility of the amounts billed. To the extent the amounts, based on management’s estimates, may not be collectible, recognition is deferred until such point as the uncertainty is resolved. Any amounts that were previously recognized as revenue and are subsequently determined to present a risk of collection are reserved as bad debt expense. Accounts receivable are reported net of allowances for doubtful accounts related to estimated losses resulting from a customer’s inability to make required payments and allowances for amounts invoiced whose collectibility is not reasonably assured.</w:t>
      </w:r>
    </w:p>
    <w:p>
      <w:pPr>
        <w:spacing w:after="0" w:line="160" w:lineRule="exact"/>
        <w:rPr>
          <w:rFonts w:ascii="Times New Roman" w:cs="Times New Roman" w:eastAsia="Times New Roman" w:hAnsi="Times New Roman"/>
          <w:sz w:val="18"/>
          <w:szCs w:val="18"/>
          <w:i w:val="1"/>
          <w:iCs w:val="1"/>
          <w:color w:val="auto"/>
        </w:rPr>
      </w:pPr>
    </w:p>
    <w:p>
      <w:pPr>
        <w:ind w:left="640" w:right="80" w:hanging="318"/>
        <w:spacing w:after="0" w:line="251" w:lineRule="auto"/>
        <w:tabs>
          <w:tab w:leader="none" w:pos="6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Rent Expense and Lease Accounting: </w:t>
      </w:r>
      <w:r>
        <w:rPr>
          <w:rFonts w:ascii="Times New Roman" w:cs="Times New Roman" w:eastAsia="Times New Roman" w:hAnsi="Times New Roman"/>
          <w:sz w:val="18"/>
          <w:szCs w:val="18"/>
          <w:color w:val="auto"/>
        </w:rPr>
        <w:t>Many of the leases underlying our tower sites and data centers have fixed rent escalations, which provide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 increases in the amount of ground rent payable over time. In addition, certain of our tenant leases require us to exercise available renewal options pursuant to the underlying ground lease if the tenant exercises its renewal option. Our calculation of the lease liability includes the term of the underlying ground lease plus all periods, if any, for which failure to renew the lease imposes an economic penalty to us such that renewal appears to be reasonably assured.</w:t>
      </w:r>
    </w:p>
    <w:p>
      <w:pPr>
        <w:spacing w:after="0" w:line="52" w:lineRule="exact"/>
        <w:rPr>
          <w:rFonts w:ascii="Times New Roman" w:cs="Times New Roman" w:eastAsia="Times New Roman" w:hAnsi="Times New Roman"/>
          <w:sz w:val="18"/>
          <w:szCs w:val="18"/>
          <w:color w:val="auto"/>
        </w:rPr>
      </w:pPr>
    </w:p>
    <w:p>
      <w:pPr>
        <w:ind w:left="640" w:right="18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a right-of-use lease asset and lease liability for operating and finance leases. The right-of-use asset is measured as the sum of the lease liability, prepaid or accrued lease payments, any initial direct costs incurred and any other applicable amounts.</w:t>
      </w:r>
    </w:p>
    <w:p>
      <w:pPr>
        <w:spacing w:after="0" w:line="49" w:lineRule="exact"/>
        <w:rPr>
          <w:rFonts w:ascii="Times New Roman" w:cs="Times New Roman" w:eastAsia="Times New Roman" w:hAnsi="Times New Roman"/>
          <w:sz w:val="18"/>
          <w:szCs w:val="18"/>
          <w:color w:val="auto"/>
        </w:rPr>
      </w:pPr>
    </w:p>
    <w:p>
      <w:pPr>
        <w:ind w:left="640" w:right="1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lease liability requires us to make certain assumptions for each lease, including lease term and discount rate implicit in each lease, which could significantly impact the gross lease obligation, the duration and the present value of the lease liability. When calculating the lease term, we consider the renewal, cancellation and termination rights available to us and the lessor. We determine the discount rate by calculating the incremental borrowing rate on a collateralized basis at the commencement of a lease or upon a change in the lease term.</w:t>
      </w:r>
    </w:p>
    <w:p>
      <w:pPr>
        <w:spacing w:after="0" w:line="143" w:lineRule="exact"/>
        <w:rPr>
          <w:rFonts w:ascii="Times New Roman" w:cs="Times New Roman" w:eastAsia="Times New Roman" w:hAnsi="Times New Roman"/>
          <w:sz w:val="18"/>
          <w:szCs w:val="18"/>
          <w:color w:val="auto"/>
        </w:rPr>
      </w:pPr>
    </w:p>
    <w:p>
      <w:pPr>
        <w:ind w:left="640" w:right="60" w:hanging="318"/>
        <w:spacing w:after="0" w:line="271" w:lineRule="auto"/>
        <w:tabs>
          <w:tab w:leader="none" w:pos="635"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Accounting for income taxes requires us to estimate the timing and impact of amounts recorded in our financial statements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differently for tax purposes. To the extent that the timing of amounts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40"/>
        <w:spacing w:after="0" w:line="250" w:lineRule="auto"/>
        <w:rPr>
          <w:sz w:val="20"/>
          <w:szCs w:val="20"/>
          <w:color w:val="auto"/>
        </w:rPr>
      </w:pPr>
      <w:r>
        <w:rPr>
          <w:rFonts w:ascii="Times New Roman" w:cs="Times New Roman" w:eastAsia="Times New Roman" w:hAnsi="Times New Roman"/>
          <w:sz w:val="18"/>
          <w:szCs w:val="18"/>
          <w:color w:val="auto"/>
        </w:rPr>
        <w:t>recognized for financial reporting purposes differs from the timing of recognition for tax reporting purposes, deferred tax assets or liabilities are required to be recorded. We measure deferred tax assets and liabilities using enacted tax rates expected to apply to taxable income in the years in which those temporary differences and carryforwards are expected to be recovered or settled. The effect on deferred tax assets and liabilities as a result of a change in tax rates is recognized in income in the period that includes the enactment date. We do not expect to pay federal income taxes on our REIT taxable income.</w:t>
      </w:r>
    </w:p>
    <w:p>
      <w:pPr>
        <w:spacing w:after="0" w:line="68" w:lineRule="exact"/>
        <w:rPr>
          <w:sz w:val="20"/>
          <w:szCs w:val="20"/>
          <w:color w:val="auto"/>
        </w:rPr>
      </w:pPr>
    </w:p>
    <w:p>
      <w:pPr>
        <w:ind w:left="640" w:right="20"/>
        <w:spacing w:after="0" w:line="294" w:lineRule="auto"/>
        <w:rPr>
          <w:sz w:val="20"/>
          <w:szCs w:val="20"/>
          <w:color w:val="auto"/>
        </w:rPr>
      </w:pPr>
      <w:r>
        <w:rPr>
          <w:rFonts w:ascii="Times New Roman" w:cs="Times New Roman" w:eastAsia="Times New Roman" w:hAnsi="Times New Roman"/>
          <w:sz w:val="16"/>
          <w:szCs w:val="16"/>
          <w:color w:val="auto"/>
        </w:rPr>
        <w:t>We periodically review our deferred tax assets, and we record a valuation allowance if, based on the available evidence, it is more likely than not that some or all of the deferred tax assets will not be realized. Management assesses the available positive and negative evidence to estimate if sufficient future taxable income will be generated to use the existing deferred tax assets. Valuation allowances would be reversed as a reduction to the provision for income taxes, if related deferred tax assets are deemed realizable based on changes in facts and circumstances relevant to the assets’ recoverability.</w:t>
      </w:r>
    </w:p>
    <w:p>
      <w:pPr>
        <w:spacing w:after="0" w:line="34" w:lineRule="exact"/>
        <w:rPr>
          <w:sz w:val="20"/>
          <w:szCs w:val="20"/>
          <w:color w:val="auto"/>
        </w:rPr>
      </w:pPr>
    </w:p>
    <w:p>
      <w:pPr>
        <w:ind w:left="640"/>
        <w:spacing w:after="0" w:line="249" w:lineRule="auto"/>
        <w:rPr>
          <w:sz w:val="20"/>
          <w:szCs w:val="20"/>
          <w:color w:val="auto"/>
        </w:rPr>
      </w:pPr>
      <w:r>
        <w:rPr>
          <w:rFonts w:ascii="Times New Roman" w:cs="Times New Roman" w:eastAsia="Times New Roman" w:hAnsi="Times New Roman"/>
          <w:sz w:val="18"/>
          <w:szCs w:val="18"/>
          <w:color w:val="auto"/>
        </w:rPr>
        <w:t>We recognize the benefit of uncertain tax positions when, in management’s judgment, it is more likely than not that positions we have taken in our tax returns will be sustained upon examination, which are measured at the largest amount that is greater than 50% likely of being realized upon settlement. We adjust our tax liabilities when our judgment changes as a result of the evaluation of new information or information not previously available.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additional information is available or the position is ultimately settled under audit.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recent accounting standards updates, see note 1 to our consolidated financial statements included in this Annual Report.</w:t>
      </w:r>
    </w:p>
    <w:p>
      <w:pPr>
        <w:spacing w:after="0" w:line="41"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7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about our market risk exposure associated with changing interest rates. For long-term debt obligations, the table presents principal cash flows by maturity date and average interest rates related to outstanding obligations. For more information, see Item 7 of this Annual Report under the caption “Management’s Discussion and Analysis of Financial Condition and Results of Operations—Liquidity and Capital Resources” and note 8 to our consolidated financial statements included in this Annual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22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2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Rate Debt (a)</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3,386.2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4,724.9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6,132.6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3,782.0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4,925.3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13,098.7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34,748.2</w:t>
            </w:r>
          </w:p>
        </w:tc>
      </w:tr>
      <w:tr>
        <w:trPr>
          <w:trHeight w:val="190"/>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Interest Rate (a)</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Rate Debt (b)</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1,380.6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1,385.2</w:t>
            </w:r>
          </w:p>
        </w:tc>
      </w:tr>
      <w:tr>
        <w:trPr>
          <w:trHeight w:val="183"/>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Interest Rate (b)(c)</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5"/>
                <w:szCs w:val="15"/>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320" w:hanging="315"/>
        <w:spacing w:after="0" w:line="255" w:lineRule="auto"/>
        <w:tabs>
          <w:tab w:leader="none" w:pos="3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rate debt consisted of (i) Securities issued in the Trust Securitization, (ii) our senior unsecured notes (see note 8 to our consolidated financial statements included in this Annual Report for a detailed description of all such senior unsecured notes) and (iii) other debt, including finance leases.</w:t>
      </w:r>
    </w:p>
    <w:p>
      <w:pPr>
        <w:ind w:left="320" w:hanging="315"/>
        <w:spacing w:after="0" w:line="248" w:lineRule="auto"/>
        <w:tabs>
          <w:tab w:leader="none" w:pos="30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rate debt consisted of (i) the 2021 Multicurrency Credit Facility, which matures on January 28, 2028, (ii) the 2021 Term Loan, which matures on January 28, 2028, (iii) the CoreSite DE1 Note and (iv) the Bangladesh Term Loan.</w:t>
      </w:r>
    </w:p>
    <w:p>
      <w:pPr>
        <w:ind w:left="300" w:hanging="295"/>
        <w:spacing w:after="0"/>
        <w:tabs>
          <w:tab w:leader="none" w:pos="3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rates effective as of December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40"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Changes in interest rates can cause interest charges to fluctuate on our variable rate debt. Variable rate debt as of December 31, 2025 primarily consisted of $380.0 million under the 2021 Multicurrency Credit Facility, $1.0 billion under the 2021 Term Loan, $4.0 million under the CoreSite DE1 Note and $1.2 million under the Bangladesh Term Loan. A 10% increase in current interest rates would result in an additional $6.7 million of interest expense for the year ended December 31, 2025.</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4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color w:val="auto"/>
        </w:rPr>
        <w:t>We are exposed to market risk from changes in foreign currency exchange rates primarily in connection with our foreign subsidiaries and joint ventures internationally. Any transaction denominated in a currency other than the U.S. Dollar is reported in U.S. Dollars at the applicable exchange rate. All assets and liabilities are translated into U.S. Dollars at exchange rates in effect at the end of the applicable fiscal reporting period and all revenues and expenses are translated at average rates for the period. The cumulative translation effect is included in equity as a component of Accumulated other comprehensive loss. We may enter into additional foreign currency financial instruments in anticipation of future transactions to minimize the impact of foreign currency fluctuations. For the year ended December 31, 2025, 31% of our revenues and 40% of our total operating expenses were denominated in foreign currencies.</w:t>
      </w:r>
    </w:p>
    <w:p>
      <w:pPr>
        <w:spacing w:after="0" w:line="9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As of December 31, 2025, we have incurred intercompany debt that is not considered to be permanently reinvested, and similar unaffiliated balances that were denominated in a currency other than the functional currency of the subsidiary in which it is recorded. As this debt had not been designated as being a long-term investment in nature, any changes in the foreign currency exchange rates will result in unrealized gains or losses, which will be included in our determination of net income. An adverse change of 10% in the underlying exchange rates of our unsettled intercompany debt and similar unaffiliated balances would result in $12.6 million of unrealized losses that would be included in Other expense in our consolidated statements of operations for the year ended December 31, 2025. As of December 31, 2025, we have 7.5 billion EUR (approximately $8.8 billion) denominated debt outstanding, of which approximately 4.7 billion EUR (approximately $5.5 billion) is designated as a non-derivative net investment hedge. An adverse change of 10% in the underlying exchange rates of our outstanding EUR debt not designated as a non-derivative net investment hedge would result in $0.4 billion of foreign currency losses that would be included in Other expense in our consolidated statements of operations for the year ended December 31, 2025.</w:t>
      </w:r>
    </w:p>
    <w:p>
      <w:pPr>
        <w:spacing w:after="0" w:line="162"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15 (a).</w:t>
      </w:r>
    </w:p>
    <w:p>
      <w:pPr>
        <w:spacing w:after="0" w:line="134"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34"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5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We have established disclosure controls and procedures designed to ensure that material information relating to us, including our consolidated subsidiaries, is made known to the officers who certify our financial reports and to other members of senior management and the Board.</w:t>
      </w:r>
    </w:p>
    <w:p>
      <w:pPr>
        <w:spacing w:after="0" w:line="10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Exchange Act) as of the end of the period covered by this Annual Report. Based on this evaluation, our principal executive officer and principal financial officer concluded that these disclosure controls and procedures were effective as of December 31, 2025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51"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6"/>
          <w:szCs w:val="16"/>
          <w:color w:val="auto"/>
        </w:rPr>
        <w:t>Our management, with the participation of our principal executive officer and principal financial officer, is responsible for establishing and maintaining adequate internal control over financial reporting as defined in Rules 13a-15(f) and 15d-15(f) under the Exchange Act. Our internal control system is designed to provide reasonable assurance to our management and our Board regarding the preparation and fair presentation of published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2025.</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making its assessment of internal control over financial reporting, our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this assessment, management concluded that, as of December 31, 2025, our internal control over financial reporting is effective.</w:t>
      </w:r>
    </w:p>
    <w:p>
      <w:pPr>
        <w:spacing w:after="0" w:line="11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that audited our financial statements included in this Annual Report, has issued an attestation report on management’s internal control over financial reporting, which is included in this Item 9A under the caption “Report of Independent Registered Public Accounting Firm.”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51" w:lineRule="exact"/>
        <w:rPr>
          <w:sz w:val="20"/>
          <w:szCs w:val="20"/>
          <w:color w:val="auto"/>
        </w:rPr>
      </w:pPr>
    </w:p>
    <w:p>
      <w:pPr>
        <w:ind w:right="300"/>
        <w:spacing w:after="0" w:line="332"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 13a-15(f) under the Exchange Act) during the fiscal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580" w:firstLine="2612"/>
        <w:spacing w:after="0" w:line="41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American Tower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American Tower Corporation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19" w:lineRule="exact"/>
        <w:rPr>
          <w:sz w:val="20"/>
          <w:szCs w:val="20"/>
          <w:color w:val="auto"/>
        </w:rPr>
      </w:pPr>
    </w:p>
    <w:p>
      <w:pPr>
        <w:jc w:val="both"/>
        <w:ind w:right="520"/>
        <w:spacing w:after="0" w:line="25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3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Insider Trading Arrangements and Policies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Rule 10b5-1 Plans</w:t>
      </w:r>
    </w:p>
    <w:p>
      <w:pPr>
        <w:spacing w:after="0" w:line="14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Ruth T. Dowling, our Executive Vice President, Chief Administrative Officer, General Counsel and Secretary, entered into a pre-arranged stock trading plan on October 29, 2025. Ms. Dowling’s plan provides for the potential sale of up to 5,679 shares of our common stock between February 27, 2026 and November 2, 2026.</w:t>
      </w:r>
    </w:p>
    <w:p>
      <w:pPr>
        <w:spacing w:after="0" w:line="1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trading plan was entered into during an open insider trading window and is intended to satisfy the affirmative defense of Rule 10b5-1 under the Exchange Act and our policies regarding transactions in our securities. Generally, this trading plan pre-establishes the amounts, prices and dates of future purchases or sales of our stock, including shares issued upon the exercise or vesting of equity awards. Under this trading plan, the individual officer relinquishes control over the transactions once the trading plan is put into place. Accordingly, sales under this plan may occur at any time, including possibly before, simultaneously with, or immediately after, significant company events.</w:t>
      </w:r>
    </w:p>
    <w:p>
      <w:pPr>
        <w:spacing w:after="0" w:line="145"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8"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and their respective ages and positions as of February 17, 2026 are set forth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O. Vondran</w:t>
            </w: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Rodney M. Smith</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2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Ruth T. Dowling</w:t>
            </w: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Administrative Officer, General Counsel and Secretary</w:t>
            </w:r>
          </w:p>
        </w:tc>
      </w:tr>
      <w:tr>
        <w:trPr>
          <w:trHeight w:val="22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Juan A. Font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President and CEO, CoreSite</w:t>
            </w:r>
          </w:p>
        </w:tc>
      </w:tr>
      <w:tr>
        <w:trPr>
          <w:trHeight w:val="22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J. Meyer</w:t>
            </w: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2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Eugene M. Noel</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2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C. Rossi</w:t>
            </w: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President, U.S. Tower</w:t>
            </w:r>
          </w:p>
        </w:tc>
      </w:tr>
    </w:tbl>
    <w:p>
      <w:pPr>
        <w:spacing w:after="0" w:line="309"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Steven O. Vondran </w:t>
      </w:r>
      <w:r>
        <w:rPr>
          <w:rFonts w:ascii="Times New Roman" w:cs="Times New Roman" w:eastAsia="Times New Roman" w:hAnsi="Times New Roman"/>
          <w:sz w:val="16"/>
          <w:szCs w:val="16"/>
          <w:color w:val="auto"/>
        </w:rPr>
        <w:t>is our President and Chief Executive Officer. Mr. Vondran joined us in 2000 as a member of our corporate legal team and served in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variety of positions, including Senior Vice President, U.S. Leasing Operations, Senior Vice President and General Counsel, U.S. Tower Division, Executive Vice President and President, U.S. Tower Division, and most recently, Executive Vice President and Chief Operating Officer. Mr. Vondran joined the Cellular Telecommunications Industry Association (CTIA) board in September 2018, and he served on the board of the Wireless Infrastructure Association (WIA) between 2018 and 2024. Mr. Vondran is a member of the Business Roundtable and Nareit Executive Board. Mr. Vondran also currently serves on the board of directors of Ameren Corporation. Prior to joining us, Mr. Vondran was an associate at the law firm of Lewellen &amp; Frazier LLP, served as a telecommunications consultant with the firm of Young &amp; Associates, Inc., and was a Law Clerk to the Hon. John Stroud on the Arkansas Court of Appeals. He received his J.D. with high honors from the University of Arkansas at Little Rock School of Law and a Bachelor of Arts in Economics and Business from Hendrix College.</w:t>
      </w:r>
    </w:p>
    <w:p>
      <w:pPr>
        <w:spacing w:after="0" w:line="8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Rodney M. Smith </w:t>
      </w:r>
      <w:r>
        <w:rPr>
          <w:rFonts w:ascii="Times New Roman" w:cs="Times New Roman" w:eastAsia="Times New Roman" w:hAnsi="Times New Roman"/>
          <w:sz w:val="18"/>
          <w:szCs w:val="18"/>
          <w:color w:val="auto"/>
        </w:rPr>
        <w:t>is our Executive Vice President, Chief Financial Officer and Treasurer. He is also a director of ATC Europe and CoreSite. Mr. Smith joined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in October 2009, and previously held the roles of Senior Vice President, Corporate Finance, and Treasurer and Senior Vice President and Chief Financial Officer, U.S. Tower Division. He also serves as co-Executive Sponsor of American Tower’s employee resource group for women, WAATCH. Prior to joining us, Mr. Smith served as Executive Vice President, Chief Financial Officer and as a general board member of Lightower, a private equity backed wireless infrastructure company. Prior to Lightower, he served as Chief Financial Officer and Treasurer (and earlier as Vice President and Controller) for RoweCom, a publicly traded company with operations in eight countries. Early in his career, Mr. Smith held several leadership positions at Nextel Communications, including Director of Finance and General Manager of one of the company’s Northeast markets. Mr. Smith earned his M.B.A from Suffolk University, a Certificate of Accountancy from Bentley University and a Bachelor of Science in Finance from Merrimack College.</w:t>
      </w:r>
    </w:p>
    <w:p>
      <w:pPr>
        <w:spacing w:after="0" w:line="12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Ruth T. Dowling </w:t>
      </w:r>
      <w:r>
        <w:rPr>
          <w:rFonts w:ascii="Times New Roman" w:cs="Times New Roman" w:eastAsia="Times New Roman" w:hAnsi="Times New Roman"/>
          <w:sz w:val="18"/>
          <w:szCs w:val="18"/>
          <w:color w:val="auto"/>
        </w:rPr>
        <w:t>is our Executive Vice President, Chief Administrative Officer, General Counsel and Secretary. She is also the chair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CoreSite. Ms. Dowling joined us in 2011 and previously held the roles of Senior Vice President, Corporate Legal, and Senior Vice President and General Counsel for the EMEA and Latin America regions. In addition, she led American Tower’s Global Remobilization Project Team to care for the safety and well-being of employees during the pandemic. She also serves as co-Executive Sponsor of American Tower’s employee resource group for women, WAATCH. Prior to joining us, Ms. Dowling was a partner and co-chair of the 150-member litigation department at Edwards Angell Palmer &amp; Dodge LLP and clerked for the Honorable Fred I. Parker of the United States Second Circuit Court of Appeals. Ms. Dowling earned her law degree from Duke University School of Law with high honors and a Bachelor of Arts from the University of North Carolina Chapel Hill with honors.</w:t>
      </w:r>
    </w:p>
    <w:p>
      <w:pPr>
        <w:spacing w:after="0" w:line="15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Juan A. Font </w:t>
      </w:r>
      <w:r>
        <w:rPr>
          <w:rFonts w:ascii="Times New Roman" w:cs="Times New Roman" w:eastAsia="Times New Roman" w:hAnsi="Times New Roman"/>
          <w:sz w:val="18"/>
          <w:szCs w:val="18"/>
          <w:color w:val="auto"/>
        </w:rPr>
        <w:t>is our Senior Vice President and President and CEO, CoreSite. He is also a director of ATC Europe and CoreSite. Mr. Font is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the strategy, innovation and growth to achieve CoreSite’s vision of empowering a more connected future by increasing revenue growth and return on invested capital to the American Tower data center portfolio. Mr. Font joined CoreSite in 2010 and has held positions of increasing responsibility within the organization. He has more than 25 years of experience in general management, direct sales, business operations, and finance in the data center and telecommunications industries. Prior to joining CoreSite, Mr. Font held direct sales contributor roles with Equinix, covering strategic verticals. He also held positions of increasing responsibility with Teleglobe in financial management and business operations across European markets and increased his understanding of capital-intensive industries at The World Bank Group, where he oversaw investments in the power sector. Mr. Font received an M.B.A. from The Kogod School of Business at The American University and a Bachelor of Arts in Business Economics and Finance from the Universidad Complutense of Madrid.</w:t>
      </w:r>
    </w:p>
    <w:p>
      <w:pPr>
        <w:spacing w:after="0" w:line="15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Robert J. Meyer </w:t>
      </w:r>
      <w:r>
        <w:rPr>
          <w:rFonts w:ascii="Times New Roman" w:cs="Times New Roman" w:eastAsia="Times New Roman" w:hAnsi="Times New Roman"/>
          <w:sz w:val="18"/>
          <w:szCs w:val="18"/>
          <w:color w:val="auto"/>
        </w:rPr>
        <w:t>is our Senior Vice President and Chief Accounting Officer and will remain in this role until April 27, 2026, after which he will assist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transition until his retirement from the Company, which will occur prior to the end of 2026.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Mr. Meyer joined us in August 2008 as our Senior Vice President, Finance and Corporate Controller and served in that role until January 2020 when he was appointed to his current position. Prior to joining us, Mr. Meyer was with Bright Horizons Family Solutions since 1998, a provider of child care, early education and work/life consulting services, where he most recently served as Chief Accounting Officer. Mr. Meyer also served as Corporate Controller and Vice President of Finance while at Bright Horizons. Prior to that, from 1997 to 1998, Mr. Meyer served as Director of Financial Planning and Analysis at First Security Services Corp. Mr. Meyer earned a Masters in Finance from Bentley University and a Bachelor of Science in Accounting from Marquette University, and is a Certified Public Accountant.</w:t>
      </w:r>
    </w:p>
    <w:p>
      <w:pPr>
        <w:spacing w:after="0" w:line="10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Eugene M. Noel </w:t>
      </w:r>
      <w:r>
        <w:rPr>
          <w:rFonts w:ascii="Times New Roman" w:cs="Times New Roman" w:eastAsia="Times New Roman" w:hAnsi="Times New Roman"/>
          <w:sz w:val="16"/>
          <w:szCs w:val="16"/>
          <w:color w:val="auto"/>
        </w:rPr>
        <w:t>is our Executive Vice President and Chief Operating Officer. He is also a director of ATC Europe and CoreSite. Mr. Noel joined us in 2011,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previously held the roles of Executive Vice President and President, U.S. Tower Division and Senior Vice President and Chief Operating Officer, U.S. Tower Division. Mr. Noel has more than 25 years of telecommunications real estate development and operations and network deployment experience. Mr. Noel is a board member of the WIA and a former board member of the Tower Families Foundation and Warriors4Wireless. Prior to joining us, he was Vice President of Network Development for LightSquared (now Ligado Networks), with responsibility for the development and implementation of the company’s national network deployment strategy. He spent 11 years with Sprint Nextel, beginning as Director of Radio Services, then becoming Vice President for Northeast Site Development, and finally becoming Vice President for National Site Development. Mr. Noel is a graduate of East Carolina University with a Bachelor of Science in Industrial Engineering and has earned an Executive Certificate from the McDonough School of Business at Georgetown University.</w:t>
      </w:r>
    </w:p>
    <w:p>
      <w:pPr>
        <w:spacing w:after="0" w:line="96"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Richard C. Rossi </w:t>
      </w:r>
      <w:r>
        <w:rPr>
          <w:rFonts w:ascii="Times New Roman" w:cs="Times New Roman" w:eastAsia="Times New Roman" w:hAnsi="Times New Roman"/>
          <w:sz w:val="18"/>
          <w:szCs w:val="18"/>
          <w:color w:val="auto"/>
        </w:rPr>
        <w:t>is our Executive Vice President and President, U.S. Tower. Prior to this role, Mr. Rossi served as our Senior Vice President and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U.S. Tower Division, a position he had held since 2018. He is also a director of CoreSite. Mr. Rossi joined us in 2001 and served in various operational and legal roles for U.S. Tower, including Director of Contract Management and Vice President of Legal. Mr. Rossi serves as the Vice Chair for WIA’s board of directors and is a member of the boards of CTIA and East Cambridge Savings Bank. Mr. Rossi received his J.D. from Boston College Law School and graduated magna cum laude from Providence College with a Bachelor of Arts degree in Political Science.</w:t>
      </w:r>
    </w:p>
    <w:p>
      <w:pPr>
        <w:spacing w:after="0" w:line="1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information under “Election of Directors” and “Delinquent Section 16(a) Reports,” if applicable, from the Definitive Proxy Statement is incorporated herein by reference. Information required by this item pursuant to Item 407(c)(3) of SEC Regulation S-K relating to our procedures by which security holders may recommend nominees to our Board, and pursuant to Item 407(d)(4) and 407(d)(5) of SEC Regulation S-K relating to our audit committee financial experts and identification of the audit committee of our Board, is contained in the Definitive Proxy Statement under “Corporate Governance” and is incorporated herein by reference.</w:t>
      </w:r>
    </w:p>
    <w:p>
      <w:pPr>
        <w:spacing w:after="0" w:line="10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Information regarding our Code of Conduct applicable to our principal executive officer, our principal financial officer, our controller and other senior financial officers appears in Item 1 of this Annual Report under the caption “Business—Available Information.”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adopted an Anti-Insider Trading Policy governing the purchase, sale and/or other dispositions of our securities by our directors, officers, employees and contractors and by the Company, that we believe is reasonably designed to promote compliance with insider trading laws, rules and regulations and applicable listing standards. A copy of our Anti-Insider Trading Policy is filed with this Annual Report as Exhibit 19.1.</w:t>
      </w:r>
    </w:p>
    <w:p>
      <w:pPr>
        <w:spacing w:after="0" w:line="152"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30" w:lineRule="exact"/>
        <w:rPr>
          <w:sz w:val="20"/>
          <w:szCs w:val="20"/>
          <w:color w:val="auto"/>
        </w:rPr>
      </w:pPr>
    </w:p>
    <w:p>
      <w:pPr>
        <w:ind w:right="600"/>
        <w:spacing w:after="0" w:line="332" w:lineRule="auto"/>
        <w:rPr>
          <w:sz w:val="20"/>
          <w:szCs w:val="20"/>
          <w:color w:val="auto"/>
        </w:rPr>
      </w:pPr>
      <w:r>
        <w:rPr>
          <w:rFonts w:ascii="Times New Roman" w:cs="Times New Roman" w:eastAsia="Times New Roman" w:hAnsi="Times New Roman"/>
          <w:sz w:val="16"/>
          <w:szCs w:val="16"/>
          <w:color w:val="auto"/>
        </w:rPr>
        <w:t>The information under “Compensation and Other Information Concerning Directors and Officers” from the Definitive Proxy Statement, except as to information required pursuant to Item 402(v) of SEC Regulation S-K relating to pay versus performance, is incorporated herein by reference.</w:t>
      </w:r>
    </w:p>
    <w:p>
      <w:pPr>
        <w:spacing w:after="0" w:line="95" w:lineRule="exact"/>
        <w:rPr>
          <w:sz w:val="20"/>
          <w:szCs w:val="20"/>
          <w:color w:val="auto"/>
        </w:rPr>
      </w:pPr>
    </w:p>
    <w:p>
      <w:pPr>
        <w:ind w:left="1360" w:right="40" w:hanging="1330"/>
        <w:spacing w:after="0" w:line="232" w:lineRule="auto"/>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1"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18"/>
          <w:szCs w:val="18"/>
          <w:color w:val="auto"/>
        </w:rPr>
        <w:t>The information under “Security Ownership of Certain Beneficial Owners and Management” and “Securities Authorized for Issuance Under Equity Compensation Plans” from the Definitive Proxy Statement is incorporated herein by reference.</w:t>
      </w:r>
    </w:p>
    <w:p>
      <w:pPr>
        <w:spacing w:after="0" w:line="140"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9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Information required by this item pursuant to Item 404 of SEC Regulation S-K relating to approval of related party transactions is contained in the Definitive Proxy Statement under “Corporate Governance” and is incorporated herein by reference.</w:t>
      </w:r>
    </w:p>
    <w:p>
      <w:pPr>
        <w:spacing w:after="0" w:line="89"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8"/>
          <w:szCs w:val="18"/>
          <w:color w:val="auto"/>
        </w:rPr>
        <w:t>Information required by this item pursuant to Item 407(a) of SEC Regulation S-K relating to director independence is contained in the Definitive Proxy Statement under “Corporate Governance” and is incorporated herein by reference.</w:t>
      </w:r>
    </w:p>
    <w:p>
      <w:pPr>
        <w:spacing w:after="0" w:line="140"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“Independent Auditor Fees and Other Matters” from the Definitive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43"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FINANCIAL STATEMENT SCHEDULES</w:t>
      </w:r>
    </w:p>
    <w:p>
      <w:pPr>
        <w:spacing w:after="0" w:line="230" w:lineRule="exact"/>
        <w:rPr>
          <w:sz w:val="20"/>
          <w:szCs w:val="20"/>
          <w:color w:val="auto"/>
        </w:rPr>
      </w:pPr>
    </w:p>
    <w:p>
      <w:pPr>
        <w:ind w:left="380" w:hanging="375"/>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report:</w:t>
      </w:r>
    </w:p>
    <w:p>
      <w:pPr>
        <w:spacing w:after="0" w:line="146" w:lineRule="exact"/>
        <w:rPr>
          <w:rFonts w:ascii="Times New Roman" w:cs="Times New Roman" w:eastAsia="Times New Roman" w:hAnsi="Times New Roman"/>
          <w:sz w:val="18"/>
          <w:szCs w:val="18"/>
          <w:color w:val="auto"/>
        </w:rPr>
      </w:pPr>
    </w:p>
    <w:p>
      <w:pPr>
        <w:ind w:right="360" w:firstLine="638"/>
        <w:spacing w:after="0" w:line="271" w:lineRule="auto"/>
        <w:tabs>
          <w:tab w:leader="none" w:pos="80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Index to Consolidated Financial Statements, which appears on page F-1 hereof. The financial statements listed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Index to Consolidated Financial Statements are filed herewith in response to this Item.</w:t>
      </w:r>
    </w:p>
    <w:p>
      <w:pPr>
        <w:spacing w:after="0" w:line="99" w:lineRule="exact"/>
        <w:rPr>
          <w:rFonts w:ascii="Times New Roman" w:cs="Times New Roman" w:eastAsia="Times New Roman" w:hAnsi="Times New Roman"/>
          <w:sz w:val="18"/>
          <w:szCs w:val="18"/>
          <w:color w:val="auto"/>
        </w:rPr>
      </w:pPr>
    </w:p>
    <w:p>
      <w:pPr>
        <w:ind w:right="860" w:firstLine="638"/>
        <w:spacing w:after="0" w:line="271" w:lineRule="auto"/>
        <w:tabs>
          <w:tab w:leader="none" w:pos="80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American Tower Corporation and Subsidiaries Schedule III – Schedule of Real Estate and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is filed herewith in response to this Item.</w:t>
      </w:r>
    </w:p>
    <w:p>
      <w:pPr>
        <w:spacing w:after="0" w:line="85" w:lineRule="exact"/>
        <w:rPr>
          <w:rFonts w:ascii="Times New Roman" w:cs="Times New Roman" w:eastAsia="Times New Roman" w:hAnsi="Times New Roman"/>
          <w:sz w:val="18"/>
          <w:szCs w:val="18"/>
          <w:color w:val="auto"/>
        </w:rPr>
      </w:pPr>
    </w:p>
    <w:p>
      <w:pPr>
        <w:ind w:left="820" w:hanging="182"/>
        <w:spacing w:after="0"/>
        <w:tabs>
          <w:tab w:leader="none" w:pos="8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7"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6"/>
          <w:szCs w:val="16"/>
          <w:color w:val="auto"/>
        </w:rPr>
        <w:t>Pursuant to the rules and regulations of the SEC, the Company has filed certain agreements as exhibits to this Annual Report on Form 10-K. These agreements may contain representations and warranties by the parties.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the Company’s public disclosure,</w:t>
      </w:r>
    </w:p>
    <w:p>
      <w:pPr>
        <w:spacing w:after="0" w:line="3" w:lineRule="exact"/>
        <w:rPr>
          <w:sz w:val="20"/>
          <w:szCs w:val="20"/>
          <w:color w:val="auto"/>
        </w:rPr>
      </w:pPr>
    </w:p>
    <w:p>
      <w:pPr>
        <w:ind w:right="140" w:firstLine="5"/>
        <w:spacing w:after="0" w:line="276" w:lineRule="auto"/>
        <w:tabs>
          <w:tab w:leader="none" w:pos="29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reflect the allocation of risk among the parties to such agreements and (iv) may apply materiality standards different from what may be viewed as material to investors. Accordingly, these representations and warranties may not describe the Company’s actual state of affairs at the date hereof and should not be relied upon.</w:t>
      </w:r>
    </w:p>
    <w:p>
      <w:pPr>
        <w:spacing w:after="0" w:line="9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The exhibits below are included, either by being filed herewith or by incorporation by reference, as part of this Annual Report on Form 10-K. Exhibits are identified according to the number assigned to them in Item 601 of SEC Regulation S-K. Documents that are incorporated by reference are identified by their Exhibit number as set forth in the filing from which they are incorporated by reference.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60" w:type="dxa"/>
            <w:vAlign w:val="bottom"/>
            <w:gridSpan w:val="1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60" w:type="dxa"/>
            <w:vAlign w:val="bottom"/>
            <w:gridSpan w:val="17"/>
            <w:vMerge w:val="continue"/>
          </w:tcPr>
          <w:p>
            <w:pPr>
              <w:spacing w:after="0"/>
              <w:rPr>
                <w:sz w:val="12"/>
                <w:szCs w:val="12"/>
                <w:color w:val="auto"/>
              </w:rPr>
            </w:pPr>
          </w:p>
        </w:tc>
        <w:tc>
          <w:tcPr>
            <w:tcW w:w="1140" w:type="dxa"/>
            <w:vAlign w:val="bottom"/>
            <w:gridSpan w:val="3"/>
          </w:tcPr>
          <w:p>
            <w:pPr>
              <w:jc w:val="center"/>
              <w:ind w:right="140"/>
              <w:spacing w:after="0" w:line="138" w:lineRule="exact"/>
              <w:rPr>
                <w:sz w:val="20"/>
                <w:szCs w:val="20"/>
                <w:color w:val="auto"/>
              </w:rPr>
            </w:pPr>
            <w:r>
              <w:rPr>
                <w:rFonts w:ascii="Times New Roman" w:cs="Times New Roman" w:eastAsia="Times New Roman" w:hAnsi="Times New Roman"/>
                <w:sz w:val="14"/>
                <w:szCs w:val="14"/>
                <w:b w:val="1"/>
                <w:bCs w:val="1"/>
                <w:color w:val="auto"/>
                <w:w w:val="95"/>
              </w:rPr>
              <w:t>Form</w:t>
            </w:r>
          </w:p>
        </w:tc>
        <w:tc>
          <w:tcPr>
            <w:tcW w:w="520" w:type="dxa"/>
            <w:vAlign w:val="bottom"/>
          </w:tcPr>
          <w:p>
            <w:pPr>
              <w:spacing w:after="0"/>
              <w:rPr>
                <w:sz w:val="12"/>
                <w:szCs w:val="12"/>
                <w:color w:val="auto"/>
              </w:rPr>
            </w:pPr>
          </w:p>
        </w:tc>
        <w:tc>
          <w:tcPr>
            <w:tcW w:w="92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File No.</w:t>
            </w:r>
          </w:p>
        </w:tc>
        <w:tc>
          <w:tcPr>
            <w:tcW w:w="420" w:type="dxa"/>
            <w:vAlign w:val="bottom"/>
          </w:tcPr>
          <w:p>
            <w:pPr>
              <w:spacing w:after="0"/>
              <w:rPr>
                <w:sz w:val="12"/>
                <w:szCs w:val="12"/>
                <w:color w:val="auto"/>
              </w:rPr>
            </w:pPr>
          </w:p>
        </w:tc>
        <w:tc>
          <w:tcPr>
            <w:tcW w:w="118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4"/>
                <w:szCs w:val="14"/>
                <w:b w:val="1"/>
                <w:bCs w:val="1"/>
                <w:color w:val="auto"/>
              </w:rPr>
              <w:t>Date of Filing</w:t>
            </w:r>
          </w:p>
        </w:tc>
        <w:tc>
          <w:tcPr>
            <w:tcW w:w="920" w:type="dxa"/>
            <w:vAlign w:val="bottom"/>
            <w:gridSpan w:val="3"/>
          </w:tcPr>
          <w:p>
            <w:pPr>
              <w:ind w:left="180"/>
              <w:spacing w:after="0" w:line="138" w:lineRule="exact"/>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2.1</w:t>
            </w:r>
          </w:p>
        </w:tc>
        <w:tc>
          <w:tcPr>
            <w:tcW w:w="380" w:type="dxa"/>
            <w:vAlign w:val="bottom"/>
            <w:shd w:val="clear" w:color="auto" w:fill="CCEEFF"/>
          </w:tcPr>
          <w:p>
            <w:pPr>
              <w:spacing w:after="0"/>
              <w:rPr>
                <w:sz w:val="16"/>
                <w:szCs w:val="16"/>
                <w:color w:val="auto"/>
              </w:rPr>
            </w:pPr>
          </w:p>
        </w:tc>
        <w:tc>
          <w:tcPr>
            <w:tcW w:w="5060" w:type="dxa"/>
            <w:vAlign w:val="bottom"/>
            <w:gridSpan w:val="22"/>
            <w:shd w:val="clear" w:color="auto" w:fill="CCEEFF"/>
          </w:tcPr>
          <w:p>
            <w:pPr>
              <w:spacing w:after="0" w:line="184"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Agreement and Plan of Merger by and between American Tower</w:t>
              </w:r>
            </w:hyperlink>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540" w:type="dxa"/>
            <w:vAlign w:val="bottom"/>
            <w:tcBorders>
              <w:top w:val="single" w:sz="8" w:color="0000FF"/>
              <w:bottom w:val="single" w:sz="8" w:color="0000FF"/>
            </w:tcBorders>
            <w:gridSpan w:val="16"/>
            <w:shd w:val="clear" w:color="auto" w:fill="CCEEFF"/>
          </w:tcPr>
          <w:p>
            <w:pPr>
              <w:spacing w:after="0" w:line="152"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Corporation and American Tower REIT, Inc., dated as of August</w:t>
              </w:r>
            </w:hyperlink>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gridSpan w:val="2"/>
            <w:vMerge w:val="restart"/>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Borders>
              <w:top w:val="single" w:sz="8" w:color="CCEEFF"/>
              <w:bottom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600" w:type="dxa"/>
            <w:vAlign w:val="bottom"/>
            <w:tcBorders>
              <w:top w:val="single" w:sz="8" w:color="CCEEFF"/>
              <w:bottom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August 25, 2011</w:t>
            </w:r>
          </w:p>
        </w:tc>
        <w:tc>
          <w:tcPr>
            <w:tcW w:w="880" w:type="dxa"/>
            <w:vAlign w:val="bottom"/>
            <w:tcBorders>
              <w:top w:val="single" w:sz="8" w:color="CCEEFF"/>
              <w:bottom w:val="single" w:sz="8" w:color="CCEEFF"/>
            </w:tcBorders>
            <w:gridSpan w:val="2"/>
            <w:vMerge w:val="restart"/>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97"/>
              </w:rPr>
              <w:t>2.1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spacing w:after="0" w:line="164"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24, 2011</w:t>
              </w:r>
            </w:hyperlink>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40" w:type="dxa"/>
            <w:vAlign w:val="bottom"/>
            <w:gridSpan w:val="3"/>
            <w:vMerge w:val="continue"/>
            <w:shd w:val="clear" w:color="auto" w:fill="CCEEFF"/>
          </w:tcPr>
          <w:p>
            <w:pPr>
              <w:spacing w:after="0"/>
              <w:rPr>
                <w:sz w:val="14"/>
                <w:szCs w:val="14"/>
                <w:color w:val="auto"/>
              </w:rPr>
            </w:pPr>
          </w:p>
        </w:tc>
        <w:tc>
          <w:tcPr>
            <w:tcW w:w="1600" w:type="dxa"/>
            <w:vAlign w:val="bottom"/>
            <w:gridSpan w:val="3"/>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4"/>
                <w:szCs w:val="24"/>
                <w:color w:val="auto"/>
              </w:rPr>
            </w:pPr>
          </w:p>
        </w:tc>
        <w:tc>
          <w:tcPr>
            <w:tcW w:w="5060" w:type="dxa"/>
            <w:vAlign w:val="bottom"/>
            <w:gridSpan w:val="22"/>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Restated Certificate of Incorporation of the Company as filed with</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6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the Secretary of State of the State of Delaware, effective as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January 3, 2012</w:t>
            </w:r>
          </w:p>
        </w:tc>
        <w:tc>
          <w:tcPr>
            <w:tcW w:w="880" w:type="dxa"/>
            <w:vAlign w:val="bottom"/>
            <w:gridSpan w:val="2"/>
            <w:vMerge w:val="restart"/>
          </w:tcPr>
          <w:p>
            <w:pPr>
              <w:jc w:val="center"/>
              <w:ind w:left="94"/>
              <w:spacing w:after="0"/>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40" w:type="dxa"/>
            <w:vAlign w:val="bottom"/>
            <w:tcBorders>
              <w:top w:val="single" w:sz="8" w:color="0000FF"/>
            </w:tcBorders>
            <w:gridSpan w:val="12"/>
          </w:tcPr>
          <w:p>
            <w:pPr>
              <w:spacing w:after="0" w:line="164"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December 31, 2011</w:t>
              </w:r>
            </w:hyperlink>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52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70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380" w:type="dxa"/>
            <w:vAlign w:val="bottom"/>
            <w:tcBorders>
              <w:bottom w:val="single" w:sz="8" w:color="CCEEFF"/>
            </w:tcBorders>
            <w:shd w:val="clear" w:color="auto" w:fill="CCEEFF"/>
          </w:tcPr>
          <w:p>
            <w:pPr>
              <w:spacing w:after="0"/>
              <w:rPr>
                <w:sz w:val="17"/>
                <w:szCs w:val="17"/>
                <w:color w:val="auto"/>
              </w:rPr>
            </w:pPr>
          </w:p>
        </w:tc>
        <w:tc>
          <w:tcPr>
            <w:tcW w:w="3980" w:type="dxa"/>
            <w:vAlign w:val="bottom"/>
            <w:tcBorders>
              <w:bottom w:val="single" w:sz="8" w:color="0000FF"/>
            </w:tcBorders>
            <w:gridSpan w:val="9"/>
            <w:shd w:val="clear" w:color="auto" w:fill="CCEEFF"/>
          </w:tcPr>
          <w:p>
            <w:pPr>
              <w:spacing w:after="0" w:line="184" w:lineRule="exact"/>
              <w:rPr>
                <w:rFonts w:ascii="Times New Roman" w:cs="Times New Roman" w:eastAsia="Times New Roman" w:hAnsi="Times New Roman"/>
                <w:sz w:val="18"/>
                <w:szCs w:val="18"/>
                <w:color w:val="0000FF"/>
                <w:w w:val="96"/>
              </w:rPr>
            </w:pPr>
            <w:hyperlink r:id="rId85">
              <w:r>
                <w:rPr>
                  <w:rFonts w:ascii="Times New Roman" w:cs="Times New Roman" w:eastAsia="Times New Roman" w:hAnsi="Times New Roman"/>
                  <w:sz w:val="18"/>
                  <w:szCs w:val="18"/>
                  <w:color w:val="0000FF"/>
                  <w:w w:val="96"/>
                </w:rPr>
                <w:t>Certificate of Merger, effective as of December 31, 2011</w:t>
              </w:r>
            </w:hyperlink>
          </w:p>
        </w:tc>
        <w:tc>
          <w:tcPr>
            <w:tcW w:w="1080" w:type="dxa"/>
            <w:vAlign w:val="bottom"/>
            <w:tcBorders>
              <w:bottom w:val="single" w:sz="8" w:color="CCEEFF"/>
            </w:tcBorders>
            <w:gridSpan w:val="13"/>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center"/>
              <w:ind w:right="4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Borders>
              <w:bottom w:val="single" w:sz="8" w:color="CCEEFF"/>
            </w:tcBorders>
            <w:gridSpan w:val="3"/>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001-14195</w:t>
            </w:r>
          </w:p>
        </w:tc>
        <w:tc>
          <w:tcPr>
            <w:tcW w:w="1600" w:type="dxa"/>
            <w:vAlign w:val="bottom"/>
            <w:tcBorders>
              <w:bottom w:val="single" w:sz="8" w:color="CCEEFF"/>
            </w:tcBorders>
            <w:gridSpan w:val="3"/>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January 3, 2012</w:t>
            </w:r>
          </w:p>
        </w:tc>
        <w:tc>
          <w:tcPr>
            <w:tcW w:w="880" w:type="dxa"/>
            <w:vAlign w:val="bottom"/>
            <w:tcBorders>
              <w:bottom w:val="single" w:sz="8" w:color="CCEEFF"/>
            </w:tcBorders>
            <w:gridSpan w:val="2"/>
            <w:shd w:val="clear" w:color="auto" w:fill="CCEEFF"/>
          </w:tcPr>
          <w:p>
            <w:pPr>
              <w:jc w:val="center"/>
              <w:ind w:left="94"/>
              <w:spacing w:after="0" w:line="184" w:lineRule="exact"/>
              <w:rPr>
                <w:sz w:val="20"/>
                <w:szCs w:val="20"/>
                <w:color w:val="auto"/>
              </w:rPr>
            </w:pPr>
            <w:r>
              <w:rPr>
                <w:rFonts w:ascii="Times New Roman" w:cs="Times New Roman" w:eastAsia="Times New Roman" w:hAnsi="Times New Roman"/>
                <w:sz w:val="18"/>
                <w:szCs w:val="18"/>
                <w:color w:val="auto"/>
                <w:w w:val="97"/>
              </w:rPr>
              <w:t>3.2</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24"/>
                <w:szCs w:val="24"/>
                <w:color w:val="auto"/>
              </w:rPr>
            </w:pPr>
          </w:p>
        </w:tc>
        <w:tc>
          <w:tcPr>
            <w:tcW w:w="5060" w:type="dxa"/>
            <w:vAlign w:val="bottom"/>
            <w:gridSpan w:val="22"/>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Amended and Restated By-Laws of the Company, effective as of</w:t>
              </w:r>
            </w:hyperlink>
          </w:p>
        </w:tc>
        <w:tc>
          <w:tcPr>
            <w:tcW w:w="340" w:type="dxa"/>
            <w:vAlign w:val="bottom"/>
          </w:tcPr>
          <w:p>
            <w:pPr>
              <w:spacing w:after="0"/>
              <w:rPr>
                <w:sz w:val="24"/>
                <w:szCs w:val="24"/>
                <w:color w:val="auto"/>
              </w:rPr>
            </w:pPr>
          </w:p>
        </w:tc>
        <w:tc>
          <w:tcPr>
            <w:tcW w:w="8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January 7, 2025</w:t>
            </w:r>
          </w:p>
        </w:tc>
        <w:tc>
          <w:tcPr>
            <w:tcW w:w="880" w:type="dxa"/>
            <w:vAlign w:val="bottom"/>
            <w:gridSpan w:val="2"/>
            <w:vMerge w:val="restart"/>
          </w:tcPr>
          <w:p>
            <w:pPr>
              <w:jc w:val="center"/>
              <w:ind w:left="94"/>
              <w:spacing w:after="0"/>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60" w:type="dxa"/>
            <w:vAlign w:val="bottom"/>
            <w:tcBorders>
              <w:top w:val="single" w:sz="8" w:color="0000FF"/>
            </w:tcBorders>
            <w:gridSpan w:val="17"/>
          </w:tcPr>
          <w:p>
            <w:pPr>
              <w:spacing w:after="0" w:line="138"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January 3, 2025</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3.4</w:t>
            </w:r>
          </w:p>
        </w:tc>
        <w:tc>
          <w:tcPr>
            <w:tcW w:w="380" w:type="dxa"/>
            <w:vAlign w:val="bottom"/>
            <w:shd w:val="clear" w:color="auto" w:fill="CCEEFF"/>
          </w:tcPr>
          <w:p>
            <w:pPr>
              <w:spacing w:after="0"/>
              <w:rPr>
                <w:sz w:val="16"/>
                <w:szCs w:val="16"/>
                <w:color w:val="auto"/>
              </w:rPr>
            </w:pPr>
          </w:p>
        </w:tc>
        <w:tc>
          <w:tcPr>
            <w:tcW w:w="5060" w:type="dxa"/>
            <w:vAlign w:val="bottom"/>
            <w:gridSpan w:val="22"/>
            <w:shd w:val="clear" w:color="auto" w:fill="CCEEFF"/>
          </w:tcPr>
          <w:p>
            <w:pPr>
              <w:spacing w:after="0" w:line="184"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Certificate of Designations of the 5.25% Mandatory Convertible</w:t>
              </w:r>
            </w:hyperlink>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520" w:type="dxa"/>
            <w:vAlign w:val="bottom"/>
            <w:tcBorders>
              <w:top w:val="single" w:sz="8" w:color="0000FF"/>
            </w:tcBorders>
            <w:gridSpan w:val="15"/>
            <w:shd w:val="clear" w:color="auto" w:fill="CCEEFF"/>
          </w:tcPr>
          <w:p>
            <w:pPr>
              <w:spacing w:after="0" w:line="15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Preferred Stock, Series A, of the Company as filed with the</w:t>
              </w:r>
            </w:hyperlink>
          </w:p>
        </w:tc>
        <w:tc>
          <w:tcPr>
            <w:tcW w:w="16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4180" w:type="dxa"/>
            <w:vAlign w:val="bottom"/>
            <w:tcBorders>
              <w:top w:val="single" w:sz="8" w:color="0000FF"/>
            </w:tcBorders>
            <w:gridSpan w:val="11"/>
            <w:shd w:val="clear" w:color="auto" w:fill="CCEEFF"/>
          </w:tcPr>
          <w:p>
            <w:pPr>
              <w:spacing w:after="0" w:line="164"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Secretary of State of the State of Delaware, effective as of</w:t>
              </w:r>
            </w:hyperlink>
          </w:p>
        </w:tc>
        <w:tc>
          <w:tcPr>
            <w:tcW w:w="880" w:type="dxa"/>
            <w:vAlign w:val="bottom"/>
            <w:tcBorders>
              <w:top w:val="single" w:sz="8" w:color="CCEEFF"/>
            </w:tcBorders>
            <w:gridSpan w:val="11"/>
            <w:shd w:val="clear" w:color="auto" w:fill="CCEEFF"/>
          </w:tcPr>
          <w:p>
            <w:pPr>
              <w:spacing w:after="0" w:line="164"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May 12,</w:t>
              </w:r>
            </w:hyperlink>
          </w:p>
        </w:tc>
        <w:tc>
          <w:tcPr>
            <w:tcW w:w="3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gridSpan w:val="2"/>
            <w:vMerge w:val="restart"/>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Borders>
              <w:top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600" w:type="dxa"/>
            <w:vAlign w:val="bottom"/>
            <w:tcBorders>
              <w:top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12, 2014</w:t>
            </w:r>
          </w:p>
        </w:tc>
        <w:tc>
          <w:tcPr>
            <w:tcW w:w="880" w:type="dxa"/>
            <w:vAlign w:val="bottom"/>
            <w:tcBorders>
              <w:top w:val="single" w:sz="8" w:color="CCEEFF"/>
            </w:tcBorders>
            <w:gridSpan w:val="2"/>
            <w:vMerge w:val="restart"/>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0000FF"/>
            </w:tcBorders>
            <w:gridSpan w:val="2"/>
            <w:shd w:val="clear" w:color="auto" w:fill="CCEEFF"/>
          </w:tcPr>
          <w:p>
            <w:pPr>
              <w:spacing w:after="0" w:line="15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2014</w:t>
              </w:r>
            </w:hyperlink>
          </w:p>
        </w:tc>
        <w:tc>
          <w:tcPr>
            <w:tcW w:w="52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50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6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gridSpan w:val="2"/>
            <w:vMerge w:val="continue"/>
            <w:shd w:val="clear" w:color="auto" w:fill="CCEEFF"/>
          </w:tcPr>
          <w:p>
            <w:pPr>
              <w:spacing w:after="0"/>
              <w:rPr>
                <w:sz w:val="13"/>
                <w:szCs w:val="13"/>
                <w:color w:val="auto"/>
              </w:rPr>
            </w:pPr>
          </w:p>
        </w:tc>
        <w:tc>
          <w:tcPr>
            <w:tcW w:w="1440" w:type="dxa"/>
            <w:vAlign w:val="bottom"/>
            <w:tcBorders>
              <w:top w:val="single" w:sz="8" w:color="CCEEFF"/>
            </w:tcBorders>
            <w:gridSpan w:val="3"/>
            <w:vMerge w:val="continue"/>
            <w:shd w:val="clear" w:color="auto" w:fill="CCEEFF"/>
          </w:tcPr>
          <w:p>
            <w:pPr>
              <w:spacing w:after="0"/>
              <w:rPr>
                <w:sz w:val="13"/>
                <w:szCs w:val="13"/>
                <w:color w:val="auto"/>
              </w:rPr>
            </w:pPr>
          </w:p>
        </w:tc>
        <w:tc>
          <w:tcPr>
            <w:tcW w:w="1600" w:type="dxa"/>
            <w:vAlign w:val="bottom"/>
            <w:tcBorders>
              <w:top w:val="single" w:sz="8" w:color="CCEEFF"/>
            </w:tcBorders>
            <w:gridSpan w:val="3"/>
            <w:vMerge w:val="continue"/>
            <w:shd w:val="clear" w:color="auto" w:fill="CCEEFF"/>
          </w:tcPr>
          <w:p>
            <w:pPr>
              <w:spacing w:after="0"/>
              <w:rPr>
                <w:sz w:val="13"/>
                <w:szCs w:val="13"/>
                <w:color w:val="auto"/>
              </w:rPr>
            </w:pPr>
          </w:p>
        </w:tc>
        <w:tc>
          <w:tcPr>
            <w:tcW w:w="880" w:type="dxa"/>
            <w:vAlign w:val="bottom"/>
            <w:tcBorders>
              <w:top w:val="single" w:sz="8" w:color="CCEEFF"/>
            </w:tcBorders>
            <w:gridSpan w:val="2"/>
            <w:vMerge w:val="continue"/>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24"/>
                <w:szCs w:val="24"/>
                <w:color w:val="auto"/>
              </w:rPr>
            </w:pPr>
          </w:p>
        </w:tc>
        <w:tc>
          <w:tcPr>
            <w:tcW w:w="5060" w:type="dxa"/>
            <w:vAlign w:val="bottom"/>
            <w:gridSpan w:val="22"/>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Certificate of Designations of the 5.50% Mandatory Convertible</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2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Preferred Stock, Series B, of the Company as filed with the</w:t>
              </w:r>
            </w:hyperlink>
          </w:p>
        </w:tc>
        <w:tc>
          <w:tcPr>
            <w:tcW w:w="16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160" w:type="dxa"/>
            <w:vAlign w:val="bottom"/>
            <w:tcBorders>
              <w:top w:val="single" w:sz="8" w:color="0000FF"/>
            </w:tcBorders>
            <w:gridSpan w:val="10"/>
          </w:tcPr>
          <w:p>
            <w:pPr>
              <w:spacing w:after="0" w:line="164" w:lineRule="exact"/>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Secretary of State of the State of Delaware, effective as of</w:t>
              </w:r>
            </w:hyperlink>
          </w:p>
        </w:tc>
        <w:tc>
          <w:tcPr>
            <w:tcW w:w="900" w:type="dxa"/>
            <w:vAlign w:val="bottom"/>
            <w:gridSpan w:val="12"/>
          </w:tcPr>
          <w:p>
            <w:pPr>
              <w:spacing w:after="0" w:line="164"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March 3,</w:t>
              </w:r>
            </w:hyperlink>
          </w:p>
        </w:tc>
        <w:tc>
          <w:tcPr>
            <w:tcW w:w="340" w:type="dxa"/>
            <w:vAlign w:val="bottom"/>
          </w:tcPr>
          <w:p>
            <w:pPr>
              <w:spacing w:after="0"/>
              <w:rPr>
                <w:sz w:val="14"/>
                <w:szCs w:val="14"/>
                <w:color w:val="auto"/>
              </w:rPr>
            </w:pPr>
          </w:p>
        </w:tc>
        <w:tc>
          <w:tcPr>
            <w:tcW w:w="8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March 3, 2015</w:t>
            </w:r>
          </w:p>
        </w:tc>
        <w:tc>
          <w:tcPr>
            <w:tcW w:w="880" w:type="dxa"/>
            <w:vAlign w:val="bottom"/>
            <w:gridSpan w:val="2"/>
            <w:vMerge w:val="restart"/>
          </w:tcPr>
          <w:p>
            <w:pPr>
              <w:jc w:val="center"/>
              <w:ind w:left="94"/>
              <w:spacing w:after="0"/>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Borders>
              <w:top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2015</w:t>
              </w:r>
            </w:hyperlink>
          </w:p>
        </w:tc>
        <w:tc>
          <w:tcPr>
            <w:tcW w:w="5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Borders>
              <w:top w:val="single" w:sz="8" w:color="0000FF"/>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380" w:type="dxa"/>
            <w:vAlign w:val="bottom"/>
            <w:shd w:val="clear" w:color="auto" w:fill="CCEEFF"/>
          </w:tcPr>
          <w:p>
            <w:pPr>
              <w:spacing w:after="0"/>
              <w:rPr>
                <w:sz w:val="16"/>
                <w:szCs w:val="16"/>
                <w:color w:val="auto"/>
              </w:rPr>
            </w:pPr>
          </w:p>
        </w:tc>
        <w:tc>
          <w:tcPr>
            <w:tcW w:w="5060" w:type="dxa"/>
            <w:vAlign w:val="bottom"/>
            <w:gridSpan w:val="22"/>
            <w:shd w:val="clear" w:color="auto" w:fill="CCEEFF"/>
          </w:tcPr>
          <w:p>
            <w:pPr>
              <w:spacing w:after="0" w:line="184"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Indenture dated as of May 23, 2013, by and between the Company</w:t>
              </w:r>
            </w:hyperlink>
          </w:p>
        </w:tc>
        <w:tc>
          <w:tcPr>
            <w:tcW w:w="1140" w:type="dxa"/>
            <w:vAlign w:val="bottom"/>
            <w:gridSpan w:val="3"/>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S-3ASR</w:t>
            </w:r>
          </w:p>
        </w:tc>
        <w:tc>
          <w:tcPr>
            <w:tcW w:w="14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333-188812</w:t>
            </w:r>
          </w:p>
        </w:tc>
        <w:tc>
          <w:tcPr>
            <w:tcW w:w="160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23, 2013</w:t>
            </w:r>
          </w:p>
        </w:tc>
        <w:tc>
          <w:tcPr>
            <w:tcW w:w="880" w:type="dxa"/>
            <w:vAlign w:val="bottom"/>
            <w:gridSpan w:val="2"/>
            <w:vMerge w:val="restart"/>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95"/>
              </w:rPr>
              <w:t>4.12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0000FF"/>
            </w:tcBorders>
            <w:gridSpan w:val="19"/>
            <w:shd w:val="clear" w:color="auto" w:fill="CCEEFF"/>
          </w:tcPr>
          <w:p>
            <w:pPr>
              <w:spacing w:after="0" w:line="138"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and U.S. Bank National Association, as Trustee</w:t>
              </w:r>
            </w:hyperlink>
          </w:p>
        </w:tc>
        <w:tc>
          <w:tcPr>
            <w:tcW w:w="380" w:type="dxa"/>
            <w:vAlign w:val="bottom"/>
            <w:tcBorders>
              <w:top w:val="single" w:sz="8" w:color="CCEEFF"/>
            </w:tcBorders>
            <w:gridSpan w:val="3"/>
            <w:shd w:val="clear" w:color="auto" w:fill="CCEEFF"/>
          </w:tcPr>
          <w:p>
            <w:pPr>
              <w:spacing w:after="0"/>
              <w:rPr>
                <w:sz w:val="13"/>
                <w:szCs w:val="13"/>
                <w:color w:val="auto"/>
              </w:rPr>
            </w:pPr>
          </w:p>
        </w:tc>
        <w:tc>
          <w:tcPr>
            <w:tcW w:w="1140" w:type="dxa"/>
            <w:vAlign w:val="bottom"/>
            <w:tcBorders>
              <w:top w:val="single" w:sz="8" w:color="CCEEFF"/>
            </w:tcBorders>
            <w:gridSpan w:val="3"/>
            <w:vMerge w:val="continue"/>
            <w:shd w:val="clear" w:color="auto" w:fill="CCEEFF"/>
          </w:tcPr>
          <w:p>
            <w:pPr>
              <w:spacing w:after="0"/>
              <w:rPr>
                <w:sz w:val="13"/>
                <w:szCs w:val="13"/>
                <w:color w:val="auto"/>
              </w:rPr>
            </w:pPr>
          </w:p>
        </w:tc>
        <w:tc>
          <w:tcPr>
            <w:tcW w:w="1440" w:type="dxa"/>
            <w:vAlign w:val="bottom"/>
            <w:tcBorders>
              <w:top w:val="single" w:sz="8" w:color="CCEEFF"/>
            </w:tcBorders>
            <w:gridSpan w:val="3"/>
            <w:vMerge w:val="continue"/>
            <w:shd w:val="clear" w:color="auto" w:fill="CCEEFF"/>
          </w:tcPr>
          <w:p>
            <w:pPr>
              <w:spacing w:after="0"/>
              <w:rPr>
                <w:sz w:val="13"/>
                <w:szCs w:val="13"/>
                <w:color w:val="auto"/>
              </w:rPr>
            </w:pPr>
          </w:p>
        </w:tc>
        <w:tc>
          <w:tcPr>
            <w:tcW w:w="1600" w:type="dxa"/>
            <w:vAlign w:val="bottom"/>
            <w:tcBorders>
              <w:top w:val="single" w:sz="8" w:color="CCEEFF"/>
            </w:tcBorders>
            <w:gridSpan w:val="3"/>
            <w:vMerge w:val="continue"/>
            <w:shd w:val="clear" w:color="auto" w:fill="CCEEFF"/>
          </w:tcPr>
          <w:p>
            <w:pPr>
              <w:spacing w:after="0"/>
              <w:rPr>
                <w:sz w:val="13"/>
                <w:szCs w:val="13"/>
                <w:color w:val="auto"/>
              </w:rPr>
            </w:pPr>
          </w:p>
        </w:tc>
        <w:tc>
          <w:tcPr>
            <w:tcW w:w="880" w:type="dxa"/>
            <w:vAlign w:val="bottom"/>
            <w:tcBorders>
              <w:top w:val="single" w:sz="8" w:color="CCEEFF"/>
            </w:tcBorders>
            <w:gridSpan w:val="2"/>
            <w:vMerge w:val="continue"/>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4"/>
                <w:szCs w:val="24"/>
                <w:color w:val="auto"/>
              </w:rPr>
            </w:pPr>
          </w:p>
        </w:tc>
        <w:tc>
          <w:tcPr>
            <w:tcW w:w="44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7"/>
              </w:rPr>
            </w:pPr>
            <w:hyperlink r:id="rId90">
              <w:r>
                <w:rPr>
                  <w:rFonts w:ascii="Times New Roman" w:cs="Times New Roman" w:eastAsia="Times New Roman" w:hAnsi="Times New Roman"/>
                  <w:sz w:val="18"/>
                  <w:szCs w:val="18"/>
                  <w:color w:val="0000FF"/>
                  <w:w w:val="97"/>
                </w:rPr>
                <w:t>Supplemental Indenture No. 4, dated as of January 12, 2016, to</w:t>
              </w:r>
            </w:hyperlink>
          </w:p>
        </w:tc>
        <w:tc>
          <w:tcPr>
            <w:tcW w:w="620" w:type="dxa"/>
            <w:vAlign w:val="bottom"/>
            <w:gridSpan w:val="9"/>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60" w:type="dxa"/>
            <w:vAlign w:val="bottom"/>
            <w:gridSpan w:val="22"/>
          </w:tcPr>
          <w:p>
            <w:pPr>
              <w:spacing w:after="0" w:line="15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Indenture dated as of May 23, 2013, by and between the Company</w:t>
              </w:r>
            </w:hyperlink>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80" w:type="dxa"/>
            <w:vAlign w:val="bottom"/>
            <w:tcBorders>
              <w:top w:val="single" w:sz="8" w:color="0000FF"/>
            </w:tcBorders>
            <w:gridSpan w:val="19"/>
          </w:tcPr>
          <w:p>
            <w:pPr>
              <w:spacing w:after="0" w:line="164"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and U.S. Bank National Association, as Trustee, for the 4.400%</w:t>
              </w:r>
            </w:hyperlink>
          </w:p>
        </w:tc>
        <w:tc>
          <w:tcPr>
            <w:tcW w:w="38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Senior Notes due 2026</w:t>
              </w:r>
            </w:hyperlink>
          </w:p>
        </w:tc>
        <w:tc>
          <w:tcPr>
            <w:tcW w:w="580" w:type="dxa"/>
            <w:vAlign w:val="bottom"/>
            <w:gridSpan w:val="8"/>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January 12,</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24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auto"/>
                <w:w w:val="94"/>
              </w:rPr>
              <w:t>2016</w:t>
            </w:r>
          </w:p>
        </w:tc>
        <w:tc>
          <w:tcPr>
            <w:tcW w:w="360" w:type="dxa"/>
            <w:vAlign w:val="bottom"/>
          </w:tcPr>
          <w:p>
            <w:pPr>
              <w:spacing w:after="0"/>
              <w:rPr>
                <w:sz w:val="20"/>
                <w:szCs w:val="20"/>
                <w:color w:val="auto"/>
              </w:rPr>
            </w:pPr>
          </w:p>
        </w:tc>
        <w:tc>
          <w:tcPr>
            <w:tcW w:w="8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620" w:type="dxa"/>
            <w:vAlign w:val="bottom"/>
          </w:tcPr>
          <w:p>
            <w:pPr>
              <w:spacing w:after="0"/>
              <w:rPr>
                <w:sz w:val="2"/>
                <w:szCs w:val="2"/>
                <w:color w:val="auto"/>
              </w:rPr>
            </w:pPr>
          </w:p>
        </w:tc>
        <w:tc>
          <w:tcPr>
            <w:tcW w:w="344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8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3440" w:type="dxa"/>
            <w:vAlign w:val="bottom"/>
            <w:gridSpan w:val="22"/>
            <w:vMerge w:val="continue"/>
          </w:tcPr>
          <w:p>
            <w:pPr>
              <w:spacing w:after="0"/>
              <w:rPr>
                <w:sz w:val="12"/>
                <w:szCs w:val="12"/>
                <w:color w:val="auto"/>
              </w:rPr>
            </w:pPr>
          </w:p>
        </w:tc>
        <w:tc>
          <w:tcPr>
            <w:tcW w:w="1120" w:type="dxa"/>
            <w:vAlign w:val="bottom"/>
            <w:gridSpan w:val="3"/>
          </w:tcPr>
          <w:p>
            <w:pPr>
              <w:jc w:val="center"/>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Form</w:t>
            </w:r>
          </w:p>
        </w:tc>
        <w:tc>
          <w:tcPr>
            <w:tcW w:w="520" w:type="dxa"/>
            <w:vAlign w:val="bottom"/>
          </w:tcPr>
          <w:p>
            <w:pPr>
              <w:spacing w:after="0"/>
              <w:rPr>
                <w:sz w:val="12"/>
                <w:szCs w:val="12"/>
                <w:color w:val="auto"/>
              </w:rPr>
            </w:pPr>
          </w:p>
        </w:tc>
        <w:tc>
          <w:tcPr>
            <w:tcW w:w="94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File No.</w:t>
            </w:r>
          </w:p>
        </w:tc>
        <w:tc>
          <w:tcPr>
            <w:tcW w:w="420" w:type="dxa"/>
            <w:vAlign w:val="bottom"/>
          </w:tcPr>
          <w:p>
            <w:pPr>
              <w:spacing w:after="0"/>
              <w:rPr>
                <w:sz w:val="12"/>
                <w:szCs w:val="12"/>
                <w:color w:val="auto"/>
              </w:rPr>
            </w:pPr>
          </w:p>
        </w:tc>
        <w:tc>
          <w:tcPr>
            <w:tcW w:w="116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Date of Filing</w:t>
            </w:r>
          </w:p>
        </w:tc>
        <w:tc>
          <w:tcPr>
            <w:tcW w:w="940" w:type="dxa"/>
            <w:vAlign w:val="bottom"/>
            <w:gridSpan w:val="3"/>
          </w:tcPr>
          <w:p>
            <w:pPr>
              <w:ind w:left="200"/>
              <w:spacing w:after="0" w:line="138" w:lineRule="exact"/>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4.3</w:t>
            </w:r>
          </w:p>
        </w:tc>
        <w:tc>
          <w:tcPr>
            <w:tcW w:w="38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0000FF"/>
            </w:tcBorders>
            <w:gridSpan w:val="7"/>
            <w:shd w:val="clear" w:color="auto" w:fill="CCEEFF"/>
          </w:tcPr>
          <w:p>
            <w:pPr>
              <w:spacing w:after="0" w:line="184" w:lineRule="exact"/>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Supplemental Indenture No. 5, dated as of May 13, 2016, to</w:t>
              </w:r>
            </w:hyperlink>
          </w:p>
        </w:tc>
        <w:tc>
          <w:tcPr>
            <w:tcW w:w="840" w:type="dxa"/>
            <w:vAlign w:val="bottom"/>
            <w:tcBorders>
              <w:bottom w:val="single" w:sz="8" w:color="CCEEFF"/>
            </w:tcBorders>
            <w:gridSpan w:val="16"/>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60" w:type="dxa"/>
            <w:vAlign w:val="bottom"/>
            <w:gridSpan w:val="23"/>
            <w:shd w:val="clear" w:color="auto" w:fill="CCEEFF"/>
          </w:tcPr>
          <w:p>
            <w:pPr>
              <w:spacing w:after="0" w:line="15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Indenture dated as of May 23, 2013, by and between the Company</w:t>
              </w:r>
            </w:hyperlink>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0000FF"/>
            </w:tcBorders>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and U.S. Bank National Association, as Trustee, for the 3.375%</w:t>
              </w:r>
            </w:hyperlink>
          </w:p>
        </w:tc>
        <w:tc>
          <w:tcPr>
            <w:tcW w:w="3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gridSpan w:val="2"/>
            <w:vMerge w:val="restart"/>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2"/>
              </w:rPr>
              <w:t>8-K</w:t>
            </w:r>
          </w:p>
        </w:tc>
        <w:tc>
          <w:tcPr>
            <w:tcW w:w="1460" w:type="dxa"/>
            <w:vAlign w:val="bottom"/>
            <w:tcBorders>
              <w:top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580" w:type="dxa"/>
            <w:vAlign w:val="bottom"/>
            <w:tcBorders>
              <w:top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13, 2016</w:t>
            </w:r>
          </w:p>
        </w:tc>
        <w:tc>
          <w:tcPr>
            <w:tcW w:w="900" w:type="dxa"/>
            <w:vAlign w:val="bottom"/>
            <w:tcBorders>
              <w:top w:val="single" w:sz="8" w:color="CCEEFF"/>
            </w:tcBorders>
            <w:gridSpan w:val="2"/>
            <w:vMerge w:val="restart"/>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4480" w:type="dxa"/>
            <w:vAlign w:val="bottom"/>
            <w:tcBorders>
              <w:top w:val="single" w:sz="8" w:color="0000FF"/>
            </w:tcBorders>
            <w:gridSpan w:val="17"/>
            <w:shd w:val="clear" w:color="auto" w:fill="CCEEFF"/>
          </w:tcPr>
          <w:p>
            <w:pPr>
              <w:spacing w:after="0" w:line="164"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Senior Notes due 2026</w:t>
              </w:r>
            </w:hyperlink>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gridSpan w:val="2"/>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gridSpan w:val="2"/>
            <w:vMerge w:val="continue"/>
            <w:shd w:val="clear" w:color="auto" w:fill="CCEEFF"/>
          </w:tcPr>
          <w:p>
            <w:pPr>
              <w:spacing w:after="0"/>
              <w:rPr>
                <w:sz w:val="14"/>
                <w:szCs w:val="14"/>
                <w:color w:val="auto"/>
              </w:rPr>
            </w:pPr>
          </w:p>
        </w:tc>
        <w:tc>
          <w:tcPr>
            <w:tcW w:w="1460" w:type="dxa"/>
            <w:vAlign w:val="bottom"/>
            <w:tcBorders>
              <w:top w:val="single" w:sz="8" w:color="CCEEFF"/>
            </w:tcBorders>
            <w:gridSpan w:val="3"/>
            <w:vMerge w:val="continue"/>
            <w:shd w:val="clear" w:color="auto" w:fill="CCEEFF"/>
          </w:tcPr>
          <w:p>
            <w:pPr>
              <w:spacing w:after="0"/>
              <w:rPr>
                <w:sz w:val="14"/>
                <w:szCs w:val="14"/>
                <w:color w:val="auto"/>
              </w:rPr>
            </w:pPr>
          </w:p>
        </w:tc>
        <w:tc>
          <w:tcPr>
            <w:tcW w:w="1580" w:type="dxa"/>
            <w:vAlign w:val="bottom"/>
            <w:tcBorders>
              <w:top w:val="single" w:sz="8" w:color="CCEEFF"/>
            </w:tcBorders>
            <w:gridSpan w:val="3"/>
            <w:vMerge w:val="continue"/>
            <w:shd w:val="clear" w:color="auto" w:fill="CCEEFF"/>
          </w:tcPr>
          <w:p>
            <w:pPr>
              <w:spacing w:after="0"/>
              <w:rPr>
                <w:sz w:val="14"/>
                <w:szCs w:val="14"/>
                <w:color w:val="auto"/>
              </w:rPr>
            </w:pPr>
          </w:p>
        </w:tc>
        <w:tc>
          <w:tcPr>
            <w:tcW w:w="900" w:type="dxa"/>
            <w:vAlign w:val="bottom"/>
            <w:tcBorders>
              <w:top w:val="single" w:sz="8" w:color="CCEEFF"/>
            </w:tcBorders>
            <w:gridSpan w:val="2"/>
            <w:vMerge w:val="continue"/>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20" w:type="dxa"/>
            <w:vAlign w:val="bottom"/>
            <w:tcBorders>
              <w:right w:val="single" w:sz="8" w:color="CCEEFF"/>
            </w:tcBorders>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24"/>
                <w:szCs w:val="24"/>
                <w:color w:val="auto"/>
              </w:rPr>
            </w:pPr>
          </w:p>
        </w:tc>
        <w:tc>
          <w:tcPr>
            <w:tcW w:w="5060" w:type="dxa"/>
            <w:vAlign w:val="bottom"/>
            <w:gridSpan w:val="23"/>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Supplemental Indenture No. 6, dated as of September 30, 2016, to</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4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Indenture dated as of May 23, 2013, by and between the Company</w:t>
              </w:r>
            </w:hyperlink>
          </w:p>
        </w:tc>
        <w:tc>
          <w:tcPr>
            <w:tcW w:w="4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September 30,</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8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and U.S. Bank National Association, as Trustee, for the 3.125%</w:t>
              </w:r>
            </w:hyperlink>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Borders>
              <w:top w:val="single" w:sz="8" w:color="0000FF"/>
            </w:tcBorders>
            <w:gridSpan w:val="17"/>
          </w:tcPr>
          <w:p>
            <w:pPr>
              <w:spacing w:after="0" w:line="164"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Senior Notes due 2027</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3"/>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center"/>
              <w:ind w:right="460"/>
              <w:spacing w:after="0" w:line="164" w:lineRule="exact"/>
              <w:rPr>
                <w:sz w:val="20"/>
                <w:szCs w:val="20"/>
                <w:color w:val="auto"/>
              </w:rPr>
            </w:pPr>
            <w:r>
              <w:rPr>
                <w:rFonts w:ascii="Times New Roman" w:cs="Times New Roman" w:eastAsia="Times New Roman" w:hAnsi="Times New Roman"/>
                <w:sz w:val="18"/>
                <w:szCs w:val="18"/>
                <w:color w:val="auto"/>
                <w:w w:val="92"/>
              </w:rPr>
              <w:t>8-K</w:t>
            </w:r>
          </w:p>
        </w:tc>
        <w:tc>
          <w:tcPr>
            <w:tcW w:w="146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001-14195</w:t>
            </w:r>
          </w:p>
        </w:tc>
        <w:tc>
          <w:tcPr>
            <w:tcW w:w="1240" w:type="dxa"/>
            <w:vAlign w:val="bottom"/>
            <w:gridSpan w:val="2"/>
          </w:tcPr>
          <w:p>
            <w:pPr>
              <w:jc w:val="center"/>
              <w:ind w:left="312"/>
              <w:spacing w:after="0" w:line="164" w:lineRule="exact"/>
              <w:rPr>
                <w:sz w:val="20"/>
                <w:szCs w:val="20"/>
                <w:color w:val="auto"/>
              </w:rPr>
            </w:pPr>
            <w:r>
              <w:rPr>
                <w:rFonts w:ascii="Times New Roman" w:cs="Times New Roman" w:eastAsia="Times New Roman" w:hAnsi="Times New Roman"/>
                <w:sz w:val="18"/>
                <w:szCs w:val="18"/>
                <w:color w:val="auto"/>
                <w:w w:val="99"/>
              </w:rPr>
              <w:t>2016</w:t>
            </w:r>
          </w:p>
        </w:tc>
        <w:tc>
          <w:tcPr>
            <w:tcW w:w="340" w:type="dxa"/>
            <w:vAlign w:val="bottom"/>
          </w:tcPr>
          <w:p>
            <w:pPr>
              <w:spacing w:after="0"/>
              <w:rPr>
                <w:sz w:val="14"/>
                <w:szCs w:val="14"/>
                <w:color w:val="auto"/>
              </w:rPr>
            </w:pPr>
          </w:p>
        </w:tc>
        <w:tc>
          <w:tcPr>
            <w:tcW w:w="900" w:type="dxa"/>
            <w:vAlign w:val="bottom"/>
            <w:gridSpan w:val="2"/>
          </w:tcPr>
          <w:p>
            <w:pPr>
              <w:jc w:val="center"/>
              <w:ind w:left="114"/>
              <w:spacing w:after="0" w:line="164" w:lineRule="exact"/>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Borders>
              <w:top w:val="single" w:sz="8" w:color="0000FF"/>
            </w:tcBorders>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4.5</w:t>
            </w:r>
          </w:p>
        </w:tc>
        <w:tc>
          <w:tcPr>
            <w:tcW w:w="38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0000FF"/>
            </w:tcBorders>
            <w:gridSpan w:val="7"/>
            <w:shd w:val="clear" w:color="auto" w:fill="CCEEFF"/>
          </w:tcPr>
          <w:p>
            <w:pPr>
              <w:spacing w:after="0" w:line="184" w:lineRule="exact"/>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Supplemental Indenture No. 8, dated as of June 30, 2017, to</w:t>
              </w:r>
            </w:hyperlink>
          </w:p>
        </w:tc>
        <w:tc>
          <w:tcPr>
            <w:tcW w:w="840" w:type="dxa"/>
            <w:vAlign w:val="bottom"/>
            <w:tcBorders>
              <w:bottom w:val="single" w:sz="8" w:color="CCEEFF"/>
            </w:tcBorders>
            <w:gridSpan w:val="16"/>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60" w:type="dxa"/>
            <w:vAlign w:val="bottom"/>
            <w:gridSpan w:val="23"/>
            <w:shd w:val="clear" w:color="auto" w:fill="CCEEFF"/>
          </w:tcPr>
          <w:p>
            <w:pPr>
              <w:spacing w:after="0" w:line="152"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Indenture dated as of May 23, 2013, by and between the Company</w:t>
              </w:r>
            </w:hyperlink>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0000FF"/>
            </w:tcBorders>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and U.S. Bank National Association, as Trustee, for the 3.55%</w:t>
              </w:r>
            </w:hyperlink>
          </w:p>
        </w:tc>
        <w:tc>
          <w:tcPr>
            <w:tcW w:w="3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gridSpan w:val="2"/>
            <w:vMerge w:val="restart"/>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2"/>
              </w:rPr>
              <w:t>8-K</w:t>
            </w:r>
          </w:p>
        </w:tc>
        <w:tc>
          <w:tcPr>
            <w:tcW w:w="1460" w:type="dxa"/>
            <w:vAlign w:val="bottom"/>
            <w:tcBorders>
              <w:top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580" w:type="dxa"/>
            <w:vAlign w:val="bottom"/>
            <w:tcBorders>
              <w:top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June 30, 2017</w:t>
            </w:r>
          </w:p>
        </w:tc>
        <w:tc>
          <w:tcPr>
            <w:tcW w:w="900" w:type="dxa"/>
            <w:vAlign w:val="bottom"/>
            <w:tcBorders>
              <w:top w:val="single" w:sz="8" w:color="CCEEFF"/>
            </w:tcBorders>
            <w:gridSpan w:val="2"/>
            <w:vMerge w:val="restart"/>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4400" w:type="dxa"/>
            <w:vAlign w:val="bottom"/>
            <w:tcBorders>
              <w:top w:val="single" w:sz="8" w:color="0000FF"/>
            </w:tcBorders>
            <w:gridSpan w:val="13"/>
            <w:shd w:val="clear" w:color="auto" w:fill="CCEEFF"/>
          </w:tcPr>
          <w:p>
            <w:pPr>
              <w:spacing w:after="0" w:line="164"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Senior Notes due 2027</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gridSpan w:val="3"/>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gridSpan w:val="2"/>
            <w:vMerge w:val="continue"/>
            <w:shd w:val="clear" w:color="auto" w:fill="CCEEFF"/>
          </w:tcPr>
          <w:p>
            <w:pPr>
              <w:spacing w:after="0"/>
              <w:rPr>
                <w:sz w:val="14"/>
                <w:szCs w:val="14"/>
                <w:color w:val="auto"/>
              </w:rPr>
            </w:pPr>
          </w:p>
        </w:tc>
        <w:tc>
          <w:tcPr>
            <w:tcW w:w="1460" w:type="dxa"/>
            <w:vAlign w:val="bottom"/>
            <w:tcBorders>
              <w:top w:val="single" w:sz="8" w:color="CCEEFF"/>
            </w:tcBorders>
            <w:gridSpan w:val="3"/>
            <w:vMerge w:val="continue"/>
            <w:shd w:val="clear" w:color="auto" w:fill="CCEEFF"/>
          </w:tcPr>
          <w:p>
            <w:pPr>
              <w:spacing w:after="0"/>
              <w:rPr>
                <w:sz w:val="14"/>
                <w:szCs w:val="14"/>
                <w:color w:val="auto"/>
              </w:rPr>
            </w:pPr>
          </w:p>
        </w:tc>
        <w:tc>
          <w:tcPr>
            <w:tcW w:w="1580" w:type="dxa"/>
            <w:vAlign w:val="bottom"/>
            <w:tcBorders>
              <w:top w:val="single" w:sz="8" w:color="CCEEFF"/>
            </w:tcBorders>
            <w:gridSpan w:val="3"/>
            <w:vMerge w:val="continue"/>
            <w:shd w:val="clear" w:color="auto" w:fill="CCEEFF"/>
          </w:tcPr>
          <w:p>
            <w:pPr>
              <w:spacing w:after="0"/>
              <w:rPr>
                <w:sz w:val="14"/>
                <w:szCs w:val="14"/>
                <w:color w:val="auto"/>
              </w:rPr>
            </w:pPr>
          </w:p>
        </w:tc>
        <w:tc>
          <w:tcPr>
            <w:tcW w:w="900" w:type="dxa"/>
            <w:vAlign w:val="bottom"/>
            <w:tcBorders>
              <w:top w:val="single" w:sz="8" w:color="CCEEFF"/>
            </w:tcBorders>
            <w:gridSpan w:val="2"/>
            <w:vMerge w:val="continue"/>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20" w:type="dxa"/>
            <w:vAlign w:val="bottom"/>
            <w:tcBorders>
              <w:right w:val="single" w:sz="8" w:color="CCEEFF"/>
            </w:tcBorders>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spacing w:after="0"/>
              <w:rPr>
                <w:sz w:val="24"/>
                <w:szCs w:val="24"/>
                <w:color w:val="auto"/>
              </w:rPr>
            </w:pPr>
          </w:p>
        </w:tc>
        <w:tc>
          <w:tcPr>
            <w:tcW w:w="5060" w:type="dxa"/>
            <w:vAlign w:val="bottom"/>
            <w:gridSpan w:val="23"/>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Supplemental Indenture No. 9, dated as of December 8, 2017, to</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2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Indenture dated as of May 23, 2013, by and between the Company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December 8,</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8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and U.S. Bank National Association, as Trustee, for the 3.600%</w:t>
              </w:r>
            </w:hyperlink>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Borders>
              <w:top w:val="single" w:sz="8" w:color="0000FF"/>
            </w:tcBorders>
            <w:gridSpan w:val="17"/>
          </w:tcPr>
          <w:p>
            <w:pPr>
              <w:spacing w:after="0" w:line="164"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Senior Notes due 2028</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3"/>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center"/>
              <w:ind w:right="460"/>
              <w:spacing w:after="0" w:line="164" w:lineRule="exact"/>
              <w:rPr>
                <w:sz w:val="20"/>
                <w:szCs w:val="20"/>
                <w:color w:val="auto"/>
              </w:rPr>
            </w:pPr>
            <w:r>
              <w:rPr>
                <w:rFonts w:ascii="Times New Roman" w:cs="Times New Roman" w:eastAsia="Times New Roman" w:hAnsi="Times New Roman"/>
                <w:sz w:val="18"/>
                <w:szCs w:val="18"/>
                <w:color w:val="auto"/>
                <w:w w:val="92"/>
              </w:rPr>
              <w:t>8-K</w:t>
            </w:r>
          </w:p>
        </w:tc>
        <w:tc>
          <w:tcPr>
            <w:tcW w:w="146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001-14195</w:t>
            </w:r>
          </w:p>
        </w:tc>
        <w:tc>
          <w:tcPr>
            <w:tcW w:w="1240" w:type="dxa"/>
            <w:vAlign w:val="bottom"/>
            <w:gridSpan w:val="2"/>
          </w:tcPr>
          <w:p>
            <w:pPr>
              <w:jc w:val="center"/>
              <w:ind w:left="312"/>
              <w:spacing w:after="0" w:line="164" w:lineRule="exact"/>
              <w:rPr>
                <w:sz w:val="20"/>
                <w:szCs w:val="20"/>
                <w:color w:val="auto"/>
              </w:rPr>
            </w:pPr>
            <w:r>
              <w:rPr>
                <w:rFonts w:ascii="Times New Roman" w:cs="Times New Roman" w:eastAsia="Times New Roman" w:hAnsi="Times New Roman"/>
                <w:sz w:val="18"/>
                <w:szCs w:val="18"/>
                <w:color w:val="auto"/>
                <w:w w:val="99"/>
              </w:rPr>
              <w:t>2017</w:t>
            </w:r>
          </w:p>
        </w:tc>
        <w:tc>
          <w:tcPr>
            <w:tcW w:w="340" w:type="dxa"/>
            <w:vAlign w:val="bottom"/>
          </w:tcPr>
          <w:p>
            <w:pPr>
              <w:spacing w:after="0"/>
              <w:rPr>
                <w:sz w:val="14"/>
                <w:szCs w:val="14"/>
                <w:color w:val="auto"/>
              </w:rPr>
            </w:pPr>
          </w:p>
        </w:tc>
        <w:tc>
          <w:tcPr>
            <w:tcW w:w="900" w:type="dxa"/>
            <w:vAlign w:val="bottom"/>
            <w:gridSpan w:val="2"/>
          </w:tcPr>
          <w:p>
            <w:pPr>
              <w:jc w:val="center"/>
              <w:ind w:left="114"/>
              <w:spacing w:after="0" w:line="164" w:lineRule="exact"/>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Borders>
              <w:top w:val="single" w:sz="8" w:color="0000FF"/>
            </w:tcBorders>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4.7</w:t>
            </w:r>
          </w:p>
        </w:tc>
        <w:tc>
          <w:tcPr>
            <w:tcW w:w="380" w:type="dxa"/>
            <w:vAlign w:val="bottom"/>
            <w:tcBorders>
              <w:bottom w:val="single" w:sz="8" w:color="CCEEFF"/>
            </w:tcBorders>
            <w:shd w:val="clear" w:color="auto" w:fill="CCEEFF"/>
          </w:tcPr>
          <w:p>
            <w:pPr>
              <w:spacing w:after="0"/>
              <w:rPr>
                <w:sz w:val="16"/>
                <w:szCs w:val="16"/>
                <w:color w:val="auto"/>
              </w:rPr>
            </w:pPr>
          </w:p>
        </w:tc>
        <w:tc>
          <w:tcPr>
            <w:tcW w:w="4300" w:type="dxa"/>
            <w:vAlign w:val="bottom"/>
            <w:tcBorders>
              <w:bottom w:val="single" w:sz="8" w:color="0000FF"/>
            </w:tcBorders>
            <w:gridSpan w:val="9"/>
            <w:shd w:val="clear" w:color="auto" w:fill="CCEEFF"/>
          </w:tcPr>
          <w:p>
            <w:pPr>
              <w:spacing w:after="0" w:line="184" w:lineRule="exact"/>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Supplemental Indenture No. 10, dated as of May 22, 2018, to</w:t>
              </w:r>
            </w:hyperlink>
          </w:p>
        </w:tc>
        <w:tc>
          <w:tcPr>
            <w:tcW w:w="760" w:type="dxa"/>
            <w:vAlign w:val="bottom"/>
            <w:tcBorders>
              <w:bottom w:val="single" w:sz="8" w:color="CCEEFF"/>
            </w:tcBorders>
            <w:gridSpan w:val="14"/>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60" w:type="dxa"/>
            <w:vAlign w:val="bottom"/>
            <w:gridSpan w:val="23"/>
            <w:shd w:val="clear" w:color="auto" w:fill="CCEEFF"/>
          </w:tcPr>
          <w:p>
            <w:pPr>
              <w:spacing w:after="0" w:line="15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Indenture dated as of May 23, 2013, by and among the Company</w:t>
              </w:r>
            </w:hyperlink>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560" w:type="dxa"/>
            <w:vAlign w:val="bottom"/>
            <w:tcBorders>
              <w:top w:val="single" w:sz="8" w:color="0000FF"/>
            </w:tcBorders>
            <w:gridSpan w:val="19"/>
            <w:shd w:val="clear" w:color="auto" w:fill="CCEEFF"/>
          </w:tcPr>
          <w:p>
            <w:pPr>
              <w:spacing w:after="0" w:line="15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and U.S. Bank National Association, as Trustee, and Elavon</w:t>
              </w:r>
            </w:hyperlink>
          </w:p>
        </w:tc>
        <w:tc>
          <w:tcPr>
            <w:tcW w:w="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gridSpan w:val="3"/>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4240" w:type="dxa"/>
            <w:vAlign w:val="bottom"/>
            <w:tcBorders>
              <w:top w:val="single" w:sz="8" w:color="0000FF"/>
            </w:tcBorders>
            <w:gridSpan w:val="8"/>
            <w:shd w:val="clear" w:color="auto" w:fill="CCEEFF"/>
          </w:tcPr>
          <w:p>
            <w:pPr>
              <w:spacing w:after="0" w:line="164"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Financial Services DAC, UK Branch, as Paying Agent, for</w:t>
              </w:r>
            </w:hyperlink>
          </w:p>
        </w:tc>
        <w:tc>
          <w:tcPr>
            <w:tcW w:w="820" w:type="dxa"/>
            <w:vAlign w:val="bottom"/>
            <w:tcBorders>
              <w:top w:val="single" w:sz="8" w:color="CCEEFF"/>
            </w:tcBorders>
            <w:gridSpan w:val="15"/>
            <w:shd w:val="clear" w:color="auto" w:fill="CCEEFF"/>
          </w:tcPr>
          <w:p>
            <w:pPr>
              <w:spacing w:after="0" w:line="164"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the</w:t>
              </w:r>
            </w:hyperlink>
          </w:p>
        </w:tc>
        <w:tc>
          <w:tcPr>
            <w:tcW w:w="3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gridSpan w:val="2"/>
            <w:vMerge w:val="restart"/>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2"/>
              </w:rPr>
              <w:t>8-K</w:t>
            </w:r>
          </w:p>
        </w:tc>
        <w:tc>
          <w:tcPr>
            <w:tcW w:w="1460" w:type="dxa"/>
            <w:vAlign w:val="bottom"/>
            <w:tcBorders>
              <w:top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580" w:type="dxa"/>
            <w:vAlign w:val="bottom"/>
            <w:tcBorders>
              <w:top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22, 2018</w:t>
            </w:r>
          </w:p>
        </w:tc>
        <w:tc>
          <w:tcPr>
            <w:tcW w:w="900" w:type="dxa"/>
            <w:vAlign w:val="bottom"/>
            <w:tcBorders>
              <w:top w:val="single" w:sz="8" w:color="CCEEFF"/>
            </w:tcBorders>
            <w:gridSpan w:val="2"/>
            <w:vMerge w:val="restart"/>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380" w:type="dxa"/>
            <w:vAlign w:val="bottom"/>
            <w:tcBorders>
              <w:top w:val="single" w:sz="8" w:color="0000FF"/>
            </w:tcBorders>
            <w:gridSpan w:val="12"/>
            <w:shd w:val="clear" w:color="auto" w:fill="CCEEFF"/>
          </w:tcPr>
          <w:p>
            <w:pPr>
              <w:spacing w:after="0" w:line="138"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1.</w:t>
              </w:r>
              <w:r>
                <w:rPr>
                  <w:rFonts w:ascii="Times New Roman" w:cs="Times New Roman" w:eastAsia="Times New Roman" w:hAnsi="Times New Roman"/>
                  <w:sz w:val="16"/>
                  <w:szCs w:val="16"/>
                  <w:u w:val="single" w:color="auto"/>
                  <w:color w:val="0000FF"/>
                </w:rPr>
                <w:t>950%</w:t>
              </w:r>
              <w:r>
                <w:rPr>
                  <w:rFonts w:ascii="Times New Roman" w:cs="Times New Roman" w:eastAsia="Times New Roman" w:hAnsi="Times New Roman"/>
                  <w:sz w:val="16"/>
                  <w:szCs w:val="16"/>
                  <w:color w:val="0000FF"/>
                </w:rPr>
                <w:t xml:space="preserve"> Senior Notes due 2026</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4"/>
            <w:shd w:val="clear" w:color="auto" w:fill="CCEEFF"/>
          </w:tcPr>
          <w:p>
            <w:pPr>
              <w:spacing w:after="0"/>
              <w:rPr>
                <w:sz w:val="13"/>
                <w:szCs w:val="13"/>
                <w:color w:val="auto"/>
              </w:rPr>
            </w:pPr>
          </w:p>
        </w:tc>
        <w:tc>
          <w:tcPr>
            <w:tcW w:w="480" w:type="dxa"/>
            <w:vAlign w:val="bottom"/>
            <w:tcBorders>
              <w:top w:val="single" w:sz="8" w:color="CCEEFF"/>
            </w:tcBorders>
            <w:gridSpan w:val="3"/>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gridSpan w:val="2"/>
            <w:vMerge w:val="continue"/>
            <w:shd w:val="clear" w:color="auto" w:fill="CCEEFF"/>
          </w:tcPr>
          <w:p>
            <w:pPr>
              <w:spacing w:after="0"/>
              <w:rPr>
                <w:sz w:val="13"/>
                <w:szCs w:val="13"/>
                <w:color w:val="auto"/>
              </w:rPr>
            </w:pPr>
          </w:p>
        </w:tc>
        <w:tc>
          <w:tcPr>
            <w:tcW w:w="1460" w:type="dxa"/>
            <w:vAlign w:val="bottom"/>
            <w:tcBorders>
              <w:top w:val="single" w:sz="8" w:color="CCEEFF"/>
            </w:tcBorders>
            <w:gridSpan w:val="3"/>
            <w:vMerge w:val="continue"/>
            <w:shd w:val="clear" w:color="auto" w:fill="CCEEFF"/>
          </w:tcPr>
          <w:p>
            <w:pPr>
              <w:spacing w:after="0"/>
              <w:rPr>
                <w:sz w:val="13"/>
                <w:szCs w:val="13"/>
                <w:color w:val="auto"/>
              </w:rPr>
            </w:pPr>
          </w:p>
        </w:tc>
        <w:tc>
          <w:tcPr>
            <w:tcW w:w="1580" w:type="dxa"/>
            <w:vAlign w:val="bottom"/>
            <w:tcBorders>
              <w:top w:val="single" w:sz="8" w:color="CCEEFF"/>
            </w:tcBorders>
            <w:gridSpan w:val="3"/>
            <w:vMerge w:val="continue"/>
            <w:shd w:val="clear" w:color="auto" w:fill="CCEEFF"/>
          </w:tcPr>
          <w:p>
            <w:pPr>
              <w:spacing w:after="0"/>
              <w:rPr>
                <w:sz w:val="13"/>
                <w:szCs w:val="13"/>
                <w:color w:val="auto"/>
              </w:rPr>
            </w:pPr>
          </w:p>
        </w:tc>
        <w:tc>
          <w:tcPr>
            <w:tcW w:w="900" w:type="dxa"/>
            <w:vAlign w:val="bottom"/>
            <w:tcBorders>
              <w:top w:val="single" w:sz="8" w:color="CCEEFF"/>
            </w:tcBorders>
            <w:gridSpan w:val="2"/>
            <w:vMerge w:val="continue"/>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0000FF"/>
              <w:right w:val="single" w:sz="8" w:color="CCEE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24"/>
                <w:szCs w:val="24"/>
                <w:color w:val="auto"/>
              </w:rPr>
            </w:pPr>
          </w:p>
        </w:tc>
        <w:tc>
          <w:tcPr>
            <w:tcW w:w="5060" w:type="dxa"/>
            <w:vAlign w:val="bottom"/>
            <w:gridSpan w:val="23"/>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Supplemental Indenture No. 11, dated as of March 15, 2019, to</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60" w:type="dxa"/>
            <w:vAlign w:val="bottom"/>
            <w:gridSpan w:val="23"/>
          </w:tcPr>
          <w:p>
            <w:pPr>
              <w:spacing w:after="0" w:line="15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Indenture dated as of May 23, 2013, by and between the Company</w:t>
              </w:r>
            </w:hyperlink>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8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and U.S. Bank National Association, as Trustee, for the 3.950%</w:t>
              </w:r>
            </w:hyperlink>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color w:val="auto"/>
                <w:w w:val="92"/>
              </w:rPr>
              <w:t>8-K</w:t>
            </w:r>
          </w:p>
        </w:tc>
        <w:tc>
          <w:tcPr>
            <w:tcW w:w="14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March 15, 2019</w:t>
            </w:r>
          </w:p>
        </w:tc>
        <w:tc>
          <w:tcPr>
            <w:tcW w:w="900" w:type="dxa"/>
            <w:vAlign w:val="bottom"/>
            <w:gridSpan w:val="2"/>
            <w:vMerge w:val="restart"/>
          </w:tcPr>
          <w:p>
            <w:pPr>
              <w:jc w:val="center"/>
              <w:ind w:left="114"/>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Borders>
              <w:top w:val="single" w:sz="8" w:color="0000FF"/>
            </w:tcBorders>
            <w:gridSpan w:val="17"/>
          </w:tcPr>
          <w:p>
            <w:pPr>
              <w:spacing w:after="0" w:line="164"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Senior Notes due 2029</w:t>
              </w:r>
            </w:hyperlink>
          </w:p>
        </w:tc>
        <w:tc>
          <w:tcPr>
            <w:tcW w:w="100" w:type="dxa"/>
            <w:vAlign w:val="bottom"/>
            <w:gridSpan w:val="3"/>
          </w:tcPr>
          <w:p>
            <w:pPr>
              <w:spacing w:after="0"/>
              <w:rPr>
                <w:sz w:val="14"/>
                <w:szCs w:val="14"/>
                <w:color w:val="auto"/>
              </w:rPr>
            </w:pPr>
          </w:p>
        </w:tc>
        <w:tc>
          <w:tcPr>
            <w:tcW w:w="480" w:type="dxa"/>
            <w:vAlign w:val="bottom"/>
            <w:gridSpan w:val="3"/>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Borders>
              <w:top w:val="single" w:sz="8" w:color="0000FF"/>
            </w:tcBorders>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4.9</w:t>
            </w:r>
          </w:p>
        </w:tc>
        <w:tc>
          <w:tcPr>
            <w:tcW w:w="380" w:type="dxa"/>
            <w:vAlign w:val="bottom"/>
            <w:shd w:val="clear" w:color="auto" w:fill="CCEEFF"/>
          </w:tcPr>
          <w:p>
            <w:pPr>
              <w:spacing w:after="0"/>
              <w:rPr>
                <w:sz w:val="16"/>
                <w:szCs w:val="16"/>
                <w:color w:val="auto"/>
              </w:rPr>
            </w:pPr>
          </w:p>
        </w:tc>
        <w:tc>
          <w:tcPr>
            <w:tcW w:w="5060" w:type="dxa"/>
            <w:vAlign w:val="bottom"/>
            <w:gridSpan w:val="23"/>
            <w:shd w:val="clear" w:color="auto" w:fill="CCEEFF"/>
          </w:tcPr>
          <w:p>
            <w:pPr>
              <w:spacing w:after="0" w:line="184"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Indenture dated as of June 4, 2019, by and between the Company</w:t>
              </w:r>
            </w:hyperlink>
          </w:p>
        </w:tc>
        <w:tc>
          <w:tcPr>
            <w:tcW w:w="1120" w:type="dxa"/>
            <w:vAlign w:val="bottom"/>
            <w:gridSpan w:val="3"/>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S-3ASR</w:t>
            </w:r>
          </w:p>
        </w:tc>
        <w:tc>
          <w:tcPr>
            <w:tcW w:w="14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333-231931</w:t>
            </w:r>
          </w:p>
        </w:tc>
        <w:tc>
          <w:tcPr>
            <w:tcW w:w="158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June 4, 2019</w:t>
            </w:r>
          </w:p>
        </w:tc>
        <w:tc>
          <w:tcPr>
            <w:tcW w:w="900" w:type="dxa"/>
            <w:vAlign w:val="bottom"/>
            <w:gridSpan w:val="2"/>
            <w:vMerge w:val="restart"/>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5"/>
              </w:rPr>
              <w:t>4.22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580" w:type="dxa"/>
            <w:vAlign w:val="bottom"/>
            <w:tcBorders>
              <w:top w:val="single" w:sz="8" w:color="0000FF"/>
            </w:tcBorders>
            <w:gridSpan w:val="20"/>
            <w:shd w:val="clear" w:color="auto" w:fill="CCEEFF"/>
          </w:tcPr>
          <w:p>
            <w:pPr>
              <w:spacing w:after="0" w:line="138"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and U.S. Bank National Association, as Trustee</w:t>
              </w:r>
            </w:hyperlink>
          </w:p>
        </w:tc>
        <w:tc>
          <w:tcPr>
            <w:tcW w:w="480" w:type="dxa"/>
            <w:vAlign w:val="bottom"/>
            <w:tcBorders>
              <w:top w:val="single" w:sz="8" w:color="CCEEFF"/>
            </w:tcBorders>
            <w:gridSpan w:val="3"/>
            <w:shd w:val="clear" w:color="auto" w:fill="CCEEFF"/>
          </w:tcPr>
          <w:p>
            <w:pPr>
              <w:spacing w:after="0"/>
              <w:rPr>
                <w:sz w:val="13"/>
                <w:szCs w:val="13"/>
                <w:color w:val="auto"/>
              </w:rPr>
            </w:pPr>
          </w:p>
        </w:tc>
        <w:tc>
          <w:tcPr>
            <w:tcW w:w="1120" w:type="dxa"/>
            <w:vAlign w:val="bottom"/>
            <w:tcBorders>
              <w:top w:val="single" w:sz="8" w:color="CCEEFF"/>
            </w:tcBorders>
            <w:gridSpan w:val="3"/>
            <w:vMerge w:val="continue"/>
            <w:shd w:val="clear" w:color="auto" w:fill="CCEEFF"/>
          </w:tcPr>
          <w:p>
            <w:pPr>
              <w:spacing w:after="0"/>
              <w:rPr>
                <w:sz w:val="13"/>
                <w:szCs w:val="13"/>
                <w:color w:val="auto"/>
              </w:rPr>
            </w:pPr>
          </w:p>
        </w:tc>
        <w:tc>
          <w:tcPr>
            <w:tcW w:w="1460" w:type="dxa"/>
            <w:vAlign w:val="bottom"/>
            <w:tcBorders>
              <w:top w:val="single" w:sz="8" w:color="CCEEFF"/>
            </w:tcBorders>
            <w:gridSpan w:val="3"/>
            <w:vMerge w:val="continue"/>
            <w:shd w:val="clear" w:color="auto" w:fill="CCEEFF"/>
          </w:tcPr>
          <w:p>
            <w:pPr>
              <w:spacing w:after="0"/>
              <w:rPr>
                <w:sz w:val="13"/>
                <w:szCs w:val="13"/>
                <w:color w:val="auto"/>
              </w:rPr>
            </w:pPr>
          </w:p>
        </w:tc>
        <w:tc>
          <w:tcPr>
            <w:tcW w:w="1580" w:type="dxa"/>
            <w:vAlign w:val="bottom"/>
            <w:tcBorders>
              <w:top w:val="single" w:sz="8" w:color="CCEEFF"/>
            </w:tcBorders>
            <w:gridSpan w:val="3"/>
            <w:vMerge w:val="continue"/>
            <w:shd w:val="clear" w:color="auto" w:fill="CCEEFF"/>
          </w:tcPr>
          <w:p>
            <w:pPr>
              <w:spacing w:after="0"/>
              <w:rPr>
                <w:sz w:val="13"/>
                <w:szCs w:val="13"/>
                <w:color w:val="auto"/>
              </w:rPr>
            </w:pPr>
          </w:p>
        </w:tc>
        <w:tc>
          <w:tcPr>
            <w:tcW w:w="900" w:type="dxa"/>
            <w:vAlign w:val="bottom"/>
            <w:tcBorders>
              <w:top w:val="single" w:sz="8" w:color="CCEEFF"/>
            </w:tcBorders>
            <w:gridSpan w:val="2"/>
            <w:vMerge w:val="continue"/>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0000FF"/>
              <w:right w:val="single" w:sz="8" w:color="CCEE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380" w:type="dxa"/>
            <w:vAlign w:val="bottom"/>
          </w:tcPr>
          <w:p>
            <w:pPr>
              <w:spacing w:after="0"/>
              <w:rPr>
                <w:sz w:val="24"/>
                <w:szCs w:val="24"/>
                <w:color w:val="auto"/>
              </w:rPr>
            </w:pPr>
          </w:p>
        </w:tc>
        <w:tc>
          <w:tcPr>
            <w:tcW w:w="5060" w:type="dxa"/>
            <w:vAlign w:val="bottom"/>
            <w:gridSpan w:val="2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Supplemental Indenture No. 1, dated as of June 13, 2019, to</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Indenture dated as of June 4, 2019, by and between American</w:t>
              </w:r>
            </w:hyperlink>
          </w:p>
        </w:tc>
        <w:tc>
          <w:tcPr>
            <w:tcW w:w="12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7"/>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40" w:type="dxa"/>
            <w:vAlign w:val="bottom"/>
            <w:gridSpan w:val="10"/>
          </w:tcPr>
          <w:p>
            <w:pPr>
              <w:spacing w:after="0" w:line="152"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Tower Corporation and U.S. Bank National Association, as</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7"/>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color w:val="auto"/>
                <w:w w:val="92"/>
              </w:rPr>
              <w:t>8-K</w:t>
            </w:r>
          </w:p>
        </w:tc>
        <w:tc>
          <w:tcPr>
            <w:tcW w:w="14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June 13, 2019</w:t>
            </w:r>
          </w:p>
        </w:tc>
        <w:tc>
          <w:tcPr>
            <w:tcW w:w="900" w:type="dxa"/>
            <w:vAlign w:val="bottom"/>
            <w:gridSpan w:val="2"/>
            <w:vMerge w:val="restart"/>
          </w:tcPr>
          <w:p>
            <w:pPr>
              <w:jc w:val="center"/>
              <w:ind w:left="114"/>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160" w:type="dxa"/>
            <w:vAlign w:val="bottom"/>
            <w:tcBorders>
              <w:top w:val="single" w:sz="8" w:color="0000FF"/>
            </w:tcBorders>
            <w:gridSpan w:val="6"/>
          </w:tcPr>
          <w:p>
            <w:pPr>
              <w:spacing w:after="0" w:line="164"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Trustee, for the 3.800% Senior Notes due 2029</w:t>
              </w:r>
            </w:hyperlink>
          </w:p>
        </w:tc>
        <w:tc>
          <w:tcPr>
            <w:tcW w:w="2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7"/>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Borders>
              <w:top w:val="single" w:sz="8" w:color="0000FF"/>
            </w:tcBorders>
          </w:tcPr>
          <w:p>
            <w:pPr>
              <w:spacing w:after="0"/>
              <w:rPr>
                <w:sz w:val="9"/>
                <w:szCs w:val="9"/>
                <w:color w:val="auto"/>
              </w:rPr>
            </w:pPr>
          </w:p>
        </w:tc>
        <w:tc>
          <w:tcPr>
            <w:tcW w:w="560" w:type="dxa"/>
            <w:vAlign w:val="bottom"/>
            <w:tcBorders>
              <w:top w:val="single" w:sz="8" w:color="0000FF"/>
            </w:tcBorders>
          </w:tcPr>
          <w:p>
            <w:pPr>
              <w:spacing w:after="0"/>
              <w:rPr>
                <w:sz w:val="9"/>
                <w:szCs w:val="9"/>
                <w:color w:val="auto"/>
              </w:rPr>
            </w:pPr>
          </w:p>
        </w:tc>
        <w:tc>
          <w:tcPr>
            <w:tcW w:w="94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4.11</w:t>
            </w:r>
          </w:p>
        </w:tc>
        <w:tc>
          <w:tcPr>
            <w:tcW w:w="380" w:type="dxa"/>
            <w:vAlign w:val="bottom"/>
            <w:shd w:val="clear" w:color="auto" w:fill="CCEEFF"/>
          </w:tcPr>
          <w:p>
            <w:pPr>
              <w:spacing w:after="0"/>
              <w:rPr>
                <w:sz w:val="16"/>
                <w:szCs w:val="16"/>
                <w:color w:val="auto"/>
              </w:rPr>
            </w:pPr>
          </w:p>
        </w:tc>
        <w:tc>
          <w:tcPr>
            <w:tcW w:w="5060" w:type="dxa"/>
            <w:vAlign w:val="bottom"/>
            <w:gridSpan w:val="23"/>
            <w:shd w:val="clear" w:color="auto" w:fill="CCEEFF"/>
          </w:tcPr>
          <w:p>
            <w:pPr>
              <w:spacing w:after="0" w:line="184"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Supplemental Indenture No. 2, dated as of October 3, 2019, to</w:t>
              </w:r>
            </w:hyperlink>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360" w:type="dxa"/>
            <w:vAlign w:val="bottom"/>
            <w:tcBorders>
              <w:top w:val="single" w:sz="8" w:color="0000FF"/>
            </w:tcBorders>
            <w:gridSpan w:val="11"/>
            <w:shd w:val="clear" w:color="auto" w:fill="CCEEFF"/>
          </w:tcPr>
          <w:p>
            <w:pPr>
              <w:spacing w:after="0" w:line="152"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Indenture dated as of June 4, 2019, by and between American</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gridSpan w:val="7"/>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160" w:type="dxa"/>
            <w:vAlign w:val="bottom"/>
            <w:tcBorders>
              <w:top w:val="single" w:sz="8" w:color="0000FF"/>
              <w:bottom w:val="single" w:sz="8" w:color="0000FF"/>
            </w:tcBorders>
            <w:gridSpan w:val="6"/>
            <w:shd w:val="clear" w:color="auto" w:fill="CCEEFF"/>
          </w:tcPr>
          <w:p>
            <w:pPr>
              <w:spacing w:after="0" w:line="152"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Tower Corporation and U.S. Bank National Association, as</w:t>
              </w:r>
            </w:hyperlink>
          </w:p>
        </w:tc>
        <w:tc>
          <w:tcPr>
            <w:tcW w:w="180" w:type="dxa"/>
            <w:vAlign w:val="bottom"/>
            <w:tcBorders>
              <w:top w:val="single" w:sz="8" w:color="0000FF"/>
              <w:bottom w:val="single" w:sz="8" w:color="CCEEFF"/>
            </w:tcBorders>
            <w:gridSpan w:val="4"/>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60" w:type="dxa"/>
            <w:vAlign w:val="bottom"/>
            <w:gridSpan w:val="23"/>
            <w:shd w:val="clear" w:color="auto" w:fill="CCEEFF"/>
          </w:tcPr>
          <w:p>
            <w:pPr>
              <w:spacing w:after="0" w:line="164"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Trustee, for the 2.750% Senior Notes due 2027 and the 3.700%</w:t>
              </w:r>
            </w:hyperlink>
          </w:p>
        </w:tc>
        <w:tc>
          <w:tcPr>
            <w:tcW w:w="3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2"/>
              </w:rPr>
              <w:t>8-K</w:t>
            </w:r>
          </w:p>
        </w:tc>
        <w:tc>
          <w:tcPr>
            <w:tcW w:w="14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58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October 3, 2019</w:t>
            </w:r>
          </w:p>
        </w:tc>
        <w:tc>
          <w:tcPr>
            <w:tcW w:w="900" w:type="dxa"/>
            <w:vAlign w:val="bottom"/>
            <w:gridSpan w:val="2"/>
            <w:vMerge w:val="restart"/>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460" w:type="dxa"/>
            <w:vAlign w:val="bottom"/>
            <w:tcBorders>
              <w:top w:val="single" w:sz="8" w:color="0000FF"/>
            </w:tcBorders>
            <w:gridSpan w:val="16"/>
            <w:shd w:val="clear" w:color="auto" w:fill="CCEEFF"/>
          </w:tcPr>
          <w:p>
            <w:pPr>
              <w:spacing w:after="0" w:line="138"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Senior Notes due 2049</w:t>
              </w:r>
            </w:hyperlink>
          </w:p>
        </w:tc>
        <w:tc>
          <w:tcPr>
            <w:tcW w:w="600" w:type="dxa"/>
            <w:vAlign w:val="bottom"/>
            <w:tcBorders>
              <w:top w:val="single" w:sz="8" w:color="CCEEFF"/>
            </w:tcBorders>
            <w:gridSpan w:val="7"/>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gridSpan w:val="2"/>
            <w:vMerge w:val="continue"/>
            <w:shd w:val="clear" w:color="auto" w:fill="CCEEFF"/>
          </w:tcPr>
          <w:p>
            <w:pPr>
              <w:spacing w:after="0"/>
              <w:rPr>
                <w:sz w:val="13"/>
                <w:szCs w:val="13"/>
                <w:color w:val="auto"/>
              </w:rPr>
            </w:pPr>
          </w:p>
        </w:tc>
        <w:tc>
          <w:tcPr>
            <w:tcW w:w="1460" w:type="dxa"/>
            <w:vAlign w:val="bottom"/>
            <w:tcBorders>
              <w:top w:val="single" w:sz="8" w:color="CCEEFF"/>
            </w:tcBorders>
            <w:gridSpan w:val="3"/>
            <w:vMerge w:val="continue"/>
            <w:shd w:val="clear" w:color="auto" w:fill="CCEEFF"/>
          </w:tcPr>
          <w:p>
            <w:pPr>
              <w:spacing w:after="0"/>
              <w:rPr>
                <w:sz w:val="13"/>
                <w:szCs w:val="13"/>
                <w:color w:val="auto"/>
              </w:rPr>
            </w:pPr>
          </w:p>
        </w:tc>
        <w:tc>
          <w:tcPr>
            <w:tcW w:w="1580" w:type="dxa"/>
            <w:vAlign w:val="bottom"/>
            <w:tcBorders>
              <w:top w:val="single" w:sz="8" w:color="CCEEFF"/>
            </w:tcBorders>
            <w:gridSpan w:val="3"/>
            <w:vMerge w:val="continue"/>
            <w:shd w:val="clear" w:color="auto" w:fill="CCEEFF"/>
          </w:tcPr>
          <w:p>
            <w:pPr>
              <w:spacing w:after="0"/>
              <w:rPr>
                <w:sz w:val="13"/>
                <w:szCs w:val="13"/>
                <w:color w:val="auto"/>
              </w:rPr>
            </w:pPr>
          </w:p>
        </w:tc>
        <w:tc>
          <w:tcPr>
            <w:tcW w:w="900" w:type="dxa"/>
            <w:vAlign w:val="bottom"/>
            <w:tcBorders>
              <w:top w:val="single" w:sz="8" w:color="CCEEFF"/>
            </w:tcBorders>
            <w:gridSpan w:val="2"/>
            <w:vMerge w:val="continue"/>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0000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380" w:type="dxa"/>
            <w:vAlign w:val="bottom"/>
          </w:tcPr>
          <w:p>
            <w:pPr>
              <w:spacing w:after="0"/>
              <w:rPr>
                <w:sz w:val="24"/>
                <w:szCs w:val="24"/>
                <w:color w:val="auto"/>
              </w:rPr>
            </w:pPr>
          </w:p>
        </w:tc>
        <w:tc>
          <w:tcPr>
            <w:tcW w:w="5060" w:type="dxa"/>
            <w:vAlign w:val="bottom"/>
            <w:gridSpan w:val="23"/>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Supplemental Indenture No. 3, dated as of January 10, 2020, to</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4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Indenture dated as of June 4, 2019, by and between American</w:t>
              </w:r>
            </w:hyperlink>
          </w:p>
        </w:tc>
        <w:tc>
          <w:tcPr>
            <w:tcW w:w="620" w:type="dxa"/>
            <w:vAlign w:val="bottom"/>
            <w:gridSpan w:val="8"/>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6"/>
              </w:rPr>
              <w:t>January 10,</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4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Tower Corporation and U.S. Bank National Association, as</w:t>
              </w:r>
            </w:hyperlink>
          </w:p>
        </w:tc>
        <w:tc>
          <w:tcPr>
            <w:tcW w:w="720" w:type="dxa"/>
            <w:vAlign w:val="bottom"/>
            <w:gridSpan w:val="13"/>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160" w:type="dxa"/>
            <w:vAlign w:val="bottom"/>
            <w:tcBorders>
              <w:top w:val="single" w:sz="8" w:color="0000FF"/>
            </w:tcBorders>
            <w:gridSpan w:val="6"/>
          </w:tcPr>
          <w:p>
            <w:pPr>
              <w:spacing w:after="0" w:line="164"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Trustee, for the 2.900% Senior Notes due 2030</w:t>
              </w:r>
            </w:hyperlink>
          </w:p>
        </w:tc>
        <w:tc>
          <w:tcPr>
            <w:tcW w:w="900" w:type="dxa"/>
            <w:vAlign w:val="bottom"/>
            <w:gridSpan w:val="17"/>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center"/>
              <w:ind w:right="460"/>
              <w:spacing w:after="0" w:line="164" w:lineRule="exact"/>
              <w:rPr>
                <w:sz w:val="20"/>
                <w:szCs w:val="20"/>
                <w:color w:val="auto"/>
              </w:rPr>
            </w:pPr>
            <w:r>
              <w:rPr>
                <w:rFonts w:ascii="Times New Roman" w:cs="Times New Roman" w:eastAsia="Times New Roman" w:hAnsi="Times New Roman"/>
                <w:sz w:val="18"/>
                <w:szCs w:val="18"/>
                <w:color w:val="auto"/>
                <w:w w:val="92"/>
              </w:rPr>
              <w:t>8-K</w:t>
            </w:r>
          </w:p>
        </w:tc>
        <w:tc>
          <w:tcPr>
            <w:tcW w:w="1460" w:type="dxa"/>
            <w:vAlign w:val="bottom"/>
            <w:gridSpan w:val="3"/>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001-14195</w:t>
            </w:r>
          </w:p>
        </w:tc>
        <w:tc>
          <w:tcPr>
            <w:tcW w:w="1240" w:type="dxa"/>
            <w:vAlign w:val="bottom"/>
            <w:gridSpan w:val="2"/>
          </w:tcPr>
          <w:p>
            <w:pPr>
              <w:jc w:val="center"/>
              <w:ind w:left="312"/>
              <w:spacing w:after="0" w:line="164" w:lineRule="exact"/>
              <w:rPr>
                <w:sz w:val="20"/>
                <w:szCs w:val="20"/>
                <w:color w:val="auto"/>
              </w:rPr>
            </w:pPr>
            <w:r>
              <w:rPr>
                <w:rFonts w:ascii="Times New Roman" w:cs="Times New Roman" w:eastAsia="Times New Roman" w:hAnsi="Times New Roman"/>
                <w:sz w:val="18"/>
                <w:szCs w:val="18"/>
                <w:color w:val="auto"/>
                <w:w w:val="99"/>
              </w:rPr>
              <w:t>2020</w:t>
            </w:r>
          </w:p>
        </w:tc>
        <w:tc>
          <w:tcPr>
            <w:tcW w:w="340" w:type="dxa"/>
            <w:vAlign w:val="bottom"/>
          </w:tcPr>
          <w:p>
            <w:pPr>
              <w:spacing w:after="0"/>
              <w:rPr>
                <w:sz w:val="14"/>
                <w:szCs w:val="14"/>
                <w:color w:val="auto"/>
              </w:rPr>
            </w:pPr>
          </w:p>
        </w:tc>
        <w:tc>
          <w:tcPr>
            <w:tcW w:w="900" w:type="dxa"/>
            <w:vAlign w:val="bottom"/>
            <w:gridSpan w:val="2"/>
          </w:tcPr>
          <w:p>
            <w:pPr>
              <w:jc w:val="center"/>
              <w:ind w:left="114"/>
              <w:spacing w:after="0" w:line="164" w:lineRule="exact"/>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600" w:type="dxa"/>
            <w:vAlign w:val="bottom"/>
          </w:tcPr>
          <w:p>
            <w:pPr>
              <w:spacing w:after="0"/>
              <w:rPr>
                <w:sz w:val="13"/>
                <w:szCs w:val="13"/>
                <w:color w:val="auto"/>
              </w:rPr>
            </w:pPr>
          </w:p>
        </w:tc>
        <w:tc>
          <w:tcPr>
            <w:tcW w:w="306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380" w:type="dxa"/>
            <w:vAlign w:val="bottom"/>
          </w:tcPr>
          <w:p>
            <w:pPr>
              <w:spacing w:after="0"/>
              <w:rPr>
                <w:sz w:val="18"/>
                <w:szCs w:val="18"/>
                <w:color w:val="auto"/>
              </w:rPr>
            </w:pPr>
          </w:p>
        </w:tc>
        <w:tc>
          <w:tcPr>
            <w:tcW w:w="4660" w:type="dxa"/>
            <w:vAlign w:val="bottom"/>
            <w:gridSpan w:val="11"/>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Supplemental Indenture No. 4, dated as of June 3, 2020, to</w:t>
              </w:r>
            </w:hyperlink>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60" w:type="dxa"/>
            <w:vAlign w:val="bottom"/>
            <w:gridSpan w:val="11"/>
          </w:tcPr>
          <w:p>
            <w:pPr>
              <w:spacing w:after="0" w:line="15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Indenture dated as of June 4, 2019, by and between American</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Tower Corporation and U.S. Bank National Association, as</w:t>
              </w:r>
            </w:hyperlink>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60" w:type="dxa"/>
            <w:vAlign w:val="bottom"/>
            <w:gridSpan w:val="11"/>
          </w:tcPr>
          <w:p>
            <w:pPr>
              <w:spacing w:after="0" w:line="164"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Trustee, for the 2.100% Senior Notes due 2030 and the 3.100%</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40" w:type="dxa"/>
            <w:vAlign w:val="bottom"/>
            <w:tcBorders>
              <w:top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Senior Notes due 2050</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380" w:type="dxa"/>
            <w:vAlign w:val="bottom"/>
          </w:tcPr>
          <w:p>
            <w:pPr>
              <w:spacing w:after="0"/>
              <w:rPr>
                <w:sz w:val="24"/>
                <w:szCs w:val="24"/>
                <w:color w:val="auto"/>
              </w:rPr>
            </w:pPr>
          </w:p>
        </w:tc>
        <w:tc>
          <w:tcPr>
            <w:tcW w:w="4660" w:type="dxa"/>
            <w:vAlign w:val="bottom"/>
            <w:gridSpan w:val="11"/>
          </w:tcPr>
          <w:p>
            <w:pPr>
              <w:spacing w:after="0"/>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Supplemental Indenture No. 5, dated as of September 10, 2020, to</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4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Indenture dated as of June 4, 2019, by and among the Company,</w:t>
              </w:r>
            </w:hyperlink>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U.S. Bank National Association, as Trustee, and Elavon Financial</w:t>
              </w:r>
            </w:hyperlink>
          </w:p>
        </w:tc>
        <w:tc>
          <w:tcPr>
            <w:tcW w:w="10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-995045</wp:posOffset>
            </wp:positionV>
            <wp:extent cx="7135495" cy="593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35495" cy="593725"/>
                    </a:xfrm>
                    <a:prstGeom prst="rect">
                      <a:avLst/>
                    </a:prstGeom>
                    <a:noFill/>
                  </pic:spPr>
                </pic:pic>
              </a:graphicData>
            </a:graphic>
          </wp:anchor>
        </w:drawing>
      </w:r>
    </w:p>
    <w:p>
      <w:pPr>
        <w:ind w:left="1080" w:right="260"/>
        <w:spacing w:after="0" w:line="257" w:lineRule="auto"/>
        <w:rPr>
          <w:rFonts w:ascii="Times New Roman" w:cs="Times New Roman" w:eastAsia="Times New Roman" w:hAnsi="Times New Roman"/>
          <w:sz w:val="16"/>
          <w:szCs w:val="16"/>
          <w:u w:val="single" w:color="auto"/>
          <w:color w:val="0000FF"/>
        </w:rPr>
      </w:pPr>
      <w:hyperlink r:id="rId104">
        <w:r>
          <w:rPr>
            <w:rFonts w:ascii="Times New Roman" w:cs="Times New Roman" w:eastAsia="Times New Roman" w:hAnsi="Times New Roman"/>
            <w:sz w:val="16"/>
            <w:szCs w:val="16"/>
            <w:u w:val="single" w:color="auto"/>
            <w:color w:val="0000FF"/>
          </w:rPr>
          <w:t>Services DAC, UK Branch, as Paying Agent, for the 0.500%</w:t>
        </w:r>
      </w:hyperlink>
      <w:r>
        <w:rPr>
          <w:rFonts w:ascii="Times New Roman" w:cs="Times New Roman" w:eastAsia="Times New Roman" w:hAnsi="Times New Roman"/>
          <w:sz w:val="16"/>
          <w:szCs w:val="16"/>
          <w:u w:val="single" w:color="auto"/>
          <w:color w:val="0000FF"/>
        </w:rPr>
        <w:t xml:space="preserve"> </w:t>
      </w:r>
      <w:hyperlink r:id="rId104">
        <w:r>
          <w:rPr>
            <w:rFonts w:ascii="Times New Roman" w:cs="Times New Roman" w:eastAsia="Times New Roman" w:hAnsi="Times New Roman"/>
            <w:sz w:val="16"/>
            <w:szCs w:val="16"/>
            <w:u w:val="single" w:color="auto"/>
            <w:color w:val="0000FF"/>
          </w:rPr>
          <w:t>Senior Notes due 2028 and the 1.000% Senior Notes due 2032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30480</wp:posOffset>
            </wp:positionV>
            <wp:extent cx="32372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3237230" cy="8255"/>
                    </a:xfrm>
                    <a:prstGeom prst="rect">
                      <a:avLst/>
                    </a:prstGeom>
                    <a:noFill/>
                  </pic:spPr>
                </pic:pic>
              </a:graphicData>
            </a:graphic>
          </wp:anchor>
        </w:drawing>
      </w:r>
    </w:p>
    <w:p>
      <w:pPr>
        <w:spacing w:after="0" w:line="30" w:lineRule="exact"/>
        <w:rPr>
          <w:sz w:val="20"/>
          <w:szCs w:val="20"/>
          <w:color w:val="auto"/>
        </w:rPr>
      </w:pPr>
    </w:p>
    <w:p>
      <w:pPr>
        <w:spacing w:after="0"/>
        <w:tabs>
          <w:tab w:leader="none" w:pos="1300" w:val="left"/>
          <w:tab w:leader="none" w:pos="2660" w:val="left"/>
          <w:tab w:leader="none" w:pos="402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File No.</w:t>
      </w:r>
      <w:r>
        <w:rPr>
          <w:sz w:val="20"/>
          <w:szCs w:val="20"/>
          <w:color w:val="auto"/>
        </w:rPr>
        <w:tab/>
      </w:r>
      <w:r>
        <w:rPr>
          <w:rFonts w:ascii="Times New Roman" w:cs="Times New Roman" w:eastAsia="Times New Roman" w:hAnsi="Times New Roman"/>
          <w:sz w:val="14"/>
          <w:szCs w:val="14"/>
          <w:b w:val="1"/>
          <w:bCs w:val="1"/>
          <w:u w:val="single" w:color="auto"/>
          <w:color w:val="auto"/>
        </w:rPr>
        <w:t>Date of Filing</w:t>
      </w:r>
      <w:r>
        <w:rPr>
          <w:sz w:val="20"/>
          <w:szCs w:val="20"/>
          <w:color w:val="auto"/>
        </w:rPr>
        <w:tab/>
      </w:r>
      <w:r>
        <w:rPr>
          <w:rFonts w:ascii="Times New Roman" w:cs="Times New Roman" w:eastAsia="Times New Roman" w:hAnsi="Times New Roman"/>
          <w:sz w:val="14"/>
          <w:szCs w:val="14"/>
          <w:b w:val="1"/>
          <w:bCs w:val="1"/>
          <w:u w:val="single" w:color="auto"/>
          <w:color w:val="auto"/>
        </w:rPr>
        <w:t>Exhibit No.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001-14195</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June 3, 2020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791"/>
        </w:trPr>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10,</w:t>
            </w:r>
          </w:p>
        </w:tc>
        <w:tc>
          <w:tcPr>
            <w:tcW w:w="560" w:type="dxa"/>
            <w:vAlign w:val="bottom"/>
          </w:tcPr>
          <w:p>
            <w:pPr>
              <w:spacing w:after="0"/>
              <w:rPr>
                <w:sz w:val="24"/>
                <w:szCs w:val="24"/>
                <w:color w:val="auto"/>
              </w:rPr>
            </w:pPr>
          </w:p>
        </w:tc>
      </w:tr>
      <w:tr>
        <w:trPr>
          <w:trHeight w:val="23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001-14195</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70" w:lineRule="exact"/>
        <w:rPr>
          <w:sz w:val="20"/>
          <w:szCs w:val="20"/>
          <w:color w:val="auto"/>
        </w:rPr>
      </w:pPr>
    </w:p>
    <w:p>
      <w:pPr>
        <w:sectPr>
          <w:pgSz w:w="11900" w:h="16838" w:orient="portrait"/>
          <w:cols w:equalWidth="0" w:num="2">
            <w:col w:w="5740" w:space="720"/>
            <w:col w:w="47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4.15</w:t>
            </w:r>
          </w:p>
        </w:tc>
        <w:tc>
          <w:tcPr>
            <w:tcW w:w="5020" w:type="dxa"/>
            <w:vAlign w:val="bottom"/>
            <w:gridSpan w:val="5"/>
            <w:shd w:val="clear" w:color="auto" w:fill="CCEEFF"/>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Supplemental Indenture No. 6, dated as of September 28, 2020, to</w:t>
              </w:r>
            </w:hyperlink>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0000FF"/>
            </w:tcBorders>
            <w:gridSpan w:val="4"/>
            <w:shd w:val="clear" w:color="auto" w:fill="CCEEFF"/>
          </w:tcPr>
          <w:p>
            <w:pPr>
              <w:spacing w:after="0" w:line="15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Indenture dated as of June 4, 2019, by and between American</w:t>
              </w:r>
            </w:hyperlink>
          </w:p>
        </w:tc>
        <w:tc>
          <w:tcPr>
            <w:tcW w:w="3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28,</w:t>
            </w:r>
          </w:p>
        </w:tc>
        <w:tc>
          <w:tcPr>
            <w:tcW w:w="8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340" w:type="dxa"/>
            <w:vAlign w:val="bottom"/>
            <w:tcBorders>
              <w:top w:val="single" w:sz="8" w:color="0000FF"/>
            </w:tcBorders>
            <w:gridSpan w:val="3"/>
            <w:shd w:val="clear" w:color="auto" w:fill="CCEEFF"/>
          </w:tcPr>
          <w:p>
            <w:pPr>
              <w:spacing w:after="0" w:line="15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Tower Corporation and U.S. Bank National Association, as</w:t>
              </w:r>
            </w:hyperlink>
          </w:p>
        </w:tc>
        <w:tc>
          <w:tcPr>
            <w:tcW w:w="680" w:type="dxa"/>
            <w:vAlign w:val="bottom"/>
            <w:tcBorders>
              <w:top w:val="single" w:sz="8" w:color="CCEEFF"/>
            </w:tcBorders>
            <w:gridSpan w:val="2"/>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CCEEFF"/>
            </w:tcBorders>
            <w:vMerge w:val="continue"/>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Borders>
              <w:top w:val="single" w:sz="8" w:color="CCEEFF"/>
            </w:tcBorders>
            <w:shd w:val="clear" w:color="auto" w:fill="CCEEFF"/>
          </w:tcPr>
          <w:p>
            <w:pPr>
              <w:spacing w:after="0"/>
              <w:rPr>
                <w:sz w:val="14"/>
                <w:szCs w:val="14"/>
                <w:color w:val="auto"/>
              </w:rPr>
            </w:pPr>
          </w:p>
        </w:tc>
        <w:tc>
          <w:tcPr>
            <w:tcW w:w="4160" w:type="dxa"/>
            <w:vAlign w:val="bottom"/>
            <w:tcBorders>
              <w:top w:val="single" w:sz="8" w:color="0000FF"/>
            </w:tcBorders>
            <w:gridSpan w:val="2"/>
            <w:shd w:val="clear" w:color="auto" w:fill="CCEEFF"/>
          </w:tcPr>
          <w:p>
            <w:pPr>
              <w:spacing w:after="0" w:line="164"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Trustee, for the 1.875% Senior Notes due 2030</w:t>
              </w:r>
            </w:hyperlink>
          </w:p>
        </w:tc>
        <w:tc>
          <w:tcPr>
            <w:tcW w:w="860" w:type="dxa"/>
            <w:vAlign w:val="bottom"/>
            <w:tcBorders>
              <w:top w:val="single" w:sz="8" w:color="CCEEFF"/>
            </w:tcBorders>
            <w:gridSpan w:val="3"/>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ind w:left="400"/>
              <w:spacing w:after="0" w:line="164" w:lineRule="exact"/>
              <w:rPr>
                <w:sz w:val="20"/>
                <w:szCs w:val="20"/>
                <w:color w:val="auto"/>
              </w:rPr>
            </w:pPr>
            <w:r>
              <w:rPr>
                <w:rFonts w:ascii="Times New Roman" w:cs="Times New Roman" w:eastAsia="Times New Roman" w:hAnsi="Times New Roman"/>
                <w:sz w:val="18"/>
                <w:szCs w:val="18"/>
                <w:color w:val="auto"/>
              </w:rPr>
              <w:t>8-K</w:t>
            </w:r>
          </w:p>
        </w:tc>
        <w:tc>
          <w:tcPr>
            <w:tcW w:w="1520" w:type="dxa"/>
            <w:vAlign w:val="bottom"/>
            <w:tcBorders>
              <w:top w:val="single" w:sz="8" w:color="CCEEFF"/>
            </w:tcBorders>
            <w:shd w:val="clear" w:color="auto" w:fill="CCEEFF"/>
          </w:tcPr>
          <w:p>
            <w:pPr>
              <w:jc w:val="right"/>
              <w:ind w:right="232"/>
              <w:spacing w:after="0" w:line="164" w:lineRule="exact"/>
              <w:rPr>
                <w:sz w:val="20"/>
                <w:szCs w:val="20"/>
                <w:color w:val="auto"/>
              </w:rPr>
            </w:pPr>
            <w:r>
              <w:rPr>
                <w:rFonts w:ascii="Times New Roman" w:cs="Times New Roman" w:eastAsia="Times New Roman" w:hAnsi="Times New Roman"/>
                <w:sz w:val="18"/>
                <w:szCs w:val="18"/>
                <w:color w:val="auto"/>
              </w:rPr>
              <w:t>001-14195</w:t>
            </w:r>
          </w:p>
        </w:tc>
        <w:tc>
          <w:tcPr>
            <w:tcW w:w="1680" w:type="dxa"/>
            <w:vAlign w:val="bottom"/>
            <w:tcBorders>
              <w:top w:val="single" w:sz="8" w:color="CCEEFF"/>
            </w:tcBorders>
            <w:shd w:val="clear" w:color="auto" w:fill="CCEEFF"/>
          </w:tcPr>
          <w:p>
            <w:pPr>
              <w:jc w:val="right"/>
              <w:ind w:right="592"/>
              <w:spacing w:after="0" w:line="164" w:lineRule="exact"/>
              <w:rPr>
                <w:sz w:val="20"/>
                <w:szCs w:val="20"/>
                <w:color w:val="auto"/>
              </w:rPr>
            </w:pPr>
            <w:r>
              <w:rPr>
                <w:rFonts w:ascii="Times New Roman" w:cs="Times New Roman" w:eastAsia="Times New Roman" w:hAnsi="Times New Roman"/>
                <w:sz w:val="18"/>
                <w:szCs w:val="18"/>
                <w:color w:val="auto"/>
              </w:rPr>
              <w:t>2020</w:t>
            </w:r>
          </w:p>
        </w:tc>
        <w:tc>
          <w:tcPr>
            <w:tcW w:w="840" w:type="dxa"/>
            <w:vAlign w:val="bottom"/>
            <w:tcBorders>
              <w:top w:val="single" w:sz="8" w:color="CCEEFF"/>
            </w:tcBorders>
            <w:shd w:val="clear" w:color="auto" w:fill="CCEEFF"/>
          </w:tcPr>
          <w:p>
            <w:pPr>
              <w:jc w:val="right"/>
              <w:ind w:right="192"/>
              <w:spacing w:after="0" w:line="16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0"/>
        </w:trPr>
        <w:tc>
          <w:tcPr>
            <w:tcW w:w="1080" w:type="dxa"/>
            <w:vAlign w:val="bottom"/>
            <w:shd w:val="clear" w:color="auto" w:fill="CCEEFF"/>
          </w:tcPr>
          <w:p>
            <w:pPr>
              <w:spacing w:after="0"/>
              <w:rPr>
                <w:sz w:val="3"/>
                <w:szCs w:val="3"/>
                <w:color w:val="auto"/>
              </w:rPr>
            </w:pPr>
          </w:p>
        </w:tc>
        <w:tc>
          <w:tcPr>
            <w:tcW w:w="3300" w:type="dxa"/>
            <w:vAlign w:val="bottom"/>
            <w:shd w:val="clear" w:color="auto" w:fill="0000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5"/>
              </w:rPr>
              <w:t>4.16</w:t>
            </w:r>
          </w:p>
        </w:tc>
        <w:tc>
          <w:tcPr>
            <w:tcW w:w="4640" w:type="dxa"/>
            <w:vAlign w:val="bottom"/>
            <w:gridSpan w:val="9"/>
          </w:tcPr>
          <w:p>
            <w:pPr>
              <w:spacing w:after="0"/>
              <w:rPr>
                <w:rFonts w:ascii="Times New Roman" w:cs="Times New Roman" w:eastAsia="Times New Roman" w:hAnsi="Times New Roman"/>
                <w:sz w:val="18"/>
                <w:szCs w:val="18"/>
                <w:color w:val="0000FF"/>
                <w:w w:val="97"/>
              </w:rPr>
            </w:pPr>
            <w:hyperlink r:id="rId108">
              <w:r>
                <w:rPr>
                  <w:rFonts w:ascii="Times New Roman" w:cs="Times New Roman" w:eastAsia="Times New Roman" w:hAnsi="Times New Roman"/>
                  <w:sz w:val="18"/>
                  <w:szCs w:val="18"/>
                  <w:color w:val="0000FF"/>
                  <w:w w:val="97"/>
                </w:rPr>
                <w:t>Supplemental Indenture No. 7, dated as of November 20, 2020, to</w:t>
              </w:r>
            </w:hyperlink>
          </w:p>
        </w:tc>
      </w:tr>
      <w:tr>
        <w:trPr>
          <w:trHeight w:val="151"/>
        </w:trPr>
        <w:tc>
          <w:tcPr>
            <w:tcW w:w="1060" w:type="dxa"/>
            <w:vAlign w:val="bottom"/>
          </w:tcPr>
          <w:p>
            <w:pPr>
              <w:spacing w:after="0"/>
              <w:rPr>
                <w:sz w:val="13"/>
                <w:szCs w:val="13"/>
                <w:color w:val="auto"/>
              </w:rPr>
            </w:pPr>
          </w:p>
        </w:tc>
        <w:tc>
          <w:tcPr>
            <w:tcW w:w="4620" w:type="dxa"/>
            <w:vAlign w:val="bottom"/>
            <w:tcBorders>
              <w:top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Indenture dated as of June 4, 2019, by and between American</w:t>
              </w:r>
            </w:hyperlink>
          </w:p>
        </w:tc>
        <w:tc>
          <w:tcPr>
            <w:tcW w:w="2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Tower Corporation and U.S. Bank National Association, as</w:t>
              </w:r>
            </w:hyperlink>
          </w:p>
        </w:tc>
        <w:tc>
          <w:tcPr>
            <w:tcW w:w="1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060" w:type="dxa"/>
            <w:vAlign w:val="bottom"/>
          </w:tcPr>
          <w:p>
            <w:pPr>
              <w:spacing w:after="0"/>
              <w:rPr>
                <w:sz w:val="14"/>
                <w:szCs w:val="14"/>
                <w:color w:val="auto"/>
              </w:rPr>
            </w:pPr>
          </w:p>
        </w:tc>
        <w:tc>
          <w:tcPr>
            <w:tcW w:w="4640" w:type="dxa"/>
            <w:vAlign w:val="bottom"/>
            <w:gridSpan w:val="9"/>
          </w:tcPr>
          <w:p>
            <w:pPr>
              <w:spacing w:after="0" w:line="164"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Trustee, for the 1.500% Senior Notes due 2028 and the 2.950%</w:t>
              </w:r>
            </w:hyperlink>
          </w:p>
        </w:tc>
      </w:tr>
      <w:tr>
        <w:trPr>
          <w:trHeight w:val="151"/>
        </w:trPr>
        <w:tc>
          <w:tcPr>
            <w:tcW w:w="1060" w:type="dxa"/>
            <w:vAlign w:val="bottom"/>
          </w:tcPr>
          <w:p>
            <w:pPr>
              <w:spacing w:after="0"/>
              <w:rPr>
                <w:sz w:val="13"/>
                <w:szCs w:val="13"/>
                <w:color w:val="auto"/>
              </w:rPr>
            </w:pPr>
          </w:p>
        </w:tc>
        <w:tc>
          <w:tcPr>
            <w:tcW w:w="444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Senior Notes due 2051</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10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5"/>
              </w:rPr>
              <w:t>4.17</w:t>
            </w:r>
          </w:p>
        </w:tc>
        <w:tc>
          <w:tcPr>
            <w:tcW w:w="4640" w:type="dxa"/>
            <w:vAlign w:val="bottom"/>
            <w:gridSpan w:val="9"/>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Supplemental Indenture No. 8, dated as of March 29, 2021, to</w:t>
              </w:r>
            </w:hyperlink>
          </w:p>
        </w:tc>
      </w:tr>
      <w:tr>
        <w:trPr>
          <w:trHeight w:val="151"/>
        </w:trPr>
        <w:tc>
          <w:tcPr>
            <w:tcW w:w="1060" w:type="dxa"/>
            <w:vAlign w:val="bottom"/>
          </w:tcPr>
          <w:p>
            <w:pPr>
              <w:spacing w:after="0"/>
              <w:rPr>
                <w:sz w:val="13"/>
                <w:szCs w:val="13"/>
                <w:color w:val="auto"/>
              </w:rPr>
            </w:pPr>
          </w:p>
        </w:tc>
        <w:tc>
          <w:tcPr>
            <w:tcW w:w="4360" w:type="dxa"/>
            <w:vAlign w:val="bottom"/>
            <w:tcBorders>
              <w:top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Indenture dated as of June 4, 2019, by and between American</w:t>
              </w:r>
            </w:hyperlink>
          </w:p>
        </w:tc>
        <w:tc>
          <w:tcPr>
            <w:tcW w:w="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Tower Corporation and U.S. Bank National Association, as</w:t>
              </w:r>
            </w:hyperlink>
          </w:p>
        </w:tc>
        <w:tc>
          <w:tcPr>
            <w:tcW w:w="180" w:type="dxa"/>
            <w:vAlign w:val="bottom"/>
            <w:tcBorders>
              <w:top w:val="single" w:sz="8" w:color="0000FF"/>
            </w:tcBorders>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060" w:type="dxa"/>
            <w:vAlign w:val="bottom"/>
          </w:tcPr>
          <w:p>
            <w:pPr>
              <w:spacing w:after="0"/>
              <w:rPr>
                <w:sz w:val="14"/>
                <w:szCs w:val="14"/>
                <w:color w:val="auto"/>
              </w:rPr>
            </w:pPr>
          </w:p>
        </w:tc>
        <w:tc>
          <w:tcPr>
            <w:tcW w:w="4640" w:type="dxa"/>
            <w:vAlign w:val="bottom"/>
            <w:gridSpan w:val="9"/>
          </w:tcPr>
          <w:p>
            <w:pPr>
              <w:spacing w:after="0" w:line="164"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Trustee, for the 1.600% Senior Notes due 2026 and the 2.700%</w:t>
              </w:r>
            </w:hyperlink>
          </w:p>
        </w:tc>
      </w:tr>
      <w:tr>
        <w:trPr>
          <w:trHeight w:val="151"/>
        </w:trPr>
        <w:tc>
          <w:tcPr>
            <w:tcW w:w="1060" w:type="dxa"/>
            <w:vAlign w:val="bottom"/>
          </w:tcPr>
          <w:p>
            <w:pPr>
              <w:spacing w:after="0"/>
              <w:rPr>
                <w:sz w:val="13"/>
                <w:szCs w:val="13"/>
                <w:color w:val="auto"/>
              </w:rPr>
            </w:pPr>
          </w:p>
        </w:tc>
        <w:tc>
          <w:tcPr>
            <w:tcW w:w="444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Senior Notes due 2031</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10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5"/>
              </w:rPr>
              <w:t>4.18</w:t>
            </w:r>
          </w:p>
        </w:tc>
        <w:tc>
          <w:tcPr>
            <w:tcW w:w="42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7"/>
              </w:rPr>
            </w:pPr>
            <w:hyperlink r:id="rId110">
              <w:r>
                <w:rPr>
                  <w:rFonts w:ascii="Times New Roman" w:cs="Times New Roman" w:eastAsia="Times New Roman" w:hAnsi="Times New Roman"/>
                  <w:sz w:val="18"/>
                  <w:szCs w:val="18"/>
                  <w:color w:val="0000FF"/>
                  <w:w w:val="97"/>
                </w:rPr>
                <w:t>Supplemental Indenture No. 9, dated as of May 21, 2021, to</w:t>
              </w:r>
            </w:hyperlink>
          </w:p>
        </w:tc>
        <w:tc>
          <w:tcPr>
            <w:tcW w:w="420" w:type="dxa"/>
            <w:vAlign w:val="bottom"/>
            <w:gridSpan w:val="6"/>
          </w:tcPr>
          <w:p>
            <w:pPr>
              <w:spacing w:after="0"/>
              <w:rPr>
                <w:sz w:val="23"/>
                <w:szCs w:val="23"/>
                <w:color w:val="auto"/>
              </w:rPr>
            </w:pPr>
          </w:p>
        </w:tc>
      </w:tr>
      <w:tr>
        <w:trPr>
          <w:trHeight w:val="151"/>
        </w:trPr>
        <w:tc>
          <w:tcPr>
            <w:tcW w:w="1060" w:type="dxa"/>
            <w:vAlign w:val="bottom"/>
          </w:tcPr>
          <w:p>
            <w:pPr>
              <w:spacing w:after="0"/>
              <w:rPr>
                <w:sz w:val="13"/>
                <w:szCs w:val="13"/>
                <w:color w:val="auto"/>
              </w:rPr>
            </w:pPr>
          </w:p>
        </w:tc>
        <w:tc>
          <w:tcPr>
            <w:tcW w:w="4640" w:type="dxa"/>
            <w:vAlign w:val="bottom"/>
            <w:gridSpan w:val="9"/>
          </w:tcPr>
          <w:p>
            <w:pPr>
              <w:spacing w:after="0" w:line="15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Indenture dated as of June 4, 2019, by and among the Company,</w:t>
              </w:r>
            </w:hyperlink>
          </w:p>
        </w:tc>
      </w:tr>
      <w:tr>
        <w:trPr>
          <w:trHeight w:val="151"/>
        </w:trPr>
        <w:tc>
          <w:tcPr>
            <w:tcW w:w="106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U.S. Bank National Association, as Trustee, and Elavon Financial</w:t>
              </w:r>
            </w:hyperlink>
          </w:p>
        </w:tc>
        <w:tc>
          <w:tcPr>
            <w:tcW w:w="10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-969645</wp:posOffset>
            </wp:positionV>
            <wp:extent cx="7135495" cy="593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7135495" cy="593725"/>
                    </a:xfrm>
                    <a:prstGeom prst="rect">
                      <a:avLst/>
                    </a:prstGeom>
                    <a:noFill/>
                  </pic:spPr>
                </pic:pic>
              </a:graphicData>
            </a:graphic>
          </wp:anchor>
        </w:drawing>
      </w:r>
    </w:p>
    <w:p>
      <w:pPr>
        <w:ind w:left="1080"/>
        <w:spacing w:after="0" w:line="213"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Services DAC, UK Branch, as Paying Agent, for the 0.450%</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Senior Notes due 2027, the 0.875% Senior Notes due 2029 and the</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1.250% Senior Notes due 2033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93"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November 20,</w:t>
            </w:r>
          </w:p>
        </w:tc>
        <w:tc>
          <w:tcPr>
            <w:tcW w:w="560" w:type="dxa"/>
            <w:vAlign w:val="bottom"/>
          </w:tcPr>
          <w:p>
            <w:pPr>
              <w:spacing w:after="0"/>
              <w:rPr>
                <w:sz w:val="17"/>
                <w:szCs w:val="17"/>
                <w:color w:val="auto"/>
              </w:rPr>
            </w:pPr>
          </w:p>
        </w:tc>
      </w:tr>
      <w:tr>
        <w:trPr>
          <w:trHeight w:val="23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001-14195</w:t>
            </w: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60" w:lineRule="exact"/>
        <w:rPr>
          <w:rFonts w:ascii="Times New Roman" w:cs="Times New Roman" w:eastAsia="Times New Roman" w:hAnsi="Times New Roman"/>
          <w:sz w:val="18"/>
          <w:szCs w:val="18"/>
          <w:u w:val="single" w:color="auto"/>
          <w:color w:val="0000FF"/>
        </w:rPr>
      </w:pPr>
    </w:p>
    <w:p>
      <w:pPr>
        <w:spacing w:after="0"/>
        <w:tabs>
          <w:tab w:leader="none" w:pos="1120" w:val="left"/>
          <w:tab w:leader="none" w:pos="2460" w:val="left"/>
          <w:tab w:leader="none" w:pos="42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001-14195</w:t>
      </w:r>
      <w:r>
        <w:rPr>
          <w:sz w:val="20"/>
          <w:szCs w:val="20"/>
          <w:color w:val="auto"/>
        </w:rPr>
        <w:tab/>
      </w:r>
      <w:r>
        <w:rPr>
          <w:rFonts w:ascii="Times New Roman" w:cs="Times New Roman" w:eastAsia="Times New Roman" w:hAnsi="Times New Roman"/>
          <w:sz w:val="18"/>
          <w:szCs w:val="18"/>
          <w:color w:val="auto"/>
        </w:rPr>
        <w:t>March 29, 2021</w:t>
      </w:r>
      <w:r>
        <w:rPr>
          <w:sz w:val="20"/>
          <w:szCs w:val="20"/>
          <w:color w:val="auto"/>
        </w:rPr>
        <w:tab/>
      </w:r>
      <w:r>
        <w:rPr>
          <w:rFonts w:ascii="Times New Roman" w:cs="Times New Roman" w:eastAsia="Times New Roman" w:hAnsi="Times New Roman"/>
          <w:sz w:val="16"/>
          <w:szCs w:val="16"/>
          <w:color w:val="auto"/>
        </w:rPr>
        <w:t>4.1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2" w:lineRule="exact"/>
        <w:rPr>
          <w:rFonts w:ascii="Times New Roman" w:cs="Times New Roman" w:eastAsia="Times New Roman" w:hAnsi="Times New Roman"/>
          <w:sz w:val="18"/>
          <w:szCs w:val="18"/>
          <w:u w:val="single" w:color="auto"/>
          <w:color w:val="0000FF"/>
        </w:rPr>
      </w:pPr>
    </w:p>
    <w:p>
      <w:pPr>
        <w:spacing w:after="0"/>
        <w:tabs>
          <w:tab w:leader="none" w:pos="1120" w:val="left"/>
          <w:tab w:leader="none" w:pos="2540" w:val="left"/>
          <w:tab w:leader="none" w:pos="42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001-14195</w:t>
      </w:r>
      <w:r>
        <w:rPr>
          <w:sz w:val="20"/>
          <w:szCs w:val="20"/>
          <w:color w:val="auto"/>
        </w:rPr>
        <w:tab/>
      </w:r>
      <w:r>
        <w:rPr>
          <w:rFonts w:ascii="Times New Roman" w:cs="Times New Roman" w:eastAsia="Times New Roman" w:hAnsi="Times New Roman"/>
          <w:sz w:val="18"/>
          <w:szCs w:val="18"/>
          <w:color w:val="auto"/>
        </w:rPr>
        <w:t>May 21, 2021</w:t>
      </w:r>
      <w:r>
        <w:rPr>
          <w:sz w:val="20"/>
          <w:szCs w:val="20"/>
          <w:color w:val="auto"/>
        </w:rPr>
        <w:tab/>
      </w:r>
      <w:r>
        <w:rPr>
          <w:rFonts w:ascii="Times New Roman" w:cs="Times New Roman" w:eastAsia="Times New Roman" w:hAnsi="Times New Roman"/>
          <w:sz w:val="16"/>
          <w:szCs w:val="16"/>
          <w:color w:val="auto"/>
        </w:rPr>
        <w:t>4.1</w:t>
      </w:r>
    </w:p>
    <w:p>
      <w:pPr>
        <w:spacing w:after="0" w:line="5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780" w:space="720"/>
            <w:col w:w="47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4.19</w:t>
            </w:r>
          </w:p>
        </w:tc>
        <w:tc>
          <w:tcPr>
            <w:tcW w:w="5080" w:type="dxa"/>
            <w:vAlign w:val="bottom"/>
            <w:gridSpan w:val="6"/>
            <w:shd w:val="clear" w:color="auto" w:fill="CCEEFF"/>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Supplemental Indenture No. 10, dated as of September 27, 2021, to</w:t>
              </w:r>
            </w:hyperlink>
          </w:p>
        </w:tc>
        <w:tc>
          <w:tcPr>
            <w:tcW w:w="10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720" w:type="dxa"/>
            <w:vAlign w:val="bottom"/>
            <w:tcBorders>
              <w:top w:val="single" w:sz="8" w:color="0000FF"/>
            </w:tcBorders>
            <w:gridSpan w:val="5"/>
            <w:shd w:val="clear" w:color="auto" w:fill="CCEEFF"/>
          </w:tcPr>
          <w:p>
            <w:pPr>
              <w:spacing w:after="0" w:line="15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Indenture dated as of June 4, 2019, by and between American</w:t>
              </w:r>
            </w:hyperlink>
          </w:p>
        </w:tc>
        <w:tc>
          <w:tcPr>
            <w:tcW w:w="36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4160" w:type="dxa"/>
            <w:vAlign w:val="bottom"/>
            <w:tcBorders>
              <w:top w:val="single" w:sz="8" w:color="0000FF"/>
              <w:bottom w:val="single" w:sz="8" w:color="0000FF"/>
            </w:tcBorders>
            <w:gridSpan w:val="2"/>
            <w:shd w:val="clear" w:color="auto" w:fill="CCEEFF"/>
          </w:tcPr>
          <w:p>
            <w:pPr>
              <w:spacing w:after="0" w:line="15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Tower Corporation and U.S. Bank National Association, as</w:t>
              </w:r>
            </w:hyperlink>
          </w:p>
        </w:tc>
        <w:tc>
          <w:tcPr>
            <w:tcW w:w="180" w:type="dxa"/>
            <w:vAlign w:val="bottom"/>
            <w:tcBorders>
              <w:top w:val="single" w:sz="8" w:color="0000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1680" w:type="dxa"/>
            <w:vAlign w:val="bottom"/>
            <w:tcBorders>
              <w:top w:val="single" w:sz="8" w:color="CCEEFF"/>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September 27,</w:t>
            </w: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shd w:val="clear" w:color="auto" w:fill="CCEEFF"/>
          </w:tcPr>
          <w:p>
            <w:pPr>
              <w:spacing w:after="0"/>
              <w:rPr>
                <w:sz w:val="14"/>
                <w:szCs w:val="14"/>
                <w:color w:val="auto"/>
              </w:rPr>
            </w:pPr>
          </w:p>
        </w:tc>
        <w:tc>
          <w:tcPr>
            <w:tcW w:w="5080" w:type="dxa"/>
            <w:vAlign w:val="bottom"/>
            <w:gridSpan w:val="6"/>
            <w:shd w:val="clear" w:color="auto" w:fill="CCEEFF"/>
          </w:tcPr>
          <w:p>
            <w:pPr>
              <w:spacing w:after="0" w:line="164"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Trustee, for the 1.450% Senior Notes due 2026 and the 2.300%</w:t>
              </w:r>
            </w:hyperlink>
          </w:p>
        </w:tc>
        <w:tc>
          <w:tcPr>
            <w:tcW w:w="10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440" w:type="dxa"/>
            <w:vAlign w:val="bottom"/>
            <w:tcBorders>
              <w:top w:val="single" w:sz="8" w:color="0000FF"/>
            </w:tcBorders>
            <w:gridSpan w:val="4"/>
            <w:shd w:val="clear" w:color="auto" w:fill="CCEEFF"/>
          </w:tcPr>
          <w:p>
            <w:pPr>
              <w:spacing w:after="0" w:line="138"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Senior Notes due 2031</w:t>
              </w:r>
            </w:hyperlink>
          </w:p>
        </w:tc>
        <w:tc>
          <w:tcPr>
            <w:tcW w:w="640" w:type="dxa"/>
            <w:vAlign w:val="bottom"/>
            <w:tcBorders>
              <w:top w:val="single" w:sz="8" w:color="CCEEFF"/>
            </w:tcBorders>
            <w:gridSpan w:val="2"/>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ind w:left="340"/>
              <w:spacing w:after="0" w:line="131" w:lineRule="exact"/>
              <w:rPr>
                <w:sz w:val="20"/>
                <w:szCs w:val="20"/>
                <w:color w:val="auto"/>
              </w:rPr>
            </w:pPr>
            <w:r>
              <w:rPr>
                <w:rFonts w:ascii="Times New Roman" w:cs="Times New Roman" w:eastAsia="Times New Roman" w:hAnsi="Times New Roman"/>
                <w:sz w:val="15"/>
                <w:szCs w:val="15"/>
                <w:color w:val="auto"/>
              </w:rPr>
              <w:t>8-K</w:t>
            </w:r>
          </w:p>
        </w:tc>
        <w:tc>
          <w:tcPr>
            <w:tcW w:w="1520" w:type="dxa"/>
            <w:vAlign w:val="bottom"/>
            <w:tcBorders>
              <w:top w:val="single" w:sz="8" w:color="CCEEFF"/>
            </w:tcBorders>
            <w:shd w:val="clear" w:color="auto" w:fill="CCEEFF"/>
          </w:tcPr>
          <w:p>
            <w:pPr>
              <w:jc w:val="right"/>
              <w:ind w:right="243"/>
              <w:spacing w:after="0" w:line="131" w:lineRule="exact"/>
              <w:rPr>
                <w:sz w:val="20"/>
                <w:szCs w:val="20"/>
                <w:color w:val="auto"/>
              </w:rPr>
            </w:pPr>
            <w:r>
              <w:rPr>
                <w:rFonts w:ascii="Times New Roman" w:cs="Times New Roman" w:eastAsia="Times New Roman" w:hAnsi="Times New Roman"/>
                <w:sz w:val="15"/>
                <w:szCs w:val="15"/>
                <w:color w:val="auto"/>
              </w:rPr>
              <w:t>001-14195</w:t>
            </w:r>
          </w:p>
        </w:tc>
        <w:tc>
          <w:tcPr>
            <w:tcW w:w="1680" w:type="dxa"/>
            <w:vAlign w:val="bottom"/>
            <w:tcBorders>
              <w:top w:val="single" w:sz="8" w:color="CCEEFF"/>
            </w:tcBorders>
            <w:shd w:val="clear" w:color="auto" w:fill="CCEEFF"/>
          </w:tcPr>
          <w:p>
            <w:pPr>
              <w:jc w:val="right"/>
              <w:ind w:right="598"/>
              <w:spacing w:after="0" w:line="131" w:lineRule="exact"/>
              <w:rPr>
                <w:sz w:val="20"/>
                <w:szCs w:val="20"/>
                <w:color w:val="auto"/>
              </w:rPr>
            </w:pPr>
            <w:r>
              <w:rPr>
                <w:rFonts w:ascii="Times New Roman" w:cs="Times New Roman" w:eastAsia="Times New Roman" w:hAnsi="Times New Roman"/>
                <w:sz w:val="15"/>
                <w:szCs w:val="15"/>
                <w:color w:val="auto"/>
              </w:rPr>
              <w:t>2021</w:t>
            </w:r>
          </w:p>
        </w:tc>
        <w:tc>
          <w:tcPr>
            <w:tcW w:w="840" w:type="dxa"/>
            <w:vAlign w:val="bottom"/>
            <w:tcBorders>
              <w:top w:val="single" w:sz="8" w:color="CCEEFF"/>
            </w:tcBorders>
            <w:shd w:val="clear" w:color="auto" w:fill="CCEEFF"/>
          </w:tcPr>
          <w:p>
            <w:pPr>
              <w:jc w:val="right"/>
              <w:ind w:right="203"/>
              <w:spacing w:after="0" w:line="131" w:lineRule="exact"/>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33"/>
        </w:trPr>
        <w:tc>
          <w:tcPr>
            <w:tcW w:w="108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0000FF"/>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5"/>
              </w:rPr>
              <w:t>4.20</w:t>
            </w:r>
          </w:p>
        </w:tc>
        <w:tc>
          <w:tcPr>
            <w:tcW w:w="4720" w:type="dxa"/>
            <w:vAlign w:val="bottom"/>
            <w:gridSpan w:val="12"/>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Supplemental Indenture No. 11, dated as of October 5, 2021, to</w:t>
              </w:r>
            </w:hyperlink>
          </w:p>
        </w:tc>
      </w:tr>
      <w:tr>
        <w:trPr>
          <w:trHeight w:val="151"/>
        </w:trPr>
        <w:tc>
          <w:tcPr>
            <w:tcW w:w="106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Indenture dated as of June 4, 2019, by and among the Company,</w:t>
              </w:r>
            </w:hyperlink>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4520" w:type="dxa"/>
            <w:vAlign w:val="bottom"/>
            <w:tcBorders>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U.S. Bank National Association, as Trustee, and Elavon Financial</w:t>
              </w:r>
            </w:hyperlink>
          </w:p>
        </w:tc>
        <w:tc>
          <w:tcPr>
            <w:tcW w:w="6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060" w:type="dxa"/>
            <w:vAlign w:val="bottom"/>
          </w:tcPr>
          <w:p>
            <w:pPr>
              <w:spacing w:after="0"/>
              <w:rPr>
                <w:sz w:val="14"/>
                <w:szCs w:val="14"/>
                <w:color w:val="auto"/>
              </w:rPr>
            </w:pPr>
          </w:p>
        </w:tc>
        <w:tc>
          <w:tcPr>
            <w:tcW w:w="4280" w:type="dxa"/>
            <w:vAlign w:val="bottom"/>
            <w:tcBorders>
              <w:bottom w:val="single" w:sz="8" w:color="0000FF"/>
            </w:tcBorders>
            <w:gridSpan w:val="4"/>
          </w:tcPr>
          <w:p>
            <w:pPr>
              <w:spacing w:after="0" w:line="164" w:lineRule="exact"/>
              <w:rPr>
                <w:rFonts w:ascii="Times New Roman" w:cs="Times New Roman" w:eastAsia="Times New Roman" w:hAnsi="Times New Roman"/>
                <w:sz w:val="18"/>
                <w:szCs w:val="18"/>
                <w:color w:val="0000FF"/>
                <w:w w:val="97"/>
              </w:rPr>
            </w:pPr>
            <w:hyperlink r:id="rId113">
              <w:r>
                <w:rPr>
                  <w:rFonts w:ascii="Times New Roman" w:cs="Times New Roman" w:eastAsia="Times New Roman" w:hAnsi="Times New Roman"/>
                  <w:sz w:val="18"/>
                  <w:szCs w:val="18"/>
                  <w:color w:val="0000FF"/>
                  <w:w w:val="97"/>
                </w:rPr>
                <w:t>Services DAC, UK Branch, as Paying Agent, for the 0.400%</w:t>
              </w:r>
            </w:hyperlink>
          </w:p>
        </w:tc>
        <w:tc>
          <w:tcPr>
            <w:tcW w:w="340" w:type="dxa"/>
            <w:vAlign w:val="bottom"/>
            <w:gridSpan w:val="6"/>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1060" w:type="dxa"/>
            <w:vAlign w:val="bottom"/>
          </w:tcPr>
          <w:p>
            <w:pPr>
              <w:spacing w:after="0"/>
              <w:rPr>
                <w:sz w:val="13"/>
                <w:szCs w:val="13"/>
                <w:color w:val="auto"/>
              </w:rPr>
            </w:pPr>
          </w:p>
        </w:tc>
        <w:tc>
          <w:tcPr>
            <w:tcW w:w="4400" w:type="dxa"/>
            <w:vAlign w:val="bottom"/>
            <w:tcBorders>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Senior Notes due 2027 and the 0.950% Senior Notes due 2030</w:t>
              </w:r>
            </w:hyperlink>
          </w:p>
        </w:tc>
        <w:tc>
          <w:tcPr>
            <w:tcW w:w="320" w:type="dxa"/>
            <w:vAlign w:val="bottom"/>
            <w:gridSpan w:val="6"/>
          </w:tcPr>
          <w:p>
            <w:pPr>
              <w:spacing w:after="0"/>
              <w:rPr>
                <w:sz w:val="13"/>
                <w:szCs w:val="13"/>
                <w:color w:val="auto"/>
              </w:rPr>
            </w:pPr>
          </w:p>
        </w:tc>
      </w:tr>
      <w:tr>
        <w:trPr>
          <w:trHeight w:val="309"/>
        </w:trPr>
        <w:tc>
          <w:tcPr>
            <w:tcW w:w="10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5"/>
              </w:rPr>
              <w:t>4.21</w:t>
            </w:r>
          </w:p>
        </w:tc>
        <w:tc>
          <w:tcPr>
            <w:tcW w:w="4720" w:type="dxa"/>
            <w:vAlign w:val="bottom"/>
            <w:gridSpan w:val="12"/>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Supplemental Indenture No. 12, dated as of April 1, 2022, to</w:t>
              </w:r>
            </w:hyperlink>
          </w:p>
        </w:tc>
      </w:tr>
      <w:tr>
        <w:trPr>
          <w:trHeight w:val="151"/>
        </w:trPr>
        <w:tc>
          <w:tcPr>
            <w:tcW w:w="106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Indenture dated as of June 4, 2019, by and between American</w:t>
              </w:r>
            </w:hyperlink>
          </w:p>
        </w:tc>
        <w:tc>
          <w:tcPr>
            <w:tcW w:w="80" w:type="dxa"/>
            <w:vAlign w:val="bottom"/>
            <w:tcBorders>
              <w:bottom w:val="single" w:sz="8" w:color="0000FF"/>
            </w:tcBorders>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4220" w:type="dxa"/>
            <w:vAlign w:val="bottom"/>
            <w:tcBorders>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Tower Corporation and U.S. Bank Trust Company, National</w:t>
              </w:r>
            </w:hyperlink>
          </w:p>
        </w:tc>
        <w:tc>
          <w:tcPr>
            <w:tcW w:w="12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060" w:type="dxa"/>
            <w:vAlign w:val="bottom"/>
          </w:tcPr>
          <w:p>
            <w:pPr>
              <w:spacing w:after="0"/>
              <w:rPr>
                <w:sz w:val="14"/>
                <w:szCs w:val="14"/>
                <w:color w:val="auto"/>
              </w:rPr>
            </w:pPr>
          </w:p>
        </w:tc>
        <w:tc>
          <w:tcPr>
            <w:tcW w:w="4720" w:type="dxa"/>
            <w:vAlign w:val="bottom"/>
            <w:gridSpan w:val="12"/>
          </w:tcPr>
          <w:p>
            <w:pPr>
              <w:spacing w:after="0" w:line="164" w:lineRule="exact"/>
              <w:rPr>
                <w:rFonts w:ascii="Times New Roman" w:cs="Times New Roman" w:eastAsia="Times New Roman" w:hAnsi="Times New Roman"/>
                <w:sz w:val="18"/>
                <w:szCs w:val="18"/>
                <w:color w:val="0000FF"/>
                <w:w w:val="97"/>
              </w:rPr>
            </w:pPr>
            <w:hyperlink r:id="rId114">
              <w:r>
                <w:rPr>
                  <w:rFonts w:ascii="Times New Roman" w:cs="Times New Roman" w:eastAsia="Times New Roman" w:hAnsi="Times New Roman"/>
                  <w:sz w:val="18"/>
                  <w:szCs w:val="18"/>
                  <w:color w:val="0000FF"/>
                  <w:w w:val="97"/>
                </w:rPr>
                <w:t>Association, as Trustee, for the 3.650% Senior Notes due 2027 and</w:t>
              </w:r>
            </w:hyperlink>
          </w:p>
        </w:tc>
      </w:tr>
      <w:tr>
        <w:trPr>
          <w:trHeight w:val="151"/>
        </w:trPr>
        <w:tc>
          <w:tcPr>
            <w:tcW w:w="1060" w:type="dxa"/>
            <w:vAlign w:val="bottom"/>
          </w:tcPr>
          <w:p>
            <w:pPr>
              <w:spacing w:after="0"/>
              <w:rPr>
                <w:sz w:val="13"/>
                <w:szCs w:val="13"/>
                <w:color w:val="auto"/>
              </w:rPr>
            </w:pPr>
          </w:p>
        </w:tc>
        <w:tc>
          <w:tcPr>
            <w:tcW w:w="4700" w:type="dxa"/>
            <w:vAlign w:val="bottom"/>
            <w:tcBorders>
              <w:top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the 4.050% Senior Notes due 2032</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09"/>
        </w:trPr>
        <w:tc>
          <w:tcPr>
            <w:tcW w:w="10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5"/>
              </w:rPr>
              <w:t>4.22</w:t>
            </w:r>
          </w:p>
        </w:tc>
        <w:tc>
          <w:tcPr>
            <w:tcW w:w="4720" w:type="dxa"/>
            <w:vAlign w:val="bottom"/>
            <w:gridSpan w:val="12"/>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Indenture dated as of June 1, 2022, by and between the Company</w:t>
              </w:r>
            </w:hyperlink>
          </w:p>
        </w:tc>
      </w:tr>
      <w:tr>
        <w:trPr>
          <w:trHeight w:val="151"/>
        </w:trPr>
        <w:tc>
          <w:tcPr>
            <w:tcW w:w="1060" w:type="dxa"/>
            <w:vAlign w:val="bottom"/>
          </w:tcPr>
          <w:p>
            <w:pPr>
              <w:spacing w:after="0"/>
              <w:rPr>
                <w:sz w:val="13"/>
                <w:szCs w:val="13"/>
                <w:color w:val="auto"/>
              </w:rPr>
            </w:pPr>
          </w:p>
        </w:tc>
        <w:tc>
          <w:tcPr>
            <w:tcW w:w="4580" w:type="dxa"/>
            <w:vAlign w:val="bottom"/>
            <w:tcBorders>
              <w:top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and U.S. Bank Trust Company, National Association, as Trustee</w:t>
              </w:r>
            </w:hyperlink>
          </w:p>
        </w:tc>
        <w:tc>
          <w:tcPr>
            <w:tcW w:w="140" w:type="dxa"/>
            <w:vAlign w:val="bottom"/>
            <w:gridSpan w:val="3"/>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-885825</wp:posOffset>
            </wp:positionV>
            <wp:extent cx="7135495" cy="593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7135495" cy="593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60"/>
        <w:spacing w:after="0"/>
        <w:tabs>
          <w:tab w:leader="none" w:pos="1280" w:val="left"/>
          <w:tab w:leader="none" w:pos="2620" w:val="left"/>
          <w:tab w:leader="none" w:pos="43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001-14195</w:t>
      </w:r>
      <w:r>
        <w:rPr>
          <w:sz w:val="20"/>
          <w:szCs w:val="20"/>
          <w:color w:val="auto"/>
        </w:rPr>
        <w:tab/>
      </w:r>
      <w:r>
        <w:rPr>
          <w:rFonts w:ascii="Times New Roman" w:cs="Times New Roman" w:eastAsia="Times New Roman" w:hAnsi="Times New Roman"/>
          <w:sz w:val="18"/>
          <w:szCs w:val="18"/>
          <w:color w:val="auto"/>
        </w:rPr>
        <w:t>October 5, 2021</w:t>
      </w:r>
      <w:r>
        <w:rPr>
          <w:sz w:val="20"/>
          <w:szCs w:val="20"/>
          <w:color w:val="auto"/>
        </w:rPr>
        <w:tab/>
      </w:r>
      <w:r>
        <w:rPr>
          <w:rFonts w:ascii="Times New Roman" w:cs="Times New Roman" w:eastAsia="Times New Roman" w:hAnsi="Times New Roman"/>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2"/>
              </w:rPr>
              <w:t>8-K</w:t>
            </w: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001-14195</w:t>
            </w:r>
          </w:p>
        </w:tc>
        <w:tc>
          <w:tcPr>
            <w:tcW w:w="1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April 1, 2022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501"/>
        </w:trPr>
        <w:tc>
          <w:tcPr>
            <w:tcW w:w="92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6"/>
              </w:rPr>
              <w:t>S-3ASR</w:t>
            </w: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333-265348</w:t>
            </w: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1, 2022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bl>
    <w:p>
      <w:pPr>
        <w:spacing w:after="0" w:line="200" w:lineRule="exact"/>
        <w:rPr>
          <w:sz w:val="20"/>
          <w:szCs w:val="20"/>
          <w:color w:val="auto"/>
        </w:rPr>
      </w:pPr>
    </w:p>
    <w:p>
      <w:pPr>
        <w:sectPr>
          <w:pgSz w:w="11900" w:h="16838" w:orient="portrait"/>
          <w:cols w:equalWidth="0" w:num="2">
            <w:col w:w="5780" w:space="560"/>
            <w:col w:w="49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20" w:type="dxa"/>
            <w:vAlign w:val="bottom"/>
            <w:gridSpan w:val="17"/>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380" w:type="dxa"/>
            <w:vAlign w:val="bottom"/>
          </w:tcPr>
          <w:p>
            <w:pPr>
              <w:spacing w:after="0"/>
              <w:rPr>
                <w:sz w:val="18"/>
                <w:szCs w:val="18"/>
                <w:color w:val="auto"/>
              </w:rPr>
            </w:pPr>
          </w:p>
        </w:tc>
        <w:tc>
          <w:tcPr>
            <w:tcW w:w="4720" w:type="dxa"/>
            <w:vAlign w:val="bottom"/>
            <w:gridSpan w:val="19"/>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Supplemental Indenture No. 1, dated as of March 3, 2023, to</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Indenture dated as of June 1, 2022, by and between American</w:t>
              </w:r>
            </w:hyperlink>
          </w:p>
        </w:tc>
        <w:tc>
          <w:tcPr>
            <w:tcW w:w="8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40" w:type="dxa"/>
            <w:vAlign w:val="bottom"/>
            <w:tcBorders>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Tower Corporation and U.S. Bank Trust Company, National</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20" w:type="dxa"/>
            <w:vAlign w:val="bottom"/>
            <w:gridSpan w:val="19"/>
          </w:tcPr>
          <w:p>
            <w:pPr>
              <w:spacing w:after="0" w:line="164" w:lineRule="exact"/>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Association, as Trustee, for the 5.500% Senior Notes due 2028 and</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70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the 5.650% Senior Notes due 2033</w:t>
              </w:r>
            </w:hyperlink>
          </w:p>
        </w:tc>
        <w:tc>
          <w:tcPr>
            <w:tcW w:w="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380" w:type="dxa"/>
            <w:vAlign w:val="bottom"/>
          </w:tcPr>
          <w:p>
            <w:pPr>
              <w:spacing w:after="0"/>
              <w:rPr>
                <w:sz w:val="24"/>
                <w:szCs w:val="24"/>
                <w:color w:val="auto"/>
              </w:rPr>
            </w:pPr>
          </w:p>
        </w:tc>
        <w:tc>
          <w:tcPr>
            <w:tcW w:w="42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119">
              <w:r>
                <w:rPr>
                  <w:rFonts w:ascii="Times New Roman" w:cs="Times New Roman" w:eastAsia="Times New Roman" w:hAnsi="Times New Roman"/>
                  <w:sz w:val="18"/>
                  <w:szCs w:val="18"/>
                  <w:color w:val="0000FF"/>
                  <w:w w:val="97"/>
                </w:rPr>
                <w:t>Supplemental Indenture No. 2, dated as of May 16, 2023, to</w:t>
              </w:r>
            </w:hyperlink>
          </w:p>
        </w:tc>
        <w:tc>
          <w:tcPr>
            <w:tcW w:w="500" w:type="dxa"/>
            <w:vAlign w:val="bottom"/>
            <w:gridSpan w:val="13"/>
          </w:tcPr>
          <w:p>
            <w:pPr>
              <w:spacing w:after="0"/>
              <w:rPr>
                <w:sz w:val="24"/>
                <w:szCs w:val="24"/>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720" w:type="dxa"/>
            <w:vAlign w:val="bottom"/>
            <w:gridSpan w:val="19"/>
          </w:tcPr>
          <w:p>
            <w:pPr>
              <w:spacing w:after="0" w:line="15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Indenture dated as of June 1, 2022 by and among the Company,</w:t>
              </w:r>
            </w:hyperlink>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60" w:type="dxa"/>
            <w:vAlign w:val="bottom"/>
            <w:tcBorders>
              <w:bottom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U.S. Bank Trust Company, National Association, as Trustee, and</w:t>
              </w:r>
            </w:hyperlink>
          </w:p>
        </w:tc>
        <w:tc>
          <w:tcPr>
            <w:tcW w:w="160" w:type="dxa"/>
            <w:vAlign w:val="bottom"/>
            <w:gridSpan w:val="5"/>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20" w:type="dxa"/>
            <w:vAlign w:val="bottom"/>
            <w:gridSpan w:val="19"/>
          </w:tcPr>
          <w:p>
            <w:pPr>
              <w:spacing w:after="0" w:line="164" w:lineRule="exact"/>
              <w:rPr>
                <w:rFonts w:ascii="Times New Roman" w:cs="Times New Roman" w:eastAsia="Times New Roman" w:hAnsi="Times New Roman"/>
                <w:sz w:val="18"/>
                <w:szCs w:val="18"/>
                <w:color w:val="0000FF"/>
                <w:w w:val="98"/>
              </w:rPr>
            </w:pPr>
            <w:hyperlink r:id="rId119">
              <w:r>
                <w:rPr>
                  <w:rFonts w:ascii="Times New Roman" w:cs="Times New Roman" w:eastAsia="Times New Roman" w:hAnsi="Times New Roman"/>
                  <w:sz w:val="18"/>
                  <w:szCs w:val="18"/>
                  <w:color w:val="0000FF"/>
                  <w:w w:val="98"/>
                </w:rPr>
                <w:t>Elavon Financial Services DAC, UK Branch, as Paying Agent, for</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6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the 4.125% Senior Notes due 2027 and the 4.625% Senior Notes</w:t>
              </w:r>
            </w:hyperlink>
          </w:p>
        </w:tc>
        <w:tc>
          <w:tcPr>
            <w:tcW w:w="60" w:type="dxa"/>
            <w:vAlign w:val="bottom"/>
            <w:gridSpan w:val="2"/>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4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due 2031</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380" w:type="dxa"/>
            <w:vAlign w:val="bottom"/>
          </w:tcPr>
          <w:p>
            <w:pPr>
              <w:spacing w:after="0"/>
              <w:rPr>
                <w:sz w:val="24"/>
                <w:szCs w:val="24"/>
                <w:color w:val="auto"/>
              </w:rPr>
            </w:pPr>
          </w:p>
        </w:tc>
        <w:tc>
          <w:tcPr>
            <w:tcW w:w="4720" w:type="dxa"/>
            <w:vAlign w:val="bottom"/>
            <w:gridSpan w:val="19"/>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Supplemental Indenture No. 3, dated as of May 25, 2023, to</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2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Indenture dated as of June 1, 2022, by and between American</w:t>
              </w:r>
            </w:hyperlink>
          </w:p>
        </w:tc>
        <w:tc>
          <w:tcPr>
            <w:tcW w:w="140" w:type="dxa"/>
            <w:vAlign w:val="bottom"/>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Tower Corporation and U.S. Bank Trust Company, National</w:t>
              </w:r>
            </w:hyperlink>
          </w:p>
        </w:tc>
        <w:tc>
          <w:tcPr>
            <w:tcW w:w="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20" w:type="dxa"/>
            <w:vAlign w:val="bottom"/>
            <w:gridSpan w:val="19"/>
          </w:tcPr>
          <w:p>
            <w:pPr>
              <w:spacing w:after="0" w:line="164" w:lineRule="exact"/>
              <w:rPr>
                <w:rFonts w:ascii="Times New Roman" w:cs="Times New Roman" w:eastAsia="Times New Roman" w:hAnsi="Times New Roman"/>
                <w:sz w:val="18"/>
                <w:szCs w:val="18"/>
                <w:color w:val="0000FF"/>
                <w:w w:val="97"/>
              </w:rPr>
            </w:pPr>
            <w:hyperlink r:id="rId120">
              <w:r>
                <w:rPr>
                  <w:rFonts w:ascii="Times New Roman" w:cs="Times New Roman" w:eastAsia="Times New Roman" w:hAnsi="Times New Roman"/>
                  <w:sz w:val="18"/>
                  <w:szCs w:val="18"/>
                  <w:color w:val="0000FF"/>
                  <w:w w:val="97"/>
                </w:rPr>
                <w:t>Association, as Trustee, for the 5.250% Senior Notes due 2028 and</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70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the 5.550% Senior Notes due 2033</w:t>
              </w:r>
            </w:hyperlink>
          </w:p>
        </w:tc>
        <w:tc>
          <w:tcPr>
            <w:tcW w:w="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4.26</w:t>
            </w:r>
          </w:p>
        </w:tc>
        <w:tc>
          <w:tcPr>
            <w:tcW w:w="380" w:type="dxa"/>
            <w:vAlign w:val="bottom"/>
          </w:tcPr>
          <w:p>
            <w:pPr>
              <w:spacing w:after="0"/>
              <w:rPr>
                <w:sz w:val="24"/>
                <w:szCs w:val="24"/>
                <w:color w:val="auto"/>
              </w:rPr>
            </w:pPr>
          </w:p>
        </w:tc>
        <w:tc>
          <w:tcPr>
            <w:tcW w:w="4720" w:type="dxa"/>
            <w:vAlign w:val="bottom"/>
            <w:gridSpan w:val="19"/>
          </w:tcPr>
          <w:p>
            <w:pPr>
              <w:spacing w:after="0"/>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Supplemental Indenture No. 4, dated as of September 15, 2023, to</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4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Indenture dated as of June 1, 2022, by and between American</w:t>
              </w:r>
            </w:hyperlink>
          </w:p>
        </w:tc>
        <w:tc>
          <w:tcPr>
            <w:tcW w:w="80" w:type="dxa"/>
            <w:vAlign w:val="bottom"/>
            <w:gridSpan w:val="3"/>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Tower Corporation and U.S. Bank Trust Company, National</w:t>
              </w:r>
            </w:hyperlink>
          </w:p>
        </w:tc>
        <w:tc>
          <w:tcPr>
            <w:tcW w:w="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20" w:type="dxa"/>
            <w:vAlign w:val="bottom"/>
            <w:gridSpan w:val="19"/>
          </w:tcPr>
          <w:p>
            <w:pPr>
              <w:spacing w:after="0" w:line="164" w:lineRule="exact"/>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Association, as Trustee, for the 5.800% Senior Notes due 2028 and</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70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the 5.900% Senior Notes due 2033</w:t>
              </w:r>
            </w:hyperlink>
          </w:p>
        </w:tc>
        <w:tc>
          <w:tcPr>
            <w:tcW w:w="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380" w:type="dxa"/>
            <w:vAlign w:val="bottom"/>
          </w:tcPr>
          <w:p>
            <w:pPr>
              <w:spacing w:after="0"/>
              <w:rPr>
                <w:sz w:val="23"/>
                <w:szCs w:val="23"/>
                <w:color w:val="auto"/>
              </w:rPr>
            </w:pPr>
          </w:p>
        </w:tc>
        <w:tc>
          <w:tcPr>
            <w:tcW w:w="42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7"/>
              </w:rPr>
            </w:pPr>
            <w:hyperlink r:id="rId122">
              <w:r>
                <w:rPr>
                  <w:rFonts w:ascii="Times New Roman" w:cs="Times New Roman" w:eastAsia="Times New Roman" w:hAnsi="Times New Roman"/>
                  <w:sz w:val="18"/>
                  <w:szCs w:val="18"/>
                  <w:color w:val="0000FF"/>
                  <w:w w:val="97"/>
                </w:rPr>
                <w:t>Supplemental Indenture No. 5, dated as of March 7, 2024, to</w:t>
              </w:r>
            </w:hyperlink>
          </w:p>
        </w:tc>
        <w:tc>
          <w:tcPr>
            <w:tcW w:w="460" w:type="dxa"/>
            <w:vAlign w:val="bottom"/>
            <w:gridSpan w:val="11"/>
          </w:tcPr>
          <w:p>
            <w:pPr>
              <w:spacing w:after="0"/>
              <w:rPr>
                <w:sz w:val="23"/>
                <w:szCs w:val="2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720" w:type="dxa"/>
            <w:vAlign w:val="bottom"/>
            <w:gridSpan w:val="19"/>
          </w:tcPr>
          <w:p>
            <w:pPr>
              <w:spacing w:after="0" w:line="15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Indenture dated as of June 1, 2022, by and between the Company</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8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and U.S. Bank Trust Company, National Association, as Trustee,</w:t>
              </w:r>
            </w:hyperlink>
          </w:p>
        </w:tc>
        <w:tc>
          <w:tcPr>
            <w:tcW w:w="140" w:type="dxa"/>
            <w:vAlign w:val="bottom"/>
            <w:gridSpan w:val="4"/>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560" w:type="dxa"/>
            <w:vAlign w:val="bottom"/>
            <w:tcBorders>
              <w:top w:val="single" w:sz="8" w:color="0000FF"/>
            </w:tcBorders>
            <w:gridSpan w:val="14"/>
          </w:tcPr>
          <w:p>
            <w:pPr>
              <w:spacing w:after="0" w:line="164"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 the 5.200% Senior Notes due 2029 and the 5.450% Senior</w:t>
              </w:r>
            </w:hyperlink>
          </w:p>
        </w:tc>
        <w:tc>
          <w:tcPr>
            <w:tcW w:w="160" w:type="dxa"/>
            <w:vAlign w:val="bottom"/>
            <w:gridSpan w:val="5"/>
          </w:tcPr>
          <w:p>
            <w:pPr>
              <w:spacing w:after="0"/>
              <w:rPr>
                <w:sz w:val="14"/>
                <w:szCs w:val="14"/>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Notes due 2034</w:t>
              </w:r>
            </w:hyperlink>
          </w:p>
        </w:tc>
        <w:tc>
          <w:tcPr>
            <w:tcW w:w="3260" w:type="dxa"/>
            <w:vAlign w:val="bottom"/>
            <w:tcBorders>
              <w:top w:val="single" w:sz="8" w:color="0000FF"/>
            </w:tcBorders>
            <w:gridSpan w:val="8"/>
          </w:tcPr>
          <w:p>
            <w:pPr>
              <w:spacing w:after="0"/>
              <w:rPr>
                <w:sz w:val="13"/>
                <w:szCs w:val="13"/>
                <w:color w:val="auto"/>
              </w:rPr>
            </w:pPr>
          </w:p>
        </w:tc>
        <w:tc>
          <w:tcPr>
            <w:tcW w:w="160" w:type="dxa"/>
            <w:vAlign w:val="bottom"/>
            <w:gridSpan w:val="2"/>
          </w:tcPr>
          <w:p>
            <w:pPr>
              <w:spacing w:after="0"/>
              <w:rPr>
                <w:sz w:val="13"/>
                <w:szCs w:val="13"/>
                <w:color w:val="auto"/>
              </w:rPr>
            </w:pPr>
          </w:p>
        </w:tc>
        <w:tc>
          <w:tcPr>
            <w:tcW w:w="200" w:type="dxa"/>
            <w:vAlign w:val="bottom"/>
            <w:gridSpan w:val="7"/>
          </w:tcPr>
          <w:p>
            <w:pPr>
              <w:spacing w:after="0"/>
              <w:rPr>
                <w:sz w:val="13"/>
                <w:szCs w:val="13"/>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4.28</w:t>
            </w:r>
          </w:p>
        </w:tc>
        <w:tc>
          <w:tcPr>
            <w:tcW w:w="380" w:type="dxa"/>
            <w:vAlign w:val="bottom"/>
          </w:tcPr>
          <w:p>
            <w:pPr>
              <w:spacing w:after="0"/>
              <w:rPr>
                <w:sz w:val="24"/>
                <w:szCs w:val="24"/>
                <w:color w:val="auto"/>
              </w:rPr>
            </w:pPr>
          </w:p>
        </w:tc>
        <w:tc>
          <w:tcPr>
            <w:tcW w:w="42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123">
              <w:r>
                <w:rPr>
                  <w:rFonts w:ascii="Times New Roman" w:cs="Times New Roman" w:eastAsia="Times New Roman" w:hAnsi="Times New Roman"/>
                  <w:sz w:val="18"/>
                  <w:szCs w:val="18"/>
                  <w:color w:val="0000FF"/>
                  <w:w w:val="97"/>
                </w:rPr>
                <w:t>Supplemental Indenture No. 6, dated as of May 29, 2024, to</w:t>
              </w:r>
            </w:hyperlink>
          </w:p>
        </w:tc>
        <w:tc>
          <w:tcPr>
            <w:tcW w:w="500" w:type="dxa"/>
            <w:vAlign w:val="bottom"/>
            <w:gridSpan w:val="13"/>
          </w:tcPr>
          <w:p>
            <w:pPr>
              <w:spacing w:after="0"/>
              <w:rPr>
                <w:sz w:val="24"/>
                <w:szCs w:val="24"/>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720" w:type="dxa"/>
            <w:vAlign w:val="bottom"/>
            <w:gridSpan w:val="19"/>
          </w:tcPr>
          <w:p>
            <w:pPr>
              <w:spacing w:after="0" w:line="15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Indenture dated as of June 1, 2022, by and among the Company,</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U.S. Bank Trust Company, National Association, as Trustee, and</w:t>
              </w:r>
            </w:hyperlink>
          </w:p>
        </w:tc>
        <w:tc>
          <w:tcPr>
            <w:tcW w:w="40" w:type="dxa"/>
            <w:vAlign w:val="bottom"/>
            <w:tcBorders>
              <w:bottom w:val="single" w:sz="8" w:color="0000FF"/>
            </w:tcBorders>
            <w:gridSpan w:val="2"/>
          </w:tcPr>
          <w:p>
            <w:pPr>
              <w:spacing w:after="0"/>
              <w:rPr>
                <w:sz w:val="13"/>
                <w:szCs w:val="13"/>
                <w:color w:val="auto"/>
              </w:rPr>
            </w:pPr>
          </w:p>
        </w:tc>
        <w:tc>
          <w:tcPr>
            <w:tcW w:w="160" w:type="dxa"/>
            <w:vAlign w:val="bottom"/>
            <w:gridSpan w:val="5"/>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-3688715</wp:posOffset>
            </wp:positionV>
            <wp:extent cx="7135495" cy="593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7135495" cy="5937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-2274570</wp:posOffset>
            </wp:positionV>
            <wp:extent cx="7135495" cy="593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7135495" cy="5937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-995045</wp:posOffset>
            </wp:positionV>
            <wp:extent cx="7135495" cy="593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7135495" cy="593725"/>
                    </a:xfrm>
                    <a:prstGeom prst="rect">
                      <a:avLst/>
                    </a:prstGeom>
                    <a:noFill/>
                  </pic:spPr>
                </pic:pic>
              </a:graphicData>
            </a:graphic>
          </wp:anchor>
        </w:drawing>
      </w:r>
    </w:p>
    <w:p>
      <w:pPr>
        <w:ind w:left="1080" w:right="40"/>
        <w:spacing w:after="0" w:line="213"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Elavon Financial Services DAC, UK Branch, as Paying Agent, for</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the 3.900% Senior Notes due 2030 and the 4.100% Senior Notes</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due 2034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5" w:lineRule="exact"/>
        <w:rPr>
          <w:rFonts w:ascii="Times New Roman" w:cs="Times New Roman" w:eastAsia="Times New Roman" w:hAnsi="Times New Roman"/>
          <w:sz w:val="18"/>
          <w:szCs w:val="18"/>
          <w:u w:val="single" w:color="auto"/>
          <w:color w:val="0000FF"/>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8"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158"/>
        </w:trPr>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Form</w:t>
            </w:r>
          </w:p>
        </w:tc>
        <w:tc>
          <w:tcPr>
            <w:tcW w:w="4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File No.</w:t>
            </w:r>
          </w:p>
        </w:tc>
        <w:tc>
          <w:tcPr>
            <w:tcW w:w="4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Date of Filing</w:t>
            </w:r>
          </w:p>
        </w:tc>
        <w:tc>
          <w:tcPr>
            <w:tcW w:w="3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Exhibit No.</w:t>
            </w:r>
          </w:p>
        </w:tc>
        <w:tc>
          <w:tcPr>
            <w:tcW w:w="40" w:type="dxa"/>
            <w:vAlign w:val="bottom"/>
            <w:tcBorders>
              <w:top w:val="single" w:sz="8" w:color="auto"/>
            </w:tcBorders>
          </w:tcPr>
          <w:p>
            <w:pPr>
              <w:spacing w:after="0"/>
              <w:rPr>
                <w:sz w:val="13"/>
                <w:szCs w:val="13"/>
                <w:color w:val="auto"/>
              </w:rPr>
            </w:pPr>
          </w:p>
        </w:tc>
      </w:tr>
      <w:tr>
        <w:trPr>
          <w:trHeight w:val="967"/>
        </w:trPr>
        <w:tc>
          <w:tcPr>
            <w:tcW w:w="320" w:type="dxa"/>
            <w:vAlign w:val="bottom"/>
          </w:tcPr>
          <w:p>
            <w:pPr>
              <w:spacing w:after="0"/>
              <w:rPr>
                <w:sz w:val="24"/>
                <w:szCs w:val="24"/>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8-K</w:t>
            </w:r>
          </w:p>
        </w:tc>
        <w:tc>
          <w:tcPr>
            <w:tcW w:w="15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March 3, 2023</w:t>
            </w:r>
          </w:p>
        </w:tc>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24"/>
                <w:szCs w:val="24"/>
                <w:color w:val="auto"/>
              </w:rPr>
            </w:pPr>
          </w:p>
        </w:tc>
      </w:tr>
      <w:tr>
        <w:trPr>
          <w:trHeight w:val="1199"/>
        </w:trPr>
        <w:tc>
          <w:tcPr>
            <w:tcW w:w="320" w:type="dxa"/>
            <w:vAlign w:val="bottom"/>
          </w:tcPr>
          <w:p>
            <w:pPr>
              <w:spacing w:after="0"/>
              <w:rPr>
                <w:sz w:val="24"/>
                <w:szCs w:val="24"/>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8-K</w:t>
            </w:r>
          </w:p>
        </w:tc>
        <w:tc>
          <w:tcPr>
            <w:tcW w:w="15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7"/>
              </w:rPr>
              <w:t>May 16, 2023</w:t>
            </w:r>
          </w:p>
        </w:tc>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24"/>
                <w:szCs w:val="24"/>
                <w:color w:val="auto"/>
              </w:rPr>
            </w:pPr>
          </w:p>
        </w:tc>
      </w:tr>
      <w:tr>
        <w:trPr>
          <w:trHeight w:val="1028"/>
        </w:trPr>
        <w:tc>
          <w:tcPr>
            <w:tcW w:w="320" w:type="dxa"/>
            <w:vAlign w:val="bottom"/>
          </w:tcPr>
          <w:p>
            <w:pPr>
              <w:spacing w:after="0"/>
              <w:rPr>
                <w:sz w:val="24"/>
                <w:szCs w:val="24"/>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8-K</w:t>
            </w:r>
          </w:p>
        </w:tc>
        <w:tc>
          <w:tcPr>
            <w:tcW w:w="15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7"/>
              </w:rPr>
              <w:t>May 25, 2023</w:t>
            </w:r>
          </w:p>
        </w:tc>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24"/>
                <w:szCs w:val="24"/>
                <w:color w:val="auto"/>
              </w:rPr>
            </w:pPr>
          </w:p>
        </w:tc>
      </w:tr>
      <w:tr>
        <w:trPr>
          <w:trHeight w:val="791"/>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8"/>
              </w:rPr>
              <w:t>September 15,</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6"/>
        </w:trPr>
        <w:tc>
          <w:tcPr>
            <w:tcW w:w="320" w:type="dxa"/>
            <w:vAlign w:val="bottom"/>
          </w:tcPr>
          <w:p>
            <w:pPr>
              <w:spacing w:after="0"/>
              <w:rPr>
                <w:sz w:val="20"/>
                <w:szCs w:val="20"/>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8-K</w:t>
            </w:r>
          </w:p>
        </w:tc>
        <w:tc>
          <w:tcPr>
            <w:tcW w:w="15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7"/>
              </w:rPr>
              <w:t>001-14195</w:t>
            </w:r>
          </w:p>
        </w:tc>
        <w:tc>
          <w:tcPr>
            <w:tcW w:w="1240" w:type="dxa"/>
            <w:vAlign w:val="bottom"/>
            <w:gridSpan w:val="2"/>
          </w:tcPr>
          <w:p>
            <w:pPr>
              <w:jc w:val="center"/>
              <w:ind w:left="312"/>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20"/>
                <w:szCs w:val="20"/>
                <w:color w:val="auto"/>
              </w:rPr>
            </w:pPr>
          </w:p>
        </w:tc>
      </w:tr>
      <w:tr>
        <w:trPr>
          <w:trHeight w:val="988"/>
        </w:trPr>
        <w:tc>
          <w:tcPr>
            <w:tcW w:w="320" w:type="dxa"/>
            <w:vAlign w:val="bottom"/>
          </w:tcPr>
          <w:p>
            <w:pPr>
              <w:spacing w:after="0"/>
              <w:rPr>
                <w:sz w:val="24"/>
                <w:szCs w:val="24"/>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8-K</w:t>
            </w:r>
          </w:p>
        </w:tc>
        <w:tc>
          <w:tcPr>
            <w:tcW w:w="15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March 7, 2024</w:t>
            </w:r>
          </w:p>
        </w:tc>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24"/>
                <w:szCs w:val="24"/>
                <w:color w:val="auto"/>
              </w:rPr>
            </w:pPr>
          </w:p>
        </w:tc>
      </w:tr>
      <w:tr>
        <w:trPr>
          <w:trHeight w:val="1199"/>
        </w:trPr>
        <w:tc>
          <w:tcPr>
            <w:tcW w:w="320" w:type="dxa"/>
            <w:vAlign w:val="bottom"/>
          </w:tcPr>
          <w:p>
            <w:pPr>
              <w:spacing w:after="0"/>
              <w:rPr>
                <w:sz w:val="24"/>
                <w:szCs w:val="24"/>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8-K</w:t>
            </w:r>
          </w:p>
        </w:tc>
        <w:tc>
          <w:tcPr>
            <w:tcW w:w="15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7"/>
              </w:rPr>
              <w:t>May 29, 2024</w:t>
            </w:r>
          </w:p>
        </w:tc>
        <w:tc>
          <w:tcPr>
            <w:tcW w:w="9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24"/>
                <w:szCs w:val="24"/>
                <w:color w:val="auto"/>
              </w:rPr>
            </w:pPr>
          </w:p>
        </w:tc>
      </w:tr>
    </w:tbl>
    <w:p>
      <w:pPr>
        <w:spacing w:after="0" w:line="7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780" w:space="360"/>
            <w:col w:w="51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4.29</w:t>
            </w:r>
          </w:p>
        </w:tc>
        <w:tc>
          <w:tcPr>
            <w:tcW w:w="5060" w:type="dxa"/>
            <w:vAlign w:val="bottom"/>
            <w:gridSpan w:val="6"/>
            <w:shd w:val="clear" w:color="auto" w:fill="CCEEFF"/>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Supplemental Indenture No. 7, dated as of November 21, 2024, to</w:t>
              </w:r>
            </w:hyperlink>
          </w:p>
        </w:tc>
        <w:tc>
          <w:tcPr>
            <w:tcW w:w="10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620" w:type="dxa"/>
            <w:vAlign w:val="bottom"/>
            <w:tcBorders>
              <w:top w:val="single" w:sz="8" w:color="0000FF"/>
            </w:tcBorders>
            <w:gridSpan w:val="4"/>
            <w:shd w:val="clear" w:color="auto" w:fill="CCEEFF"/>
          </w:tcPr>
          <w:p>
            <w:pPr>
              <w:spacing w:after="0" w:line="15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Indenture dated as of June 1, 2022, by and between American</w:t>
              </w:r>
            </w:hyperlink>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4220" w:type="dxa"/>
            <w:vAlign w:val="bottom"/>
            <w:tcBorders>
              <w:top w:val="single" w:sz="8" w:color="0000FF"/>
              <w:bottom w:val="single" w:sz="8" w:color="0000FF"/>
            </w:tcBorders>
            <w:gridSpan w:val="2"/>
            <w:shd w:val="clear" w:color="auto" w:fill="CCEEFF"/>
          </w:tcPr>
          <w:p>
            <w:pPr>
              <w:spacing w:after="0" w:line="15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Tower Corporation and U.S. Bank Trust Company, National</w:t>
              </w:r>
            </w:hyperlink>
          </w:p>
        </w:tc>
        <w:tc>
          <w:tcPr>
            <w:tcW w:w="120" w:type="dxa"/>
            <w:vAlign w:val="bottom"/>
            <w:tcBorders>
              <w:top w:val="single" w:sz="8" w:color="0000FF"/>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6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1680" w:type="dxa"/>
            <w:vAlign w:val="bottom"/>
            <w:tcBorders>
              <w:top w:val="single" w:sz="8" w:color="CCEEFF"/>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November 21,</w:t>
            </w: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shd w:val="clear" w:color="auto" w:fill="CCEEFF"/>
          </w:tcPr>
          <w:p>
            <w:pPr>
              <w:spacing w:after="0"/>
              <w:rPr>
                <w:sz w:val="14"/>
                <w:szCs w:val="14"/>
                <w:color w:val="auto"/>
              </w:rPr>
            </w:pPr>
          </w:p>
        </w:tc>
        <w:tc>
          <w:tcPr>
            <w:tcW w:w="5060" w:type="dxa"/>
            <w:vAlign w:val="bottom"/>
            <w:gridSpan w:val="6"/>
            <w:shd w:val="clear" w:color="auto" w:fill="CCEEFF"/>
          </w:tcPr>
          <w:p>
            <w:pPr>
              <w:spacing w:after="0" w:line="164"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Association, as Trustee, for the 5.000% Senior Notes due 2030 and</w:t>
              </w:r>
            </w:hyperlink>
          </w:p>
        </w:tc>
        <w:tc>
          <w:tcPr>
            <w:tcW w:w="10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700" w:type="dxa"/>
            <w:vAlign w:val="bottom"/>
            <w:tcBorders>
              <w:top w:val="single" w:sz="8" w:color="0000FF"/>
            </w:tcBorders>
            <w:gridSpan w:val="5"/>
            <w:shd w:val="clear" w:color="auto" w:fill="CCEEFF"/>
          </w:tcPr>
          <w:p>
            <w:pPr>
              <w:spacing w:after="0" w:line="138"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the 5.400% Senior Notes due 2035</w:t>
              </w:r>
            </w:hyperlink>
          </w:p>
        </w:tc>
        <w:tc>
          <w:tcPr>
            <w:tcW w:w="36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ind w:left="360"/>
              <w:spacing w:after="0" w:line="131" w:lineRule="exact"/>
              <w:rPr>
                <w:sz w:val="20"/>
                <w:szCs w:val="20"/>
                <w:color w:val="auto"/>
              </w:rPr>
            </w:pPr>
            <w:r>
              <w:rPr>
                <w:rFonts w:ascii="Times New Roman" w:cs="Times New Roman" w:eastAsia="Times New Roman" w:hAnsi="Times New Roman"/>
                <w:sz w:val="15"/>
                <w:szCs w:val="15"/>
                <w:color w:val="auto"/>
              </w:rPr>
              <w:t>8-K</w:t>
            </w:r>
          </w:p>
        </w:tc>
        <w:tc>
          <w:tcPr>
            <w:tcW w:w="1520" w:type="dxa"/>
            <w:vAlign w:val="bottom"/>
            <w:tcBorders>
              <w:top w:val="single" w:sz="8" w:color="CCEEFF"/>
            </w:tcBorders>
            <w:shd w:val="clear" w:color="auto" w:fill="CCEEFF"/>
          </w:tcPr>
          <w:p>
            <w:pPr>
              <w:jc w:val="right"/>
              <w:ind w:right="243"/>
              <w:spacing w:after="0" w:line="131" w:lineRule="exact"/>
              <w:rPr>
                <w:sz w:val="20"/>
                <w:szCs w:val="20"/>
                <w:color w:val="auto"/>
              </w:rPr>
            </w:pPr>
            <w:r>
              <w:rPr>
                <w:rFonts w:ascii="Times New Roman" w:cs="Times New Roman" w:eastAsia="Times New Roman" w:hAnsi="Times New Roman"/>
                <w:sz w:val="15"/>
                <w:szCs w:val="15"/>
                <w:color w:val="auto"/>
              </w:rPr>
              <w:t>001-14195</w:t>
            </w:r>
          </w:p>
        </w:tc>
        <w:tc>
          <w:tcPr>
            <w:tcW w:w="1680" w:type="dxa"/>
            <w:vAlign w:val="bottom"/>
            <w:tcBorders>
              <w:top w:val="single" w:sz="8" w:color="CCEEFF"/>
            </w:tcBorders>
            <w:shd w:val="clear" w:color="auto" w:fill="CCEEFF"/>
          </w:tcPr>
          <w:p>
            <w:pPr>
              <w:jc w:val="right"/>
              <w:ind w:right="598"/>
              <w:spacing w:after="0" w:line="131" w:lineRule="exact"/>
              <w:rPr>
                <w:sz w:val="20"/>
                <w:szCs w:val="20"/>
                <w:color w:val="auto"/>
              </w:rPr>
            </w:pPr>
            <w:r>
              <w:rPr>
                <w:rFonts w:ascii="Times New Roman" w:cs="Times New Roman" w:eastAsia="Times New Roman" w:hAnsi="Times New Roman"/>
                <w:sz w:val="15"/>
                <w:szCs w:val="15"/>
                <w:color w:val="auto"/>
              </w:rPr>
              <w:t>2024</w:t>
            </w:r>
          </w:p>
        </w:tc>
        <w:tc>
          <w:tcPr>
            <w:tcW w:w="840" w:type="dxa"/>
            <w:vAlign w:val="bottom"/>
            <w:tcBorders>
              <w:top w:val="single" w:sz="8" w:color="CCEEFF"/>
            </w:tcBorders>
            <w:shd w:val="clear" w:color="auto" w:fill="CCEEFF"/>
          </w:tcPr>
          <w:p>
            <w:pPr>
              <w:jc w:val="right"/>
              <w:ind w:right="203"/>
              <w:spacing w:after="0" w:line="131" w:lineRule="exact"/>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33"/>
        </w:trPr>
        <w:tc>
          <w:tcPr>
            <w:tcW w:w="108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5"/>
              </w:rPr>
              <w:t>4.30</w:t>
            </w:r>
          </w:p>
        </w:tc>
        <w:tc>
          <w:tcPr>
            <w:tcW w:w="4720" w:type="dxa"/>
            <w:vAlign w:val="bottom"/>
            <w:gridSpan w:val="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Supplemental Indenture No. 8, dated as of March 14, 2025, to</w:t>
              </w:r>
            </w:hyperlink>
          </w:p>
        </w:tc>
      </w:tr>
      <w:tr>
        <w:trPr>
          <w:trHeight w:val="151"/>
        </w:trPr>
        <w:tc>
          <w:tcPr>
            <w:tcW w:w="1060" w:type="dxa"/>
            <w:vAlign w:val="bottom"/>
          </w:tcPr>
          <w:p>
            <w:pPr>
              <w:spacing w:after="0"/>
              <w:rPr>
                <w:sz w:val="13"/>
                <w:szCs w:val="13"/>
                <w:color w:val="auto"/>
              </w:rPr>
            </w:pPr>
          </w:p>
        </w:tc>
        <w:tc>
          <w:tcPr>
            <w:tcW w:w="4360" w:type="dxa"/>
            <w:vAlign w:val="bottom"/>
            <w:tcBorders>
              <w:top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Indenture dated as of June 1, 2022, by and between American</w:t>
              </w:r>
            </w:hyperlink>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Tower Corporation and U.S. Bank Trust Company, National</w:t>
              </w:r>
            </w:hyperlink>
          </w:p>
        </w:tc>
        <w:tc>
          <w:tcPr>
            <w:tcW w:w="100" w:type="dxa"/>
            <w:vAlign w:val="bottom"/>
            <w:tcBorders>
              <w:top w:val="single" w:sz="8" w:color="0000FF"/>
            </w:tcBorders>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060" w:type="dxa"/>
            <w:vAlign w:val="bottom"/>
          </w:tcPr>
          <w:p>
            <w:pPr>
              <w:spacing w:after="0"/>
              <w:rPr>
                <w:sz w:val="14"/>
                <w:szCs w:val="14"/>
                <w:color w:val="auto"/>
              </w:rPr>
            </w:pPr>
          </w:p>
        </w:tc>
        <w:tc>
          <w:tcPr>
            <w:tcW w:w="4720" w:type="dxa"/>
            <w:vAlign w:val="bottom"/>
            <w:gridSpan w:val="9"/>
          </w:tcPr>
          <w:p>
            <w:pPr>
              <w:spacing w:after="0" w:line="164"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Association, as Trustee, for the 4.900% Senior Notes due 2030 and</w:t>
              </w:r>
            </w:hyperlink>
          </w:p>
        </w:tc>
      </w:tr>
      <w:tr>
        <w:trPr>
          <w:trHeight w:val="151"/>
        </w:trPr>
        <w:tc>
          <w:tcPr>
            <w:tcW w:w="1060" w:type="dxa"/>
            <w:vAlign w:val="bottom"/>
          </w:tcPr>
          <w:p>
            <w:pPr>
              <w:spacing w:after="0"/>
              <w:rPr>
                <w:sz w:val="13"/>
                <w:szCs w:val="13"/>
                <w:color w:val="auto"/>
              </w:rPr>
            </w:pPr>
          </w:p>
        </w:tc>
        <w:tc>
          <w:tcPr>
            <w:tcW w:w="4700" w:type="dxa"/>
            <w:vAlign w:val="bottom"/>
            <w:tcBorders>
              <w:top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the 5.350% Senior Notes due 2035</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9"/>
        </w:trPr>
        <w:tc>
          <w:tcPr>
            <w:tcW w:w="10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95"/>
              </w:rPr>
              <w:t>4.31</w:t>
            </w:r>
          </w:p>
        </w:tc>
        <w:tc>
          <w:tcPr>
            <w:tcW w:w="42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r:id="rId129">
              <w:r>
                <w:rPr>
                  <w:rFonts w:ascii="Times New Roman" w:cs="Times New Roman" w:eastAsia="Times New Roman" w:hAnsi="Times New Roman"/>
                  <w:sz w:val="18"/>
                  <w:szCs w:val="18"/>
                  <w:color w:val="0000FF"/>
                  <w:w w:val="97"/>
                </w:rPr>
                <w:t>Supplemental Indenture No. 9, dated as of May 30, 2025, to</w:t>
              </w:r>
            </w:hyperlink>
          </w:p>
        </w:tc>
        <w:tc>
          <w:tcPr>
            <w:tcW w:w="500" w:type="dxa"/>
            <w:vAlign w:val="bottom"/>
            <w:gridSpan w:val="7"/>
          </w:tcPr>
          <w:p>
            <w:pPr>
              <w:spacing w:after="0"/>
              <w:rPr>
                <w:sz w:val="24"/>
                <w:szCs w:val="24"/>
                <w:color w:val="auto"/>
              </w:rPr>
            </w:pPr>
          </w:p>
        </w:tc>
      </w:tr>
      <w:tr>
        <w:trPr>
          <w:trHeight w:val="151"/>
        </w:trPr>
        <w:tc>
          <w:tcPr>
            <w:tcW w:w="1060" w:type="dxa"/>
            <w:vAlign w:val="bottom"/>
          </w:tcPr>
          <w:p>
            <w:pPr>
              <w:spacing w:after="0"/>
              <w:rPr>
                <w:sz w:val="13"/>
                <w:szCs w:val="13"/>
                <w:color w:val="auto"/>
              </w:rPr>
            </w:pPr>
          </w:p>
        </w:tc>
        <w:tc>
          <w:tcPr>
            <w:tcW w:w="4720" w:type="dxa"/>
            <w:vAlign w:val="bottom"/>
            <w:gridSpan w:val="9"/>
          </w:tcPr>
          <w:p>
            <w:pPr>
              <w:spacing w:after="0" w:line="15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Indenture dated as of June 1, 2022, by and among the Company,</w:t>
              </w:r>
            </w:hyperlink>
          </w:p>
        </w:tc>
      </w:tr>
      <w:tr>
        <w:trPr>
          <w:trHeight w:val="151"/>
        </w:trPr>
        <w:tc>
          <w:tcPr>
            <w:tcW w:w="106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U.S. Bank Trust Company, National Association, as Trustee, and</w:t>
              </w:r>
            </w:hyperlink>
          </w:p>
        </w:tc>
        <w:tc>
          <w:tcPr>
            <w:tcW w:w="40" w:type="dxa"/>
            <w:vAlign w:val="bottom"/>
            <w:tcBorders>
              <w:bottom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7135495" cy="593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35495" cy="593725"/>
                    </a:xfrm>
                    <a:prstGeom prst="rect">
                      <a:avLst/>
                    </a:prstGeom>
                    <a:noFill/>
                  </pic:spPr>
                </pic:pic>
              </a:graphicData>
            </a:graphic>
          </wp:anchor>
        </w:drawing>
      </w:r>
    </w:p>
    <w:p>
      <w:pPr>
        <w:ind w:left="1080" w:right="320"/>
        <w:spacing w:after="0" w:line="221"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U.S. Bank Europe DAC, UK Branch, as Paying Agent, for the</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3.625% Senior Notes due 2032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1120" w:val="left"/>
          <w:tab w:leader="none" w:pos="2460" w:val="left"/>
          <w:tab w:leader="none" w:pos="42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001-14195</w:t>
      </w:r>
      <w:r>
        <w:rPr>
          <w:sz w:val="20"/>
          <w:szCs w:val="20"/>
          <w:color w:val="auto"/>
        </w:rPr>
        <w:tab/>
      </w:r>
      <w:r>
        <w:rPr>
          <w:rFonts w:ascii="Times New Roman" w:cs="Times New Roman" w:eastAsia="Times New Roman" w:hAnsi="Times New Roman"/>
          <w:sz w:val="18"/>
          <w:szCs w:val="18"/>
          <w:color w:val="auto"/>
        </w:rPr>
        <w:t>March 14, 2025</w:t>
      </w:r>
      <w:r>
        <w:rPr>
          <w:sz w:val="20"/>
          <w:szCs w:val="20"/>
          <w:color w:val="auto"/>
        </w:rPr>
        <w:tab/>
      </w:r>
      <w:r>
        <w:rPr>
          <w:rFonts w:ascii="Times New Roman" w:cs="Times New Roman" w:eastAsia="Times New Roman" w:hAnsi="Times New Roman"/>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1120" w:val="left"/>
          <w:tab w:leader="none" w:pos="2540" w:val="left"/>
          <w:tab w:leader="none" w:pos="42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001-14195</w:t>
      </w:r>
      <w:r>
        <w:rPr>
          <w:sz w:val="20"/>
          <w:szCs w:val="20"/>
          <w:color w:val="auto"/>
        </w:rPr>
        <w:tab/>
      </w:r>
      <w:r>
        <w:rPr>
          <w:rFonts w:ascii="Times New Roman" w:cs="Times New Roman" w:eastAsia="Times New Roman" w:hAnsi="Times New Roman"/>
          <w:sz w:val="18"/>
          <w:szCs w:val="18"/>
          <w:color w:val="auto"/>
        </w:rPr>
        <w:t>May 30, 2025</w:t>
      </w:r>
      <w:r>
        <w:rPr>
          <w:sz w:val="20"/>
          <w:szCs w:val="20"/>
          <w:color w:val="auto"/>
        </w:rPr>
        <w:tab/>
      </w:r>
      <w:r>
        <w:rPr>
          <w:rFonts w:ascii="Times New Roman" w:cs="Times New Roman" w:eastAsia="Times New Roman" w:hAnsi="Times New Roman"/>
          <w:sz w:val="16"/>
          <w:szCs w:val="16"/>
          <w:color w:val="auto"/>
        </w:rPr>
        <w:t>4.1</w:t>
      </w:r>
    </w:p>
    <w:p>
      <w:pPr>
        <w:spacing w:after="0" w:line="208" w:lineRule="exact"/>
        <w:rPr>
          <w:sz w:val="20"/>
          <w:szCs w:val="20"/>
          <w:color w:val="auto"/>
        </w:rPr>
      </w:pPr>
    </w:p>
    <w:p>
      <w:pPr>
        <w:sectPr>
          <w:pgSz w:w="11900" w:h="16838" w:orient="portrait"/>
          <w:cols w:equalWidth="0" w:num="2">
            <w:col w:w="5780" w:space="720"/>
            <w:col w:w="47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0" w:type="dxa"/>
            <w:vAlign w:val="bottom"/>
          </w:tcPr>
          <w:p>
            <w:pPr>
              <w:spacing w:after="0"/>
              <w:rPr>
                <w:sz w:val="2"/>
                <w:szCs w:val="2"/>
                <w:color w:val="auto"/>
              </w:rPr>
            </w:pPr>
          </w:p>
        </w:tc>
        <w:tc>
          <w:tcPr>
            <w:tcW w:w="4060" w:type="dxa"/>
            <w:vAlign w:val="bottom"/>
            <w:gridSpan w:val="17"/>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4060" w:type="dxa"/>
            <w:vAlign w:val="bottom"/>
            <w:gridSpan w:val="17"/>
            <w:vMerge w:val="continue"/>
          </w:tcPr>
          <w:p>
            <w:pPr>
              <w:spacing w:after="0"/>
              <w:rPr>
                <w:sz w:val="12"/>
                <w:szCs w:val="12"/>
                <w:color w:val="auto"/>
              </w:rPr>
            </w:pPr>
          </w:p>
        </w:tc>
        <w:tc>
          <w:tcPr>
            <w:tcW w:w="1180" w:type="dxa"/>
            <w:vAlign w:val="bottom"/>
            <w:gridSpan w:val="3"/>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Form</w:t>
            </w:r>
          </w:p>
        </w:tc>
        <w:tc>
          <w:tcPr>
            <w:tcW w:w="460" w:type="dxa"/>
            <w:vAlign w:val="bottom"/>
          </w:tcPr>
          <w:p>
            <w:pPr>
              <w:spacing w:after="0"/>
              <w:rPr>
                <w:sz w:val="12"/>
                <w:szCs w:val="12"/>
                <w:color w:val="auto"/>
              </w:rPr>
            </w:pPr>
          </w:p>
        </w:tc>
        <w:tc>
          <w:tcPr>
            <w:tcW w:w="94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File No.</w:t>
            </w:r>
          </w:p>
        </w:tc>
        <w:tc>
          <w:tcPr>
            <w:tcW w:w="420" w:type="dxa"/>
            <w:vAlign w:val="bottom"/>
          </w:tcPr>
          <w:p>
            <w:pPr>
              <w:spacing w:after="0"/>
              <w:rPr>
                <w:sz w:val="12"/>
                <w:szCs w:val="12"/>
                <w:color w:val="auto"/>
              </w:rPr>
            </w:pPr>
          </w:p>
        </w:tc>
        <w:tc>
          <w:tcPr>
            <w:tcW w:w="116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Date of Filing</w:t>
            </w:r>
          </w:p>
        </w:tc>
        <w:tc>
          <w:tcPr>
            <w:tcW w:w="940" w:type="dxa"/>
            <w:vAlign w:val="bottom"/>
            <w:gridSpan w:val="3"/>
          </w:tcPr>
          <w:p>
            <w:pPr>
              <w:jc w:val="center"/>
              <w:ind w:left="78"/>
              <w:spacing w:after="0" w:line="138" w:lineRule="exact"/>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4.32</w:t>
            </w:r>
          </w:p>
        </w:tc>
        <w:tc>
          <w:tcPr>
            <w:tcW w:w="380" w:type="dxa"/>
            <w:vAlign w:val="bottom"/>
          </w:tcPr>
          <w:p>
            <w:pPr>
              <w:spacing w:after="0"/>
              <w:rPr>
                <w:sz w:val="18"/>
                <w:szCs w:val="18"/>
                <w:color w:val="auto"/>
              </w:rPr>
            </w:pPr>
          </w:p>
        </w:tc>
        <w:tc>
          <w:tcPr>
            <w:tcW w:w="5060" w:type="dxa"/>
            <w:vAlign w:val="bottom"/>
            <w:gridSpan w:val="1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Indenture dated as of June 2, 2025, by and between the Company</w:t>
              </w:r>
            </w:hyperlink>
          </w:p>
        </w:tc>
        <w:tc>
          <w:tcPr>
            <w:tcW w:w="11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6"/>
              </w:rPr>
              <w:t>S-3ASR</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333-287714</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June 2, 2025</w:t>
            </w:r>
          </w:p>
        </w:tc>
        <w:tc>
          <w:tcPr>
            <w:tcW w:w="900" w:type="dxa"/>
            <w:vAlign w:val="bottom"/>
            <w:gridSpan w:val="2"/>
            <w:vMerge w:val="restart"/>
          </w:tcPr>
          <w:p>
            <w:pPr>
              <w:jc w:val="center"/>
              <w:ind w:left="118"/>
              <w:spacing w:after="0"/>
              <w:rPr>
                <w:sz w:val="20"/>
                <w:szCs w:val="20"/>
                <w:color w:val="auto"/>
              </w:rPr>
            </w:pPr>
            <w:r>
              <w:rPr>
                <w:rFonts w:ascii="Times New Roman" w:cs="Times New Roman" w:eastAsia="Times New Roman" w:hAnsi="Times New Roman"/>
                <w:sz w:val="18"/>
                <w:szCs w:val="18"/>
                <w:color w:val="auto"/>
                <w:w w:val="95"/>
              </w:rPr>
              <w:t>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0" w:type="dxa"/>
            <w:vAlign w:val="bottom"/>
            <w:tcBorders>
              <w:top w:val="single" w:sz="8" w:color="0000FF"/>
            </w:tcBorders>
            <w:gridSpan w:val="13"/>
          </w:tcPr>
          <w:p>
            <w:pPr>
              <w:spacing w:after="0" w:line="138"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and U.S. Bank Trust Company, National Association, as Trustee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4.33</w:t>
            </w:r>
          </w:p>
        </w:tc>
        <w:tc>
          <w:tcPr>
            <w:tcW w:w="380" w:type="dxa"/>
            <w:vAlign w:val="bottom"/>
            <w:shd w:val="clear" w:color="auto" w:fill="CCEEFF"/>
          </w:tcPr>
          <w:p>
            <w:pPr>
              <w:spacing w:after="0"/>
              <w:rPr>
                <w:sz w:val="16"/>
                <w:szCs w:val="16"/>
                <w:color w:val="auto"/>
              </w:rPr>
            </w:pPr>
          </w:p>
        </w:tc>
        <w:tc>
          <w:tcPr>
            <w:tcW w:w="506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Supplemental Indenture No. 1, dated as of December 5, 2025, to</w:t>
              </w:r>
            </w:hyperlink>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right w:val="single" w:sz="8" w:color="CCEEFF"/>
            </w:tcBorders>
            <w:gridSpan w:val="11"/>
            <w:shd w:val="clear" w:color="auto" w:fill="CCEEFF"/>
          </w:tcPr>
          <w:p>
            <w:pPr>
              <w:spacing w:after="0" w:line="15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Indenture dated as of June 2, 2025, by and between American</w:t>
              </w:r>
            </w:hyperlink>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December 5,</w:t>
            </w: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220" w:type="dxa"/>
            <w:vAlign w:val="bottom"/>
            <w:tcBorders>
              <w:top w:val="single" w:sz="8" w:color="0000FF"/>
              <w:bottom w:val="single" w:sz="8" w:color="0000FF"/>
            </w:tcBorders>
            <w:gridSpan w:val="10"/>
            <w:shd w:val="clear" w:color="auto" w:fill="CCEEFF"/>
          </w:tcPr>
          <w:p>
            <w:pPr>
              <w:spacing w:after="0" w:line="15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Tower Corporation and U.S. Bank Trust Company, National</w:t>
              </w:r>
            </w:hyperlink>
          </w:p>
        </w:tc>
        <w:tc>
          <w:tcPr>
            <w:tcW w:w="280" w:type="dxa"/>
            <w:vAlign w:val="bottom"/>
            <w:tcBorders>
              <w:top w:val="single" w:sz="8" w:color="0000FF"/>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1580" w:type="dxa"/>
            <w:vAlign w:val="bottom"/>
            <w:tcBorders>
              <w:top w:val="single" w:sz="8" w:color="CCEEFF"/>
              <w:bottom w:val="single" w:sz="8" w:color="CCEEFF"/>
            </w:tcBorders>
            <w:gridSpan w:val="3"/>
            <w:vMerge w:val="continue"/>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60" w:type="dxa"/>
            <w:vAlign w:val="bottom"/>
            <w:gridSpan w:val="18"/>
            <w:shd w:val="clear" w:color="auto" w:fill="CCEEFF"/>
          </w:tcPr>
          <w:p>
            <w:pPr>
              <w:spacing w:after="0" w:line="164"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Association, as Trustee, for the 4.700% Senior Notes due 2032</w:t>
              </w:r>
            </w:hyperlink>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540"/>
              <w:spacing w:after="0" w:line="164" w:lineRule="exact"/>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3"/>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001-14195</w:t>
            </w:r>
          </w:p>
        </w:tc>
        <w:tc>
          <w:tcPr>
            <w:tcW w:w="1240" w:type="dxa"/>
            <w:vAlign w:val="bottom"/>
            <w:gridSpan w:val="2"/>
            <w:shd w:val="clear" w:color="auto" w:fill="CCEEFF"/>
          </w:tcPr>
          <w:p>
            <w:pPr>
              <w:jc w:val="center"/>
              <w:ind w:left="314"/>
              <w:spacing w:after="0" w:line="164" w:lineRule="exact"/>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left="118"/>
              <w:spacing w:after="0" w:line="164" w:lineRule="exact"/>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4.34</w:t>
            </w:r>
          </w:p>
        </w:tc>
        <w:tc>
          <w:tcPr>
            <w:tcW w:w="380" w:type="dxa"/>
            <w:vAlign w:val="bottom"/>
          </w:tcPr>
          <w:p>
            <w:pPr>
              <w:spacing w:after="0"/>
              <w:rPr>
                <w:sz w:val="24"/>
                <w:szCs w:val="24"/>
                <w:color w:val="auto"/>
              </w:rPr>
            </w:pPr>
          </w:p>
        </w:tc>
        <w:tc>
          <w:tcPr>
            <w:tcW w:w="5060" w:type="dxa"/>
            <w:vAlign w:val="bottom"/>
            <w:gridSpan w:val="1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Third Amended and Restated Indenture, dated May 29, 2015, by</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and between GTP Acquisition Partners I, LLC, ACC Tower Sub,</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00" w:type="dxa"/>
            <w:vAlign w:val="bottom"/>
            <w:gridSpan w:val="11"/>
          </w:tcPr>
          <w:p>
            <w:pPr>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LLC, DCS Tower Sub, LLC, GTP South Acquisitions II, LLC,</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11"/>
          </w:tcPr>
          <w:p>
            <w:pPr>
              <w:spacing w:after="0" w:line="164"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GTP Acquisition Partners II, LLC, GTP Acquisition Partners,</w:t>
              </w:r>
            </w:hyperlink>
          </w:p>
        </w:tc>
        <w:tc>
          <w:tcPr>
            <w:tcW w:w="120" w:type="dxa"/>
            <w:vAlign w:val="bottom"/>
            <w:tcBorders>
              <w:bottom w:val="single" w:sz="8" w:color="0000FF"/>
            </w:tcBorders>
            <w:gridSpan w:val="3"/>
          </w:tcPr>
          <w:p>
            <w:pPr>
              <w:spacing w:after="0"/>
              <w:rPr>
                <w:rFonts w:ascii="Times New Roman" w:cs="Times New Roman" w:eastAsia="Times New Roman" w:hAnsi="Times New Roman"/>
                <w:sz w:val="11"/>
                <w:szCs w:val="11"/>
                <w:color w:val="0000FF"/>
                <w:w w:val="72"/>
              </w:rPr>
            </w:pPr>
            <w:hyperlink r:id="rId134">
              <w:r>
                <w:rPr>
                  <w:rFonts w:ascii="Times New Roman" w:cs="Times New Roman" w:eastAsia="Times New Roman" w:hAnsi="Times New Roman"/>
                  <w:sz w:val="11"/>
                  <w:szCs w:val="11"/>
                  <w:color w:val="0000FF"/>
                  <w:w w:val="72"/>
                </w:rPr>
                <w:t>III,</w:t>
              </w:r>
            </w:hyperlink>
          </w:p>
        </w:tc>
        <w:tc>
          <w:tcPr>
            <w:tcW w:w="440" w:type="dxa"/>
            <w:vAlign w:val="bottom"/>
            <w:gridSpan w:val="4"/>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60" w:type="dxa"/>
            <w:vAlign w:val="bottom"/>
            <w:gridSpan w:val="18"/>
          </w:tcPr>
          <w:p>
            <w:pPr>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LLC, GTP Infrastructure I, LLC, GTP Infrastructure II, LLC, GTP</w:t>
              </w:r>
            </w:hyperlink>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8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Infrastructure III, LLC, GTP Towers VIII, LLC, GTP Towers I,</w:t>
              </w:r>
            </w:hyperlink>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500" w:type="dxa"/>
            <w:vAlign w:val="bottom"/>
            <w:tcBorders>
              <w:top w:val="single" w:sz="8" w:color="0000FF"/>
            </w:tcBorders>
            <w:gridSpan w:val="11"/>
          </w:tcPr>
          <w:p>
            <w:pPr>
              <w:spacing w:after="0" w:line="164" w:lineRule="exact"/>
              <w:rPr>
                <w:rFonts w:ascii="Times New Roman" w:cs="Times New Roman" w:eastAsia="Times New Roman" w:hAnsi="Times New Roman"/>
                <w:sz w:val="18"/>
                <w:szCs w:val="18"/>
                <w:color w:val="0000FF"/>
                <w:w w:val="96"/>
              </w:rPr>
            </w:pPr>
            <w:hyperlink r:id="rId134">
              <w:r>
                <w:rPr>
                  <w:rFonts w:ascii="Times New Roman" w:cs="Times New Roman" w:eastAsia="Times New Roman" w:hAnsi="Times New Roman"/>
                  <w:sz w:val="18"/>
                  <w:szCs w:val="18"/>
                  <w:color w:val="0000FF"/>
                  <w:w w:val="96"/>
                </w:rPr>
                <w:t>LLC, GTP Towers II, LLC, GTP Towers IV, LLC, GTP Towers</w:t>
              </w:r>
            </w:hyperlink>
          </w:p>
        </w:tc>
        <w:tc>
          <w:tcPr>
            <w:tcW w:w="560" w:type="dxa"/>
            <w:vAlign w:val="bottom"/>
            <w:gridSpan w:val="7"/>
          </w:tcPr>
          <w:p>
            <w:pPr>
              <w:ind w:left="20"/>
              <w:spacing w:after="0" w:line="164"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V,</w:t>
              </w:r>
            </w:hyperlink>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6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LLC, GTP Towers VII, LLC, GTP Towers IX, LLC, PCS</w:t>
              </w:r>
            </w:hyperlink>
          </w:p>
        </w:tc>
        <w:tc>
          <w:tcPr>
            <w:tcW w:w="8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40" w:type="dxa"/>
            <w:vAlign w:val="bottom"/>
            <w:tcBorders>
              <w:top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Structures Towers, LLC and GTP TRS I LLC, as Obligors,</w:t>
              </w:r>
            </w:hyperlink>
          </w:p>
        </w:tc>
        <w:tc>
          <w:tcPr>
            <w:tcW w:w="40" w:type="dxa"/>
            <w:vAlign w:val="bottom"/>
          </w:tcPr>
          <w:p>
            <w:pPr>
              <w:spacing w:after="0"/>
              <w:rPr>
                <w:sz w:val="13"/>
                <w:szCs w:val="13"/>
                <w:color w:val="auto"/>
              </w:rPr>
            </w:pPr>
          </w:p>
        </w:tc>
        <w:tc>
          <w:tcPr>
            <w:tcW w:w="980" w:type="dxa"/>
            <w:vAlign w:val="bottom"/>
            <w:gridSpan w:val="9"/>
          </w:tcPr>
          <w:p>
            <w:pPr>
              <w:ind w:left="100"/>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and</w:t>
              </w:r>
            </w:hyperlink>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July 29, 2015</w:t>
            </w:r>
          </w:p>
        </w:tc>
        <w:tc>
          <w:tcPr>
            <w:tcW w:w="900" w:type="dxa"/>
            <w:vAlign w:val="bottom"/>
            <w:gridSpan w:val="2"/>
            <w:vMerge w:val="restart"/>
          </w:tcPr>
          <w:p>
            <w:pPr>
              <w:jc w:val="center"/>
              <w:ind w:left="118"/>
              <w:spacing w:after="0"/>
              <w:rPr>
                <w:sz w:val="20"/>
                <w:szCs w:val="20"/>
                <w:color w:val="auto"/>
              </w:rPr>
            </w:pPr>
            <w:r>
              <w:rPr>
                <w:rFonts w:ascii="Times New Roman" w:cs="Times New Roman" w:eastAsia="Times New Roman" w:hAnsi="Times New Roman"/>
                <w:sz w:val="18"/>
                <w:szCs w:val="18"/>
                <w:color w:val="auto"/>
                <w:w w:val="97"/>
              </w:rPr>
              <w:t>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500" w:type="dxa"/>
            <w:vAlign w:val="bottom"/>
            <w:tcBorders>
              <w:top w:val="single" w:sz="8" w:color="0000FF"/>
            </w:tcBorders>
            <w:gridSpan w:val="11"/>
          </w:tcPr>
          <w:p>
            <w:pPr>
              <w:spacing w:after="0" w:line="164"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The Bank of New York Mellon, as Trustee</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Borders>
              <w:top w:val="single" w:sz="8" w:color="0000FF"/>
            </w:tcBorders>
          </w:tcPr>
          <w:p>
            <w:pPr>
              <w:spacing w:after="0"/>
              <w:rPr>
                <w:sz w:val="9"/>
                <w:szCs w:val="9"/>
                <w:color w:val="auto"/>
              </w:rPr>
            </w:pPr>
          </w:p>
        </w:tc>
        <w:tc>
          <w:tcPr>
            <w:tcW w:w="6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7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4.35</w:t>
            </w:r>
          </w:p>
        </w:tc>
        <w:tc>
          <w:tcPr>
            <w:tcW w:w="380" w:type="dxa"/>
            <w:vAlign w:val="bottom"/>
            <w:shd w:val="clear" w:color="auto" w:fill="CCEEFF"/>
          </w:tcPr>
          <w:p>
            <w:pPr>
              <w:spacing w:after="0"/>
              <w:rPr>
                <w:sz w:val="16"/>
                <w:szCs w:val="16"/>
                <w:color w:val="auto"/>
              </w:rPr>
            </w:pPr>
          </w:p>
        </w:tc>
        <w:tc>
          <w:tcPr>
            <w:tcW w:w="5060" w:type="dxa"/>
            <w:vAlign w:val="bottom"/>
            <w:gridSpan w:val="18"/>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rPr>
              <w:t>Description of Registrant’s Securities</w:t>
            </w:r>
          </w:p>
        </w:tc>
        <w:tc>
          <w:tcPr>
            <w:tcW w:w="1180" w:type="dxa"/>
            <w:vAlign w:val="bottom"/>
            <w:gridSpan w:val="3"/>
            <w:shd w:val="clear" w:color="auto" w:fill="CCEEFF"/>
          </w:tcPr>
          <w:p>
            <w:pPr>
              <w:jc w:val="center"/>
              <w:ind w:right="220"/>
              <w:spacing w:after="0" w:line="184" w:lineRule="exact"/>
              <w:rPr>
                <w:sz w:val="20"/>
                <w:szCs w:val="20"/>
                <w:color w:val="auto"/>
              </w:rPr>
            </w:pPr>
            <w:r>
              <w:rPr>
                <w:rFonts w:ascii="Times New Roman" w:cs="Times New Roman" w:eastAsia="Times New Roman" w:hAnsi="Times New Roman"/>
                <w:sz w:val="18"/>
                <w:szCs w:val="18"/>
                <w:color w:val="auto"/>
                <w:w w:val="97"/>
              </w:rPr>
              <w:t>Filed</w:t>
            </w: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gridSpan w:val="3"/>
            <w:shd w:val="clear" w:color="auto" w:fill="CCEEFF"/>
          </w:tcPr>
          <w:p>
            <w:pPr>
              <w:jc w:val="center"/>
              <w:ind w:right="220"/>
              <w:spacing w:after="0" w:line="138" w:lineRule="exact"/>
              <w:rPr>
                <w:sz w:val="20"/>
                <w:szCs w:val="20"/>
                <w:color w:val="auto"/>
              </w:rPr>
            </w:pPr>
            <w:r>
              <w:rPr>
                <w:rFonts w:ascii="Times New Roman" w:cs="Times New Roman" w:eastAsia="Times New Roman" w:hAnsi="Times New Roman"/>
                <w:sz w:val="16"/>
                <w:szCs w:val="16"/>
                <w:color w:val="auto"/>
              </w:rPr>
              <w:t>herewith as</w:t>
            </w:r>
          </w:p>
        </w:tc>
        <w:tc>
          <w:tcPr>
            <w:tcW w:w="4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Exhibit 4.35</w:t>
            </w:r>
          </w:p>
        </w:tc>
        <w:tc>
          <w:tcPr>
            <w:tcW w:w="4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4"/>
                <w:szCs w:val="24"/>
                <w:color w:val="auto"/>
              </w:rPr>
            </w:pPr>
          </w:p>
        </w:tc>
        <w:tc>
          <w:tcPr>
            <w:tcW w:w="5060" w:type="dxa"/>
            <w:vAlign w:val="bottom"/>
            <w:gridSpan w:val="18"/>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American Tower Corporation 2000 Employee Stock Purchase Plan,</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October 28,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740" w:type="dxa"/>
            <w:vAlign w:val="bottom"/>
            <w:tcBorders>
              <w:top w:val="single" w:sz="8" w:color="0000FF"/>
            </w:tcBorders>
            <w:gridSpan w:val="17"/>
          </w:tcPr>
          <w:p>
            <w:pPr>
              <w:spacing w:after="0" w:line="138"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as amended and restated</w:t>
              </w:r>
            </w:hyperlink>
          </w:p>
        </w:tc>
        <w:tc>
          <w:tcPr>
            <w:tcW w:w="320" w:type="dxa"/>
            <w:vAlign w:val="bottom"/>
          </w:tcPr>
          <w:p>
            <w:pPr>
              <w:spacing w:after="0"/>
              <w:rPr>
                <w:sz w:val="13"/>
                <w:szCs w:val="13"/>
                <w:color w:val="auto"/>
              </w:rPr>
            </w:pPr>
          </w:p>
        </w:tc>
        <w:tc>
          <w:tcPr>
            <w:tcW w:w="118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5"/>
                <w:szCs w:val="15"/>
                <w:color w:val="auto"/>
              </w:rPr>
              <w:t>10-Q</w:t>
            </w:r>
          </w:p>
        </w:tc>
        <w:tc>
          <w:tcPr>
            <w:tcW w:w="140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5"/>
                <w:szCs w:val="15"/>
                <w:color w:val="auto"/>
              </w:rPr>
              <w:t>001-14195</w:t>
            </w:r>
          </w:p>
        </w:tc>
        <w:tc>
          <w:tcPr>
            <w:tcW w:w="1240" w:type="dxa"/>
            <w:vAlign w:val="bottom"/>
            <w:gridSpan w:val="2"/>
          </w:tcPr>
          <w:p>
            <w:pPr>
              <w:jc w:val="center"/>
              <w:ind w:left="314"/>
              <w:spacing w:after="0" w:line="131" w:lineRule="exact"/>
              <w:rPr>
                <w:sz w:val="20"/>
                <w:szCs w:val="20"/>
                <w:color w:val="auto"/>
              </w:rPr>
            </w:pPr>
            <w:r>
              <w:rPr>
                <w:rFonts w:ascii="Times New Roman" w:cs="Times New Roman" w:eastAsia="Times New Roman" w:hAnsi="Times New Roman"/>
                <w:sz w:val="15"/>
                <w:szCs w:val="15"/>
                <w:color w:val="auto"/>
              </w:rPr>
              <w:t>2021</w:t>
            </w:r>
          </w:p>
        </w:tc>
        <w:tc>
          <w:tcPr>
            <w:tcW w:w="340" w:type="dxa"/>
            <w:vAlign w:val="bottom"/>
          </w:tcPr>
          <w:p>
            <w:pPr>
              <w:spacing w:after="0"/>
              <w:rPr>
                <w:sz w:val="13"/>
                <w:szCs w:val="13"/>
                <w:color w:val="auto"/>
              </w:rPr>
            </w:pPr>
          </w:p>
        </w:tc>
        <w:tc>
          <w:tcPr>
            <w:tcW w:w="900" w:type="dxa"/>
            <w:vAlign w:val="bottom"/>
            <w:gridSpan w:val="2"/>
          </w:tcPr>
          <w:p>
            <w:pPr>
              <w:jc w:val="center"/>
              <w:ind w:left="118"/>
              <w:spacing w:after="0" w:line="131" w:lineRule="exact"/>
              <w:rPr>
                <w:sz w:val="20"/>
                <w:szCs w:val="20"/>
                <w:color w:val="auto"/>
              </w:rPr>
            </w:pPr>
            <w:r>
              <w:rPr>
                <w:rFonts w:ascii="Times New Roman" w:cs="Times New Roman" w:eastAsia="Times New Roman" w:hAnsi="Times New Roman"/>
                <w:sz w:val="15"/>
                <w:szCs w:val="15"/>
                <w:color w:val="auto"/>
              </w:rPr>
              <w:t>10.1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70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38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FF"/>
            </w:tcBorders>
            <w:gridSpan w:val="8"/>
            <w:shd w:val="clear" w:color="auto" w:fill="CCEEFF"/>
          </w:tcPr>
          <w:p>
            <w:pPr>
              <w:spacing w:after="0" w:line="184" w:lineRule="exact"/>
              <w:rPr>
                <w:rFonts w:ascii="Times New Roman" w:cs="Times New Roman" w:eastAsia="Times New Roman" w:hAnsi="Times New Roman"/>
                <w:sz w:val="18"/>
                <w:szCs w:val="18"/>
                <w:color w:val="0000FF"/>
                <w:w w:val="96"/>
              </w:rPr>
            </w:pPr>
            <w:hyperlink r:id="rId136">
              <w:r>
                <w:rPr>
                  <w:rFonts w:ascii="Times New Roman" w:cs="Times New Roman" w:eastAsia="Times New Roman" w:hAnsi="Times New Roman"/>
                  <w:sz w:val="18"/>
                  <w:szCs w:val="18"/>
                  <w:color w:val="0000FF"/>
                  <w:w w:val="96"/>
                </w:rPr>
                <w:t>American Tower Corporation 2007 Equity Incentive Plan</w:t>
              </w:r>
            </w:hyperlink>
          </w:p>
        </w:tc>
        <w:tc>
          <w:tcPr>
            <w:tcW w:w="1020" w:type="dxa"/>
            <w:vAlign w:val="bottom"/>
            <w:tcBorders>
              <w:bottom w:val="single" w:sz="8" w:color="CCEEFF"/>
            </w:tcBorders>
            <w:gridSpan w:val="10"/>
            <w:shd w:val="clear" w:color="auto" w:fill="CCEEFF"/>
          </w:tcPr>
          <w:p>
            <w:pPr>
              <w:spacing w:after="0"/>
              <w:rPr>
                <w:sz w:val="17"/>
                <w:szCs w:val="17"/>
                <w:color w:val="auto"/>
              </w:rPr>
            </w:pPr>
          </w:p>
        </w:tc>
        <w:tc>
          <w:tcPr>
            <w:tcW w:w="1180" w:type="dxa"/>
            <w:vAlign w:val="bottom"/>
            <w:tcBorders>
              <w:bottom w:val="single" w:sz="8" w:color="CCEEFF"/>
            </w:tcBorders>
            <w:gridSpan w:val="3"/>
            <w:shd w:val="clear" w:color="auto" w:fill="CCEEFF"/>
          </w:tcPr>
          <w:p>
            <w:pPr>
              <w:jc w:val="center"/>
              <w:ind w:right="220"/>
              <w:spacing w:after="0" w:line="184" w:lineRule="exact"/>
              <w:rPr>
                <w:sz w:val="20"/>
                <w:szCs w:val="20"/>
                <w:color w:val="auto"/>
              </w:rPr>
            </w:pPr>
            <w:r>
              <w:rPr>
                <w:rFonts w:ascii="Times New Roman" w:cs="Times New Roman" w:eastAsia="Times New Roman" w:hAnsi="Times New Roman"/>
                <w:sz w:val="18"/>
                <w:szCs w:val="18"/>
                <w:color w:val="auto"/>
                <w:w w:val="97"/>
              </w:rPr>
              <w:t>DEF 14A</w:t>
            </w:r>
          </w:p>
        </w:tc>
        <w:tc>
          <w:tcPr>
            <w:tcW w:w="1400" w:type="dxa"/>
            <w:vAlign w:val="bottom"/>
            <w:tcBorders>
              <w:bottom w:val="single" w:sz="8" w:color="CCEEFF"/>
            </w:tcBorders>
            <w:gridSpan w:val="3"/>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001-14195</w:t>
            </w:r>
          </w:p>
        </w:tc>
        <w:tc>
          <w:tcPr>
            <w:tcW w:w="1580" w:type="dxa"/>
            <w:vAlign w:val="bottom"/>
            <w:tcBorders>
              <w:bottom w:val="single" w:sz="8" w:color="CCEEFF"/>
            </w:tcBorders>
            <w:gridSpan w:val="3"/>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March 22, 2017</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center"/>
              <w:ind w:right="60"/>
              <w:spacing w:after="0" w:line="184" w:lineRule="exact"/>
              <w:rPr>
                <w:sz w:val="20"/>
                <w:szCs w:val="20"/>
                <w:color w:val="auto"/>
              </w:rPr>
            </w:pPr>
            <w:r>
              <w:rPr>
                <w:rFonts w:ascii="Times New Roman" w:cs="Times New Roman" w:eastAsia="Times New Roman" w:hAnsi="Times New Roman"/>
                <w:sz w:val="18"/>
                <w:szCs w:val="18"/>
                <w:color w:val="auto"/>
                <w:w w:val="97"/>
              </w:rPr>
              <w:t>Annex A</w:t>
            </w:r>
          </w:p>
        </w:tc>
        <w:tc>
          <w:tcPr>
            <w:tcW w:w="0" w:type="dxa"/>
            <w:vAlign w:val="bottom"/>
          </w:tcPr>
          <w:p>
            <w:pPr>
              <w:spacing w:after="0"/>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24"/>
                <w:szCs w:val="24"/>
                <w:color w:val="auto"/>
              </w:rPr>
            </w:pPr>
          </w:p>
        </w:tc>
        <w:tc>
          <w:tcPr>
            <w:tcW w:w="5060" w:type="dxa"/>
            <w:vAlign w:val="bottom"/>
            <w:gridSpan w:val="1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Amendment to American Tower Corporation 2007 Equity</w:t>
              </w:r>
            </w:hyperlink>
          </w:p>
        </w:tc>
        <w:tc>
          <w:tcPr>
            <w:tcW w:w="320" w:type="dxa"/>
            <w:vAlign w:val="bottom"/>
          </w:tcPr>
          <w:p>
            <w:pPr>
              <w:spacing w:after="0"/>
              <w:rPr>
                <w:sz w:val="24"/>
                <w:szCs w:val="24"/>
                <w:color w:val="auto"/>
              </w:rPr>
            </w:pPr>
          </w:p>
        </w:tc>
        <w:tc>
          <w:tcPr>
            <w:tcW w:w="8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001-14195</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March 14, 2017</w:t>
            </w:r>
          </w:p>
        </w:tc>
        <w:tc>
          <w:tcPr>
            <w:tcW w:w="900" w:type="dxa"/>
            <w:vAlign w:val="bottom"/>
            <w:gridSpan w:val="2"/>
            <w:vMerge w:val="restart"/>
          </w:tcPr>
          <w:p>
            <w:pPr>
              <w:jc w:val="center"/>
              <w:ind w:left="118"/>
              <w:spacing w:after="0"/>
              <w:rPr>
                <w:sz w:val="20"/>
                <w:szCs w:val="20"/>
                <w:color w:val="auto"/>
              </w:rPr>
            </w:pPr>
            <w:r>
              <w:rPr>
                <w:rFonts w:ascii="Times New Roman" w:cs="Times New Roman" w:eastAsia="Times New Roman" w:hAnsi="Times New Roman"/>
                <w:sz w:val="18"/>
                <w:szCs w:val="18"/>
                <w:color w:val="auto"/>
                <w:w w:val="95"/>
              </w:rPr>
              <w:t>10.1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80" w:type="dxa"/>
            <w:vAlign w:val="bottom"/>
            <w:tcBorders>
              <w:top w:val="single" w:sz="8" w:color="0000FF"/>
            </w:tcBorders>
            <w:gridSpan w:val="9"/>
          </w:tcPr>
          <w:p>
            <w:pPr>
              <w:spacing w:after="0" w:line="138"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Incentive Plan</w:t>
              </w:r>
            </w:hyperlink>
          </w:p>
        </w:tc>
        <w:tc>
          <w:tcPr>
            <w:tcW w:w="4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380" w:type="dxa"/>
            <w:vAlign w:val="bottom"/>
            <w:shd w:val="clear" w:color="auto" w:fill="CCEEFF"/>
          </w:tcPr>
          <w:p>
            <w:pPr>
              <w:spacing w:after="0"/>
              <w:rPr>
                <w:sz w:val="16"/>
                <w:szCs w:val="16"/>
                <w:color w:val="auto"/>
              </w:rPr>
            </w:pPr>
          </w:p>
        </w:tc>
        <w:tc>
          <w:tcPr>
            <w:tcW w:w="506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Restricted Stock Unit Agreement (U.S. Employee / Non-</w:t>
              </w:r>
            </w:hyperlink>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620" w:type="dxa"/>
            <w:vAlign w:val="bottom"/>
            <w:tcBorders>
              <w:top w:val="single" w:sz="8" w:color="0000FF"/>
            </w:tcBorders>
            <w:gridSpan w:val="14"/>
            <w:shd w:val="clear" w:color="auto" w:fill="CCEEFF"/>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Employee Director) (For grants made March 1, 2019 - December</w:t>
              </w:r>
            </w:hyperlink>
          </w:p>
        </w:tc>
        <w:tc>
          <w:tcPr>
            <w:tcW w:w="440" w:type="dxa"/>
            <w:vAlign w:val="bottom"/>
            <w:tcBorders>
              <w:top w:val="single" w:sz="8" w:color="CCEEFF"/>
            </w:tcBorders>
            <w:gridSpan w:val="4"/>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500" w:type="dxa"/>
            <w:vAlign w:val="bottom"/>
            <w:tcBorders>
              <w:top w:val="single" w:sz="8" w:color="0000FF"/>
              <w:bottom w:val="single" w:sz="8" w:color="0000FF"/>
              <w:right w:val="single" w:sz="8" w:color="CCEEFF"/>
            </w:tcBorders>
            <w:gridSpan w:val="11"/>
            <w:shd w:val="clear" w:color="auto" w:fill="CCEEFF"/>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4, 2022 (Non-Employee Directors) / September 30, 2023 (U.S.</w:t>
              </w:r>
            </w:hyperlink>
          </w:p>
        </w:tc>
        <w:tc>
          <w:tcPr>
            <w:tcW w:w="80" w:type="dxa"/>
            <w:vAlign w:val="bottom"/>
            <w:tcBorders>
              <w:top w:val="single" w:sz="8" w:color="0000FF"/>
              <w:left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1580" w:type="dxa"/>
            <w:vAlign w:val="bottom"/>
            <w:tcBorders>
              <w:top w:val="single" w:sz="8" w:color="CCEEFF"/>
              <w:bottom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February 27,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60" w:type="dxa"/>
            <w:vAlign w:val="bottom"/>
            <w:gridSpan w:val="18"/>
            <w:shd w:val="clear" w:color="auto" w:fill="CCEEFF"/>
          </w:tcPr>
          <w:p>
            <w:pPr>
              <w:spacing w:after="0" w:line="164"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Employees)) Pursuant to the American Tower Corporation 2007</w:t>
              </w:r>
            </w:hyperlink>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8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right w:val="single" w:sz="8" w:color="CCEEFF"/>
            </w:tcBorders>
            <w:gridSpan w:val="11"/>
            <w:shd w:val="clear" w:color="auto" w:fill="CCEEFF"/>
          </w:tcPr>
          <w:p>
            <w:pPr>
              <w:spacing w:after="0" w:line="138"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Equity Incentive Plan, as amended</w:t>
              </w:r>
            </w:hyperlink>
          </w:p>
        </w:tc>
        <w:tc>
          <w:tcPr>
            <w:tcW w:w="560" w:type="dxa"/>
            <w:vAlign w:val="bottom"/>
            <w:tcBorders>
              <w:top w:val="single" w:sz="8" w:color="CCEEFF"/>
              <w:left w:val="single" w:sz="8" w:color="CCEEFF"/>
            </w:tcBorders>
            <w:gridSpan w:val="7"/>
            <w:shd w:val="clear" w:color="auto" w:fill="CCEEFF"/>
          </w:tcPr>
          <w:p>
            <w:pPr>
              <w:spacing w:after="0"/>
              <w:rPr>
                <w:sz w:val="13"/>
                <w:szCs w:val="13"/>
                <w:color w:val="auto"/>
              </w:rPr>
            </w:pPr>
          </w:p>
        </w:tc>
        <w:tc>
          <w:tcPr>
            <w:tcW w:w="1180" w:type="dxa"/>
            <w:vAlign w:val="bottom"/>
            <w:tcBorders>
              <w:top w:val="single" w:sz="8" w:color="CCEEFF"/>
            </w:tcBorders>
            <w:gridSpan w:val="3"/>
            <w:shd w:val="clear" w:color="auto" w:fill="CCEEFF"/>
          </w:tcPr>
          <w:p>
            <w:pPr>
              <w:jc w:val="center"/>
              <w:ind w:right="220"/>
              <w:spacing w:after="0" w:line="131" w:lineRule="exact"/>
              <w:rPr>
                <w:sz w:val="20"/>
                <w:szCs w:val="20"/>
                <w:color w:val="auto"/>
              </w:rPr>
            </w:pPr>
            <w:r>
              <w:rPr>
                <w:rFonts w:ascii="Times New Roman" w:cs="Times New Roman" w:eastAsia="Times New Roman" w:hAnsi="Times New Roman"/>
                <w:sz w:val="15"/>
                <w:szCs w:val="15"/>
                <w:color w:val="auto"/>
              </w:rPr>
              <w:t>10-K</w:t>
            </w:r>
          </w:p>
        </w:tc>
        <w:tc>
          <w:tcPr>
            <w:tcW w:w="1400" w:type="dxa"/>
            <w:vAlign w:val="bottom"/>
            <w:tcBorders>
              <w:top w:val="single" w:sz="8" w:color="CCEEFF"/>
            </w:tcBorders>
            <w:gridSpan w:val="3"/>
            <w:shd w:val="clear" w:color="auto" w:fill="CCEEFF"/>
          </w:tcPr>
          <w:p>
            <w:pPr>
              <w:jc w:val="center"/>
              <w:spacing w:after="0" w:line="131" w:lineRule="exact"/>
              <w:rPr>
                <w:sz w:val="20"/>
                <w:szCs w:val="20"/>
                <w:color w:val="auto"/>
              </w:rPr>
            </w:pPr>
            <w:r>
              <w:rPr>
                <w:rFonts w:ascii="Times New Roman" w:cs="Times New Roman" w:eastAsia="Times New Roman" w:hAnsi="Times New Roman"/>
                <w:sz w:val="15"/>
                <w:szCs w:val="15"/>
                <w:color w:val="auto"/>
              </w:rPr>
              <w:t>001-14195</w:t>
            </w:r>
          </w:p>
        </w:tc>
        <w:tc>
          <w:tcPr>
            <w:tcW w:w="1240" w:type="dxa"/>
            <w:vAlign w:val="bottom"/>
            <w:tcBorders>
              <w:top w:val="single" w:sz="8" w:color="CCEEFF"/>
            </w:tcBorders>
            <w:gridSpan w:val="2"/>
            <w:shd w:val="clear" w:color="auto" w:fill="CCEEFF"/>
          </w:tcPr>
          <w:p>
            <w:pPr>
              <w:jc w:val="center"/>
              <w:ind w:left="314"/>
              <w:spacing w:after="0" w:line="131" w:lineRule="exact"/>
              <w:rPr>
                <w:sz w:val="20"/>
                <w:szCs w:val="20"/>
                <w:color w:val="auto"/>
              </w:rPr>
            </w:pPr>
            <w:r>
              <w:rPr>
                <w:rFonts w:ascii="Times New Roman" w:cs="Times New Roman" w:eastAsia="Times New Roman" w:hAnsi="Times New Roman"/>
                <w:sz w:val="15"/>
                <w:szCs w:val="15"/>
                <w:color w:val="auto"/>
              </w:rPr>
              <w:t>2019</w:t>
            </w:r>
          </w:p>
        </w:tc>
        <w:tc>
          <w:tcPr>
            <w:tcW w:w="3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gridSpan w:val="2"/>
            <w:shd w:val="clear" w:color="auto" w:fill="CCEEFF"/>
          </w:tcPr>
          <w:p>
            <w:pPr>
              <w:jc w:val="center"/>
              <w:ind w:left="98"/>
              <w:spacing w:after="0" w:line="131" w:lineRule="exact"/>
              <w:rPr>
                <w:sz w:val="20"/>
                <w:szCs w:val="20"/>
                <w:color w:val="auto"/>
              </w:rPr>
            </w:pPr>
            <w:r>
              <w:rPr>
                <w:rFonts w:ascii="Times New Roman" w:cs="Times New Roman" w:eastAsia="Times New Roman" w:hAnsi="Times New Roman"/>
                <w:sz w:val="15"/>
                <w:szCs w:val="15"/>
                <w:color w:val="auto"/>
              </w:rPr>
              <w:t>10.10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0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93"/>
              </w:rPr>
              <w:t>10.5*</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Restricted Stock Unit Agreement (Non-U.S. Employee)</w:t>
              </w:r>
            </w:hyperlink>
          </w:p>
        </w:tc>
        <w:tc>
          <w:tcPr>
            <w:tcW w:w="0" w:type="dxa"/>
            <w:vAlign w:val="bottom"/>
          </w:tcPr>
          <w:p>
            <w:pPr>
              <w:spacing w:after="0"/>
              <w:rPr>
                <w:sz w:val="1"/>
                <w:szCs w:val="1"/>
                <w:color w:val="auto"/>
              </w:rPr>
            </w:pPr>
          </w:p>
        </w:tc>
      </w:tr>
      <w:tr>
        <w:trPr>
          <w:trHeight w:val="151"/>
        </w:trPr>
        <w:tc>
          <w:tcPr>
            <w:tcW w:w="106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 grants made March 1, 2019 – September 30, 2023) Pursuant</w:t>
              </w:r>
            </w:hyperlink>
          </w:p>
        </w:tc>
        <w:tc>
          <w:tcPr>
            <w:tcW w:w="20" w:type="dxa"/>
            <w:vAlign w:val="bottom"/>
            <w:tcBorders>
              <w:bottom w:val="single" w:sz="8" w:color="0000FF"/>
            </w:tcBorders>
          </w:tcPr>
          <w:p>
            <w:pPr>
              <w:spacing w:after="0"/>
              <w:rPr>
                <w:sz w:val="13"/>
                <w:szCs w:val="13"/>
                <w:color w:val="auto"/>
              </w:rPr>
            </w:pPr>
          </w:p>
        </w:tc>
        <w:tc>
          <w:tcPr>
            <w:tcW w:w="180" w:type="dxa"/>
            <w:vAlign w:val="bottom"/>
            <w:gridSpan w:val="4"/>
            <w:vMerge w:val="restart"/>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as</w:t>
              </w:r>
            </w:hyperlink>
          </w:p>
        </w:tc>
        <w:tc>
          <w:tcPr>
            <w:tcW w:w="0" w:type="dxa"/>
            <w:vAlign w:val="bottom"/>
          </w:tcPr>
          <w:p>
            <w:pPr>
              <w:spacing w:after="0"/>
              <w:rPr>
                <w:sz w:val="1"/>
                <w:szCs w:val="1"/>
                <w:color w:val="auto"/>
              </w:rPr>
            </w:pPr>
          </w:p>
        </w:tc>
      </w:tr>
      <w:tr>
        <w:trPr>
          <w:trHeight w:val="151"/>
        </w:trPr>
        <w:tc>
          <w:tcPr>
            <w:tcW w:w="1060" w:type="dxa"/>
            <w:vAlign w:val="bottom"/>
          </w:tcPr>
          <w:p>
            <w:pPr>
              <w:spacing w:after="0"/>
              <w:rPr>
                <w:sz w:val="13"/>
                <w:szCs w:val="13"/>
                <w:color w:val="auto"/>
              </w:rPr>
            </w:pPr>
          </w:p>
        </w:tc>
        <w:tc>
          <w:tcPr>
            <w:tcW w:w="4580" w:type="dxa"/>
            <w:vAlign w:val="bottom"/>
            <w:gridSpan w:val="6"/>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to the American Tower Corporation 2007 Equity Incentive Plan,</w:t>
              </w:r>
            </w:hyperlink>
          </w:p>
        </w:tc>
        <w:tc>
          <w:tcPr>
            <w:tcW w:w="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64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5"/>
              </w:rPr>
            </w:pPr>
            <w:hyperlink r:id="rId139">
              <w:r>
                <w:rPr>
                  <w:rFonts w:ascii="Times New Roman" w:cs="Times New Roman" w:eastAsia="Times New Roman" w:hAnsi="Times New Roman"/>
                  <w:sz w:val="18"/>
                  <w:szCs w:val="18"/>
                  <w:color w:val="0000FF"/>
                  <w:w w:val="95"/>
                </w:rPr>
                <w:t>amended</w:t>
              </w:r>
            </w:hyperlink>
          </w:p>
        </w:tc>
        <w:tc>
          <w:tcPr>
            <w:tcW w:w="406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0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93"/>
              </w:rPr>
              <w:t>10.6*</w:t>
            </w:r>
          </w:p>
        </w:tc>
        <w:tc>
          <w:tcPr>
            <w:tcW w:w="45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7"/>
              </w:rPr>
            </w:pPr>
            <w:hyperlink r:id="rId140">
              <w:r>
                <w:rPr>
                  <w:rFonts w:ascii="Times New Roman" w:cs="Times New Roman" w:eastAsia="Times New Roman" w:hAnsi="Times New Roman"/>
                  <w:sz w:val="18"/>
                  <w:szCs w:val="18"/>
                  <w:color w:val="0000FF"/>
                  <w:w w:val="97"/>
                </w:rPr>
                <w:t>Form of Notice of Grant of Performance-Based Restricted Stock</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60" w:type="dxa"/>
            <w:vAlign w:val="bottom"/>
          </w:tcPr>
          <w:p>
            <w:pPr>
              <w:spacing w:after="0"/>
              <w:rPr>
                <w:sz w:val="13"/>
                <w:szCs w:val="13"/>
                <w:color w:val="auto"/>
              </w:rPr>
            </w:pPr>
          </w:p>
        </w:tc>
        <w:tc>
          <w:tcPr>
            <w:tcW w:w="4760" w:type="dxa"/>
            <w:vAlign w:val="bottom"/>
            <w:gridSpan w:val="10"/>
          </w:tcPr>
          <w:p>
            <w:pPr>
              <w:spacing w:after="0" w:line="15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Units Agreement (U.S. Employee) (For grants made April 11, 2020</w:t>
              </w:r>
            </w:hyperlink>
          </w:p>
        </w:tc>
        <w:tc>
          <w:tcPr>
            <w:tcW w:w="0" w:type="dxa"/>
            <w:vAlign w:val="bottom"/>
          </w:tcPr>
          <w:p>
            <w:pPr>
              <w:spacing w:after="0"/>
              <w:rPr>
                <w:sz w:val="1"/>
                <w:szCs w:val="1"/>
                <w:color w:val="auto"/>
              </w:rPr>
            </w:pPr>
          </w:p>
        </w:tc>
      </w:tr>
      <w:tr>
        <w:trPr>
          <w:trHeight w:val="151"/>
        </w:trPr>
        <w:tc>
          <w:tcPr>
            <w:tcW w:w="1060" w:type="dxa"/>
            <w:vAlign w:val="bottom"/>
          </w:tcPr>
          <w:p>
            <w:pPr>
              <w:spacing w:after="0"/>
              <w:rPr>
                <w:sz w:val="13"/>
                <w:szCs w:val="13"/>
                <w:color w:val="auto"/>
              </w:rPr>
            </w:pPr>
          </w:p>
        </w:tc>
        <w:tc>
          <w:tcPr>
            <w:tcW w:w="4740" w:type="dxa"/>
            <w:vAlign w:val="bottom"/>
            <w:tcBorders>
              <w:top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 September 30, 2023) Pursuant to the American Tower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6"/>
              </w:rPr>
            </w:pPr>
            <w:hyperlink r:id="rId140">
              <w:r>
                <w:rPr>
                  <w:rFonts w:ascii="Times New Roman" w:cs="Times New Roman" w:eastAsia="Times New Roman" w:hAnsi="Times New Roman"/>
                  <w:sz w:val="18"/>
                  <w:szCs w:val="18"/>
                  <w:color w:val="0000FF"/>
                  <w:w w:val="96"/>
                </w:rPr>
                <w:t>Corporation 2007 Equity Incentive Plan, as amended</w:t>
              </w:r>
            </w:hyperlink>
          </w:p>
        </w:tc>
        <w:tc>
          <w:tcPr>
            <w:tcW w:w="200" w:type="dxa"/>
            <w:vAlign w:val="bottom"/>
            <w:tcBorders>
              <w:top w:val="single" w:sz="8" w:color="0000FF"/>
            </w:tcBorders>
          </w:tcPr>
          <w:p>
            <w:pPr>
              <w:spacing w:after="0"/>
              <w:rPr>
                <w:sz w:val="14"/>
                <w:szCs w:val="14"/>
                <w:color w:val="auto"/>
              </w:rPr>
            </w:pPr>
          </w:p>
        </w:tc>
        <w:tc>
          <w:tcPr>
            <w:tcW w:w="680" w:type="dxa"/>
            <w:vAlign w:val="bottom"/>
            <w:gridSpan w:val="4"/>
          </w:tcPr>
          <w:p>
            <w:pPr>
              <w:spacing w:after="0"/>
              <w:rPr>
                <w:sz w:val="14"/>
                <w:szCs w:val="14"/>
                <w:color w:val="auto"/>
              </w:rPr>
            </w:pP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0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93"/>
              </w:rPr>
              <w:t>10.7*</w:t>
            </w:r>
          </w:p>
        </w:tc>
        <w:tc>
          <w:tcPr>
            <w:tcW w:w="45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Form of Notice of Grant of Performance-Based Restricted Stock</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060" w:type="dxa"/>
            <w:vAlign w:val="bottom"/>
          </w:tcPr>
          <w:p>
            <w:pPr>
              <w:spacing w:after="0"/>
              <w:rPr>
                <w:sz w:val="15"/>
                <w:szCs w:val="15"/>
                <w:color w:val="auto"/>
              </w:rPr>
            </w:pPr>
          </w:p>
        </w:tc>
        <w:tc>
          <w:tcPr>
            <w:tcW w:w="4600" w:type="dxa"/>
            <w:vAlign w:val="bottom"/>
            <w:tcBorders>
              <w:bottom w:val="single" w:sz="8" w:color="0000FF"/>
            </w:tcBorders>
            <w:gridSpan w:val="7"/>
          </w:tcPr>
          <w:p>
            <w:pPr>
              <w:spacing w:after="0" w:line="177" w:lineRule="exact"/>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Units Agreement (Non-U.S. Employee) (For grants made June 1,</w:t>
              </w:r>
            </w:hyperlink>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-785495</wp:posOffset>
            </wp:positionV>
            <wp:extent cx="7135495" cy="476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7135495" cy="476885"/>
                    </a:xfrm>
                    <a:prstGeom prst="rect">
                      <a:avLst/>
                    </a:prstGeom>
                    <a:noFill/>
                  </pic:spPr>
                </pic:pic>
              </a:graphicData>
            </a:graphic>
          </wp:anchor>
        </w:drawing>
      </w:r>
    </w:p>
    <w:p>
      <w:pPr>
        <w:ind w:left="1080" w:right="420"/>
        <w:spacing w:after="0" w:line="291" w:lineRule="auto"/>
        <w:rPr>
          <w:rFonts w:ascii="Times New Roman" w:cs="Times New Roman" w:eastAsia="Times New Roman" w:hAnsi="Times New Roman"/>
          <w:sz w:val="16"/>
          <w:szCs w:val="16"/>
          <w:u w:val="single" w:color="auto"/>
          <w:color w:val="0000FF"/>
        </w:rPr>
      </w:pPr>
      <w:hyperlink r:id="rId141">
        <w:r>
          <w:rPr>
            <w:rFonts w:ascii="Times New Roman" w:cs="Times New Roman" w:eastAsia="Times New Roman" w:hAnsi="Times New Roman"/>
            <w:sz w:val="16"/>
            <w:szCs w:val="16"/>
            <w:u w:val="single" w:color="auto"/>
            <w:color w:val="0000FF"/>
          </w:rPr>
          <w:t>2021 – September 30, 2023) Pursuant to the American Tower</w:t>
        </w:r>
      </w:hyperlink>
      <w:r>
        <w:rPr>
          <w:rFonts w:ascii="Times New Roman" w:cs="Times New Roman" w:eastAsia="Times New Roman" w:hAnsi="Times New Roman"/>
          <w:sz w:val="16"/>
          <w:szCs w:val="16"/>
          <w:u w:val="single" w:color="auto"/>
          <w:color w:val="0000FF"/>
        </w:rPr>
        <w:t xml:space="preserve"> </w:t>
      </w:r>
      <w:hyperlink r:id="rId141">
        <w:r>
          <w:rPr>
            <w:rFonts w:ascii="Times New Roman" w:cs="Times New Roman" w:eastAsia="Times New Roman" w:hAnsi="Times New Roman"/>
            <w:sz w:val="16"/>
            <w:szCs w:val="16"/>
            <w:u w:val="single" w:color="auto"/>
            <w:color w:val="0000FF"/>
          </w:rPr>
          <w:t>Corporation 2007 Equity Incentive Plan, as amended</w:t>
        </w:r>
      </w:hyperlink>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February 27,</w:t>
            </w:r>
          </w:p>
        </w:tc>
        <w:tc>
          <w:tcPr>
            <w:tcW w:w="680" w:type="dxa"/>
            <w:vAlign w:val="bottom"/>
          </w:tcPr>
          <w:p>
            <w:pPr>
              <w:spacing w:after="0"/>
              <w:rPr>
                <w:sz w:val="18"/>
                <w:szCs w:val="18"/>
                <w:color w:val="auto"/>
              </w:rPr>
            </w:pPr>
          </w:p>
        </w:tc>
      </w:tr>
      <w:tr>
        <w:trPr>
          <w:trHeight w:val="236"/>
        </w:trPr>
        <w:tc>
          <w:tcPr>
            <w:tcW w:w="84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7"/>
              </w:rPr>
              <w:t>10-K</w:t>
            </w: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001-14195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68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3"/>
              </w:rPr>
              <w:t>10.11</w:t>
            </w:r>
          </w:p>
        </w:tc>
      </w:tr>
      <w:tr>
        <w:trPr>
          <w:trHeight w:val="843"/>
        </w:trPr>
        <w:tc>
          <w:tcPr>
            <w:tcW w:w="84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5"/>
              </w:rPr>
              <w:t>8-K/A</w:t>
            </w: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001-14195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16, 2020</w:t>
            </w:r>
          </w:p>
        </w:tc>
        <w:tc>
          <w:tcPr>
            <w:tcW w:w="68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5"/>
              </w:rPr>
              <w:t>10.1</w:t>
            </w:r>
          </w:p>
        </w:tc>
      </w:tr>
      <w:tr>
        <w:trPr>
          <w:trHeight w:val="935"/>
        </w:trPr>
        <w:tc>
          <w:tcPr>
            <w:tcW w:w="84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001-14195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2021</w:t>
            </w:r>
          </w:p>
        </w:tc>
        <w:tc>
          <w:tcPr>
            <w:tcW w:w="68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5"/>
              </w:rPr>
              <w:t>10.1</w:t>
            </w:r>
          </w:p>
        </w:tc>
      </w:tr>
    </w:tbl>
    <w:p>
      <w:pPr>
        <w:spacing w:after="0" w:line="200" w:lineRule="exact"/>
        <w:rPr>
          <w:sz w:val="20"/>
          <w:szCs w:val="20"/>
          <w:color w:val="auto"/>
        </w:rPr>
      </w:pPr>
    </w:p>
    <w:p>
      <w:pPr>
        <w:sectPr>
          <w:pgSz w:w="11900" w:h="16838" w:orient="portrait"/>
          <w:cols w:equalWidth="0" w:num="2">
            <w:col w:w="5820" w:space="580"/>
            <w:col w:w="48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20" w:type="dxa"/>
            <w:vAlign w:val="bottom"/>
            <w:gridSpan w:val="38"/>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0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20" w:type="dxa"/>
            <w:vAlign w:val="bottom"/>
            <w:gridSpan w:val="38"/>
            <w:vMerge w:val="continue"/>
          </w:tcPr>
          <w:p>
            <w:pPr>
              <w:spacing w:after="0"/>
              <w:rPr>
                <w:sz w:val="12"/>
                <w:szCs w:val="12"/>
                <w:color w:val="auto"/>
              </w:rPr>
            </w:pPr>
          </w:p>
        </w:tc>
        <w:tc>
          <w:tcPr>
            <w:tcW w:w="108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Form</w:t>
            </w:r>
          </w:p>
        </w:tc>
        <w:tc>
          <w:tcPr>
            <w:tcW w:w="560" w:type="dxa"/>
            <w:vAlign w:val="bottom"/>
          </w:tcPr>
          <w:p>
            <w:pPr>
              <w:spacing w:after="0"/>
              <w:rPr>
                <w:sz w:val="12"/>
                <w:szCs w:val="12"/>
                <w:color w:val="auto"/>
              </w:rPr>
            </w:pPr>
          </w:p>
        </w:tc>
        <w:tc>
          <w:tcPr>
            <w:tcW w:w="920" w:type="dxa"/>
            <w:vAlign w:val="bottom"/>
            <w:gridSpan w:val="2"/>
          </w:tcPr>
          <w:p>
            <w:pPr>
              <w:jc w:val="center"/>
              <w:ind w:right="440"/>
              <w:spacing w:after="0" w:line="138" w:lineRule="exact"/>
              <w:rPr>
                <w:sz w:val="20"/>
                <w:szCs w:val="20"/>
                <w:color w:val="auto"/>
              </w:rPr>
            </w:pPr>
            <w:r>
              <w:rPr>
                <w:rFonts w:ascii="Times New Roman" w:cs="Times New Roman" w:eastAsia="Times New Roman" w:hAnsi="Times New Roman"/>
                <w:sz w:val="14"/>
                <w:szCs w:val="14"/>
                <w:b w:val="1"/>
                <w:bCs w:val="1"/>
                <w:color w:val="auto"/>
              </w:rPr>
              <w:t>File No.</w:t>
            </w:r>
          </w:p>
        </w:tc>
        <w:tc>
          <w:tcPr>
            <w:tcW w:w="440" w:type="dxa"/>
            <w:vAlign w:val="bottom"/>
          </w:tcPr>
          <w:p>
            <w:pPr>
              <w:spacing w:after="0"/>
              <w:rPr>
                <w:sz w:val="12"/>
                <w:szCs w:val="12"/>
                <w:color w:val="auto"/>
              </w:rPr>
            </w:pPr>
          </w:p>
        </w:tc>
        <w:tc>
          <w:tcPr>
            <w:tcW w:w="116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Date of Filing</w:t>
            </w:r>
          </w:p>
        </w:tc>
        <w:tc>
          <w:tcPr>
            <w:tcW w:w="940" w:type="dxa"/>
            <w:vAlign w:val="bottom"/>
            <w:gridSpan w:val="3"/>
          </w:tcPr>
          <w:p>
            <w:pPr>
              <w:ind w:left="200"/>
              <w:spacing w:after="0" w:line="138" w:lineRule="exact"/>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10.8*</w:t>
            </w:r>
          </w:p>
        </w:tc>
        <w:tc>
          <w:tcPr>
            <w:tcW w:w="380" w:type="dxa"/>
            <w:vAlign w:val="bottom"/>
            <w:shd w:val="clear" w:color="auto" w:fill="CCEEFF"/>
          </w:tcPr>
          <w:p>
            <w:pPr>
              <w:spacing w:after="0"/>
              <w:rPr>
                <w:sz w:val="16"/>
                <w:szCs w:val="16"/>
                <w:color w:val="auto"/>
              </w:rPr>
            </w:pPr>
          </w:p>
        </w:tc>
        <w:tc>
          <w:tcPr>
            <w:tcW w:w="5060" w:type="dxa"/>
            <w:vAlign w:val="bottom"/>
            <w:gridSpan w:val="40"/>
            <w:shd w:val="clear" w:color="auto" w:fill="CCEEFF"/>
          </w:tcPr>
          <w:p>
            <w:pPr>
              <w:spacing w:after="0" w:line="184"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Restricted Stock Unit Agreement (Non-Employee</w:t>
              </w:r>
            </w:hyperlink>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120" w:type="dxa"/>
            <w:vAlign w:val="bottom"/>
            <w:tcBorders>
              <w:top w:val="single" w:sz="8" w:color="0000FF"/>
              <w:bottom w:val="single" w:sz="8" w:color="0000FF"/>
            </w:tcBorders>
            <w:gridSpan w:val="12"/>
            <w:shd w:val="clear" w:color="auto" w:fill="CCEEFF"/>
          </w:tcPr>
          <w:p>
            <w:pPr>
              <w:spacing w:after="0" w:line="15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Director) (For grants made December 5, 2022 – September</w:t>
              </w:r>
            </w:hyperlink>
          </w:p>
        </w:tc>
        <w:tc>
          <w:tcPr>
            <w:tcW w:w="300" w:type="dxa"/>
            <w:vAlign w:val="bottom"/>
            <w:tcBorders>
              <w:top w:val="single" w:sz="8" w:color="CCEEFF"/>
              <w:bottom w:val="single" w:sz="8" w:color="0000FF"/>
            </w:tcBorders>
            <w:gridSpan w:val="8"/>
            <w:shd w:val="clear" w:color="auto" w:fill="CCEEFF"/>
          </w:tcPr>
          <w:p>
            <w:pPr>
              <w:jc w:val="right"/>
              <w:ind w:right="20"/>
              <w:spacing w:after="0" w:line="15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30,</w:t>
              </w:r>
            </w:hyperlink>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1600" w:type="dxa"/>
            <w:vAlign w:val="bottom"/>
            <w:tcBorders>
              <w:top w:val="single" w:sz="8" w:color="CCEEFF"/>
              <w:bottom w:val="single" w:sz="8" w:color="CCEEFF"/>
            </w:tcBorders>
            <w:gridSpan w:val="3"/>
            <w:vMerge w:val="restart"/>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February 23,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60" w:type="dxa"/>
            <w:vAlign w:val="bottom"/>
            <w:gridSpan w:val="40"/>
            <w:shd w:val="clear" w:color="auto" w:fill="CCEEFF"/>
          </w:tcPr>
          <w:p>
            <w:pPr>
              <w:spacing w:after="0" w:line="15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2023) Pursuant to the American Tower Corporation 2007 Equity</w:t>
              </w:r>
            </w:hyperlink>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gridSpan w:val="3"/>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0000FF"/>
              <w:bottom w:val="single" w:sz="8" w:color="0000FF"/>
            </w:tcBorders>
            <w:gridSpan w:val="4"/>
            <w:shd w:val="clear" w:color="auto" w:fill="CCEEFF"/>
          </w:tcPr>
          <w:p>
            <w:pPr>
              <w:spacing w:after="0" w:line="164" w:lineRule="exact"/>
              <w:rPr>
                <w:rFonts w:ascii="Times New Roman" w:cs="Times New Roman" w:eastAsia="Times New Roman" w:hAnsi="Times New Roman"/>
                <w:sz w:val="18"/>
                <w:szCs w:val="18"/>
                <w:color w:val="0000FF"/>
                <w:w w:val="96"/>
              </w:rPr>
            </w:pPr>
            <w:hyperlink r:id="rId144">
              <w:r>
                <w:rPr>
                  <w:rFonts w:ascii="Times New Roman" w:cs="Times New Roman" w:eastAsia="Times New Roman" w:hAnsi="Times New Roman"/>
                  <w:sz w:val="18"/>
                  <w:szCs w:val="18"/>
                  <w:color w:val="0000FF"/>
                  <w:w w:val="96"/>
                </w:rPr>
                <w:t>Incentive Plan, as amended</w:t>
              </w:r>
            </w:hyperlink>
          </w:p>
        </w:tc>
        <w:tc>
          <w:tcPr>
            <w:tcW w:w="2620" w:type="dxa"/>
            <w:vAlign w:val="bottom"/>
            <w:tcBorders>
              <w:top w:val="single" w:sz="8" w:color="0000FF"/>
              <w:bottom w:val="single" w:sz="8" w:color="CCEEFF"/>
            </w:tcBorders>
            <w:gridSpan w:val="2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CCEEFF"/>
              <w:bottom w:val="single" w:sz="8" w:color="CCEEFF"/>
            </w:tcBorders>
            <w:gridSpan w:val="3"/>
            <w:shd w:val="clear" w:color="auto" w:fill="CCEEFF"/>
          </w:tcPr>
          <w:p>
            <w:pPr>
              <w:jc w:val="center"/>
              <w:ind w:right="80"/>
              <w:spacing w:after="0" w:line="164" w:lineRule="exact"/>
              <w:rPr>
                <w:sz w:val="20"/>
                <w:szCs w:val="20"/>
                <w:color w:val="auto"/>
              </w:rPr>
            </w:pPr>
            <w:r>
              <w:rPr>
                <w:rFonts w:ascii="Times New Roman" w:cs="Times New Roman" w:eastAsia="Times New Roman" w:hAnsi="Times New Roman"/>
                <w:sz w:val="18"/>
                <w:szCs w:val="18"/>
                <w:color w:val="auto"/>
                <w:w w:val="97"/>
              </w:rPr>
              <w:t>10-K</w:t>
            </w:r>
          </w:p>
        </w:tc>
        <w:tc>
          <w:tcPr>
            <w:tcW w:w="1480" w:type="dxa"/>
            <w:vAlign w:val="bottom"/>
            <w:tcBorders>
              <w:top w:val="single" w:sz="8" w:color="CCEEFF"/>
              <w:bottom w:val="single" w:sz="8" w:color="CCEEFF"/>
            </w:tcBorders>
            <w:gridSpan w:val="3"/>
            <w:shd w:val="clear" w:color="auto" w:fill="CCEEFF"/>
          </w:tcPr>
          <w:p>
            <w:pPr>
              <w:jc w:val="center"/>
              <w:ind w:left="33"/>
              <w:spacing w:after="0" w:line="164" w:lineRule="exact"/>
              <w:rPr>
                <w:sz w:val="20"/>
                <w:szCs w:val="20"/>
                <w:color w:val="auto"/>
              </w:rPr>
            </w:pPr>
            <w:r>
              <w:rPr>
                <w:rFonts w:ascii="Times New Roman" w:cs="Times New Roman" w:eastAsia="Times New Roman" w:hAnsi="Times New Roman"/>
                <w:sz w:val="18"/>
                <w:szCs w:val="18"/>
                <w:color w:val="auto"/>
                <w:w w:val="97"/>
              </w:rPr>
              <w:t>001-14195</w:t>
            </w:r>
          </w:p>
        </w:tc>
        <w:tc>
          <w:tcPr>
            <w:tcW w:w="1260" w:type="dxa"/>
            <w:vAlign w:val="bottom"/>
            <w:tcBorders>
              <w:top w:val="single" w:sz="8" w:color="CCEEFF"/>
              <w:bottom w:val="single" w:sz="8" w:color="CCEEFF"/>
            </w:tcBorders>
            <w:gridSpan w:val="2"/>
            <w:shd w:val="clear" w:color="auto" w:fill="CCEEFF"/>
          </w:tcPr>
          <w:p>
            <w:pPr>
              <w:jc w:val="center"/>
              <w:ind w:left="333"/>
              <w:spacing w:after="0" w:line="164" w:lineRule="exact"/>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CCEEFF"/>
              <w:bottom w:val="single" w:sz="8" w:color="CCEEFF"/>
            </w:tcBorders>
            <w:gridSpan w:val="2"/>
            <w:shd w:val="clear" w:color="auto" w:fill="CCEEFF"/>
          </w:tcPr>
          <w:p>
            <w:pPr>
              <w:jc w:val="center"/>
              <w:ind w:left="115"/>
              <w:spacing w:after="0" w:line="164" w:lineRule="exact"/>
              <w:rPr>
                <w:sz w:val="20"/>
                <w:szCs w:val="20"/>
                <w:color w:val="auto"/>
              </w:rPr>
            </w:pPr>
            <w:r>
              <w:rPr>
                <w:rFonts w:ascii="Times New Roman" w:cs="Times New Roman" w:eastAsia="Times New Roman" w:hAnsi="Times New Roman"/>
                <w:sz w:val="18"/>
                <w:szCs w:val="18"/>
                <w:color w:val="auto"/>
                <w:w w:val="95"/>
              </w:rPr>
              <w:t>10.9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Pr>
          <w:p>
            <w:pPr>
              <w:spacing w:after="0"/>
              <w:rPr>
                <w:sz w:val="24"/>
                <w:szCs w:val="24"/>
                <w:color w:val="auto"/>
              </w:rPr>
            </w:pPr>
          </w:p>
        </w:tc>
        <w:tc>
          <w:tcPr>
            <w:tcW w:w="46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Form of Restricted Stock Units Agreement (U.S. Employee) (For</w:t>
              </w:r>
            </w:hyperlink>
          </w:p>
        </w:tc>
        <w:tc>
          <w:tcPr>
            <w:tcW w:w="46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60" w:type="dxa"/>
            <w:vAlign w:val="bottom"/>
            <w:gridSpan w:val="40"/>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grants made October 1, 2023 – December 31, 2023) Pursuant to the</w:t>
              </w:r>
            </w:hyperlink>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October 26,</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0" w:type="dxa"/>
            <w:vAlign w:val="bottom"/>
            <w:tcBorders>
              <w:top w:val="single" w:sz="8" w:color="0000FF"/>
            </w:tcBorders>
            <w:gridSpan w:val="37"/>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American Tower Corporation 2007 Equity Incentive Plan,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8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amended</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80"/>
              <w:spacing w:after="0" w:line="164" w:lineRule="exact"/>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gridSpan w:val="3"/>
          </w:tcPr>
          <w:p>
            <w:pPr>
              <w:jc w:val="center"/>
              <w:ind w:left="33"/>
              <w:spacing w:after="0" w:line="164" w:lineRule="exact"/>
              <w:rPr>
                <w:sz w:val="20"/>
                <w:szCs w:val="20"/>
                <w:color w:val="auto"/>
              </w:rPr>
            </w:pPr>
            <w:r>
              <w:rPr>
                <w:rFonts w:ascii="Times New Roman" w:cs="Times New Roman" w:eastAsia="Times New Roman" w:hAnsi="Times New Roman"/>
                <w:sz w:val="18"/>
                <w:szCs w:val="18"/>
                <w:color w:val="auto"/>
                <w:w w:val="97"/>
              </w:rPr>
              <w:t>001-14195</w:t>
            </w:r>
          </w:p>
        </w:tc>
        <w:tc>
          <w:tcPr>
            <w:tcW w:w="1260" w:type="dxa"/>
            <w:vAlign w:val="bottom"/>
            <w:gridSpan w:val="2"/>
          </w:tcPr>
          <w:p>
            <w:pPr>
              <w:jc w:val="center"/>
              <w:ind w:left="333"/>
              <w:spacing w:after="0" w:line="164" w:lineRule="exact"/>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Pr>
          <w:p>
            <w:pPr>
              <w:spacing w:after="0"/>
              <w:rPr>
                <w:sz w:val="14"/>
                <w:szCs w:val="14"/>
                <w:color w:val="auto"/>
              </w:rPr>
            </w:pPr>
          </w:p>
        </w:tc>
        <w:tc>
          <w:tcPr>
            <w:tcW w:w="900" w:type="dxa"/>
            <w:vAlign w:val="bottom"/>
            <w:gridSpan w:val="2"/>
          </w:tcPr>
          <w:p>
            <w:pPr>
              <w:jc w:val="center"/>
              <w:ind w:left="115"/>
              <w:spacing w:after="0" w:line="164" w:lineRule="exact"/>
              <w:rPr>
                <w:sz w:val="20"/>
                <w:szCs w:val="20"/>
                <w:color w:val="auto"/>
              </w:rPr>
            </w:pPr>
            <w:r>
              <w:rPr>
                <w:rFonts w:ascii="Times New Roman" w:cs="Times New Roman" w:eastAsia="Times New Roman" w:hAnsi="Times New Roman"/>
                <w:sz w:val="18"/>
                <w:szCs w:val="18"/>
                <w:color w:val="auto"/>
                <w:w w:val="95"/>
              </w:rPr>
              <w:t>10.1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10.10*</w:t>
            </w:r>
          </w:p>
        </w:tc>
        <w:tc>
          <w:tcPr>
            <w:tcW w:w="380" w:type="dxa"/>
            <w:vAlign w:val="bottom"/>
            <w:shd w:val="clear" w:color="auto" w:fill="CCEEFF"/>
          </w:tcPr>
          <w:p>
            <w:pPr>
              <w:spacing w:after="0"/>
              <w:rPr>
                <w:sz w:val="16"/>
                <w:szCs w:val="16"/>
                <w:color w:val="auto"/>
              </w:rPr>
            </w:pPr>
          </w:p>
        </w:tc>
        <w:tc>
          <w:tcPr>
            <w:tcW w:w="5060" w:type="dxa"/>
            <w:vAlign w:val="bottom"/>
            <w:gridSpan w:val="40"/>
            <w:shd w:val="clear" w:color="auto" w:fill="CCEEFF"/>
          </w:tcPr>
          <w:p>
            <w:pPr>
              <w:spacing w:after="0" w:line="184"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Restricted Stock Units Agreement (Non-U.S. Employee)</w:t>
              </w:r>
            </w:hyperlink>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660" w:type="dxa"/>
            <w:vAlign w:val="bottom"/>
            <w:tcBorders>
              <w:top w:val="single" w:sz="8" w:color="0000FF"/>
              <w:bottom w:val="single" w:sz="8" w:color="0000FF"/>
            </w:tcBorders>
            <w:gridSpan w:val="30"/>
            <w:shd w:val="clear" w:color="auto" w:fill="CCEEFF"/>
          </w:tcPr>
          <w:p>
            <w:pPr>
              <w:spacing w:after="0" w:line="15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(For grants made October 1, 2023 – December 31, 2023) Pursuant</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1600" w:type="dxa"/>
            <w:vAlign w:val="bottom"/>
            <w:tcBorders>
              <w:top w:val="single" w:sz="8" w:color="CCEEFF"/>
              <w:bottom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60" w:type="dxa"/>
            <w:vAlign w:val="bottom"/>
            <w:gridSpan w:val="40"/>
            <w:shd w:val="clear" w:color="auto" w:fill="CCEEFF"/>
          </w:tcPr>
          <w:p>
            <w:pPr>
              <w:spacing w:after="0" w:line="15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to the American Tower Corporation 2007 Equity Incentive Plan, as</w:t>
              </w:r>
            </w:hyperlink>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0" w:type="dxa"/>
            <w:vAlign w:val="bottom"/>
            <w:gridSpan w:val="3"/>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0000FF"/>
              <w:bottom w:val="single" w:sz="8" w:color="0000FF"/>
            </w:tcBorders>
            <w:gridSpan w:val="2"/>
            <w:shd w:val="clear" w:color="auto" w:fill="CCEEFF"/>
          </w:tcPr>
          <w:p>
            <w:pPr>
              <w:spacing w:after="0" w:line="164" w:lineRule="exact"/>
              <w:rPr>
                <w:rFonts w:ascii="Times New Roman" w:cs="Times New Roman" w:eastAsia="Times New Roman" w:hAnsi="Times New Roman"/>
                <w:sz w:val="18"/>
                <w:szCs w:val="18"/>
                <w:color w:val="0000FF"/>
                <w:w w:val="95"/>
              </w:rPr>
            </w:pPr>
            <w:hyperlink r:id="rId146">
              <w:r>
                <w:rPr>
                  <w:rFonts w:ascii="Times New Roman" w:cs="Times New Roman" w:eastAsia="Times New Roman" w:hAnsi="Times New Roman"/>
                  <w:sz w:val="18"/>
                  <w:szCs w:val="18"/>
                  <w:color w:val="0000FF"/>
                  <w:w w:val="95"/>
                </w:rPr>
                <w:t>amended</w:t>
              </w:r>
            </w:hyperlink>
          </w:p>
        </w:tc>
        <w:tc>
          <w:tcPr>
            <w:tcW w:w="4120" w:type="dxa"/>
            <w:vAlign w:val="bottom"/>
            <w:tcBorders>
              <w:top w:val="single" w:sz="8" w:color="0000FF"/>
              <w:bottom w:val="single" w:sz="8" w:color="CCEEFF"/>
            </w:tcBorders>
            <w:gridSpan w:val="3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CCEEFF"/>
              <w:bottom w:val="single" w:sz="8" w:color="CCEEFF"/>
            </w:tcBorders>
            <w:gridSpan w:val="3"/>
            <w:shd w:val="clear" w:color="auto" w:fill="CCEEFF"/>
          </w:tcPr>
          <w:p>
            <w:pPr>
              <w:jc w:val="center"/>
              <w:ind w:right="80"/>
              <w:spacing w:after="0" w:line="164" w:lineRule="exact"/>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tcBorders>
              <w:top w:val="single" w:sz="8" w:color="CCEEFF"/>
              <w:bottom w:val="single" w:sz="8" w:color="CCEEFF"/>
            </w:tcBorders>
            <w:gridSpan w:val="3"/>
            <w:shd w:val="clear" w:color="auto" w:fill="CCEEFF"/>
          </w:tcPr>
          <w:p>
            <w:pPr>
              <w:jc w:val="center"/>
              <w:ind w:left="33"/>
              <w:spacing w:after="0" w:line="164" w:lineRule="exact"/>
              <w:rPr>
                <w:sz w:val="20"/>
                <w:szCs w:val="20"/>
                <w:color w:val="auto"/>
              </w:rPr>
            </w:pPr>
            <w:r>
              <w:rPr>
                <w:rFonts w:ascii="Times New Roman" w:cs="Times New Roman" w:eastAsia="Times New Roman" w:hAnsi="Times New Roman"/>
                <w:sz w:val="18"/>
                <w:szCs w:val="18"/>
                <w:color w:val="auto"/>
                <w:w w:val="97"/>
              </w:rPr>
              <w:t>001-14195</w:t>
            </w:r>
          </w:p>
        </w:tc>
        <w:tc>
          <w:tcPr>
            <w:tcW w:w="1260" w:type="dxa"/>
            <w:vAlign w:val="bottom"/>
            <w:tcBorders>
              <w:top w:val="single" w:sz="8" w:color="CCEEFF"/>
              <w:bottom w:val="single" w:sz="8" w:color="CCEEFF"/>
            </w:tcBorders>
            <w:gridSpan w:val="2"/>
            <w:shd w:val="clear" w:color="auto" w:fill="CCEEFF"/>
          </w:tcPr>
          <w:p>
            <w:pPr>
              <w:jc w:val="center"/>
              <w:ind w:left="333"/>
              <w:spacing w:after="0" w:line="164" w:lineRule="exact"/>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CCEEFF"/>
              <w:bottom w:val="single" w:sz="8" w:color="CCEEFF"/>
            </w:tcBorders>
            <w:gridSpan w:val="2"/>
            <w:shd w:val="clear" w:color="auto" w:fill="CCEEFF"/>
          </w:tcPr>
          <w:p>
            <w:pPr>
              <w:jc w:val="center"/>
              <w:ind w:left="115"/>
              <w:spacing w:after="0" w:line="164" w:lineRule="exact"/>
              <w:rPr>
                <w:sz w:val="20"/>
                <w:szCs w:val="20"/>
                <w:color w:val="auto"/>
              </w:rPr>
            </w:pPr>
            <w:r>
              <w:rPr>
                <w:rFonts w:ascii="Times New Roman" w:cs="Times New Roman" w:eastAsia="Times New Roman" w:hAnsi="Times New Roman"/>
                <w:sz w:val="18"/>
                <w:szCs w:val="18"/>
                <w:color w:val="auto"/>
                <w:w w:val="95"/>
              </w:rPr>
              <w:t>10.2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80" w:type="dxa"/>
            <w:vAlign w:val="bottom"/>
          </w:tcPr>
          <w:p>
            <w:pPr>
              <w:spacing w:after="0"/>
              <w:rPr>
                <w:sz w:val="24"/>
                <w:szCs w:val="24"/>
                <w:color w:val="auto"/>
              </w:rPr>
            </w:pPr>
          </w:p>
        </w:tc>
        <w:tc>
          <w:tcPr>
            <w:tcW w:w="42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Form of Restricted Stock Units Agreement (Non-Employee</w:t>
              </w:r>
            </w:hyperlink>
          </w:p>
        </w:tc>
        <w:tc>
          <w:tcPr>
            <w:tcW w:w="860" w:type="dxa"/>
            <w:vAlign w:val="bottom"/>
            <w:gridSpan w:val="27"/>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60" w:type="dxa"/>
            <w:vAlign w:val="bottom"/>
            <w:gridSpan w:val="40"/>
          </w:tcPr>
          <w:p>
            <w:pPr>
              <w:spacing w:after="0" w:line="15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Director) (For grants made beginning October 1, 2023) Pursuant to</w:t>
              </w:r>
            </w:hyperlink>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October 26,</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780" w:type="dxa"/>
            <w:vAlign w:val="bottom"/>
            <w:tcBorders>
              <w:top w:val="single" w:sz="8" w:color="0000FF"/>
            </w:tcBorders>
            <w:gridSpan w:val="36"/>
          </w:tcPr>
          <w:p>
            <w:pPr>
              <w:spacing w:after="0" w:line="15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the American Tower Corporation 2007 Equity Incentive Plan, as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520" w:type="dxa"/>
            <w:vAlign w:val="bottom"/>
            <w:tcBorders>
              <w:top w:val="single" w:sz="8" w:color="0000FF"/>
            </w:tcBorders>
            <w:gridSpan w:val="23"/>
          </w:tcPr>
          <w:p>
            <w:pPr>
              <w:spacing w:after="0" w:line="164"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80"/>
              <w:spacing w:after="0" w:line="164" w:lineRule="exact"/>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gridSpan w:val="3"/>
          </w:tcPr>
          <w:p>
            <w:pPr>
              <w:jc w:val="center"/>
              <w:ind w:left="33"/>
              <w:spacing w:after="0" w:line="164" w:lineRule="exact"/>
              <w:rPr>
                <w:sz w:val="20"/>
                <w:szCs w:val="20"/>
                <w:color w:val="auto"/>
              </w:rPr>
            </w:pPr>
            <w:r>
              <w:rPr>
                <w:rFonts w:ascii="Times New Roman" w:cs="Times New Roman" w:eastAsia="Times New Roman" w:hAnsi="Times New Roman"/>
                <w:sz w:val="18"/>
                <w:szCs w:val="18"/>
                <w:color w:val="auto"/>
                <w:w w:val="97"/>
              </w:rPr>
              <w:t>001-14195</w:t>
            </w:r>
          </w:p>
        </w:tc>
        <w:tc>
          <w:tcPr>
            <w:tcW w:w="1260" w:type="dxa"/>
            <w:vAlign w:val="bottom"/>
            <w:gridSpan w:val="2"/>
          </w:tcPr>
          <w:p>
            <w:pPr>
              <w:jc w:val="center"/>
              <w:ind w:left="333"/>
              <w:spacing w:after="0" w:line="164" w:lineRule="exact"/>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Pr>
          <w:p>
            <w:pPr>
              <w:spacing w:after="0"/>
              <w:rPr>
                <w:sz w:val="14"/>
                <w:szCs w:val="14"/>
                <w:color w:val="auto"/>
              </w:rPr>
            </w:pPr>
          </w:p>
        </w:tc>
        <w:tc>
          <w:tcPr>
            <w:tcW w:w="900" w:type="dxa"/>
            <w:vAlign w:val="bottom"/>
            <w:gridSpan w:val="2"/>
          </w:tcPr>
          <w:p>
            <w:pPr>
              <w:jc w:val="center"/>
              <w:ind w:left="115"/>
              <w:spacing w:after="0" w:line="164" w:lineRule="exact"/>
              <w:rPr>
                <w:sz w:val="20"/>
                <w:szCs w:val="20"/>
                <w:color w:val="auto"/>
              </w:rPr>
            </w:pPr>
            <w:r>
              <w:rPr>
                <w:rFonts w:ascii="Times New Roman" w:cs="Times New Roman" w:eastAsia="Times New Roman" w:hAnsi="Times New Roman"/>
                <w:sz w:val="18"/>
                <w:szCs w:val="18"/>
                <w:color w:val="auto"/>
                <w:w w:val="95"/>
              </w:rPr>
              <w:t>10.3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10.12*</w:t>
            </w:r>
          </w:p>
        </w:tc>
        <w:tc>
          <w:tcPr>
            <w:tcW w:w="380" w:type="dxa"/>
            <w:vAlign w:val="bottom"/>
            <w:shd w:val="clear" w:color="auto" w:fill="CCEEFF"/>
          </w:tcPr>
          <w:p>
            <w:pPr>
              <w:spacing w:after="0"/>
              <w:rPr>
                <w:sz w:val="16"/>
                <w:szCs w:val="16"/>
                <w:color w:val="auto"/>
              </w:rPr>
            </w:pPr>
          </w:p>
        </w:tc>
        <w:tc>
          <w:tcPr>
            <w:tcW w:w="5060" w:type="dxa"/>
            <w:vAlign w:val="bottom"/>
            <w:gridSpan w:val="40"/>
            <w:shd w:val="clear" w:color="auto" w:fill="CCEEFF"/>
          </w:tcPr>
          <w:p>
            <w:pPr>
              <w:spacing w:after="0" w:line="184"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Restricted Stock Units Agreement (U.S. Employee) (For</w:t>
              </w:r>
            </w:hyperlink>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0" w:type="dxa"/>
            <w:vAlign w:val="bottom"/>
            <w:gridSpan w:val="3"/>
            <w:vMerge w:val="restart"/>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7"/>
              </w:rPr>
              <w:t>February 27,</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600" w:type="dxa"/>
            <w:vAlign w:val="bottom"/>
            <w:tcBorders>
              <w:top w:val="single" w:sz="8" w:color="0000FF"/>
              <w:bottom w:val="single" w:sz="8" w:color="0000FF"/>
            </w:tcBorders>
            <w:gridSpan w:val="27"/>
            <w:shd w:val="clear" w:color="auto" w:fill="CCEEFF"/>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grants made beginning January 1, 2024) Pursuant to the American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1600" w:type="dxa"/>
            <w:vAlign w:val="bottom"/>
            <w:tcBorders>
              <w:top w:val="single" w:sz="8" w:color="CCEEFF"/>
              <w:bottom w:val="single" w:sz="8" w:color="CCEEFF"/>
            </w:tcBorders>
            <w:gridSpan w:val="3"/>
            <w:vMerge w:val="continue"/>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700" w:type="dxa"/>
            <w:vAlign w:val="bottom"/>
            <w:gridSpan w:val="32"/>
            <w:shd w:val="clear" w:color="auto" w:fill="CCEEFF"/>
          </w:tcPr>
          <w:p>
            <w:pPr>
              <w:spacing w:after="0" w:line="138"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Tower Corporation 2007 Equity Incentive Plan, as amended</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gridSpan w:val="4"/>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center"/>
              <w:ind w:right="80"/>
              <w:spacing w:after="0" w:line="131" w:lineRule="exact"/>
              <w:rPr>
                <w:sz w:val="20"/>
                <w:szCs w:val="20"/>
                <w:color w:val="auto"/>
              </w:rPr>
            </w:pPr>
            <w:r>
              <w:rPr>
                <w:rFonts w:ascii="Times New Roman" w:cs="Times New Roman" w:eastAsia="Times New Roman" w:hAnsi="Times New Roman"/>
                <w:sz w:val="15"/>
                <w:szCs w:val="15"/>
                <w:color w:val="auto"/>
              </w:rPr>
              <w:t>10-K</w:t>
            </w:r>
          </w:p>
        </w:tc>
        <w:tc>
          <w:tcPr>
            <w:tcW w:w="1480" w:type="dxa"/>
            <w:vAlign w:val="bottom"/>
            <w:gridSpan w:val="3"/>
            <w:shd w:val="clear" w:color="auto" w:fill="CCEEFF"/>
          </w:tcPr>
          <w:p>
            <w:pPr>
              <w:jc w:val="center"/>
              <w:ind w:left="33"/>
              <w:spacing w:after="0" w:line="131" w:lineRule="exact"/>
              <w:rPr>
                <w:sz w:val="20"/>
                <w:szCs w:val="20"/>
                <w:color w:val="auto"/>
              </w:rPr>
            </w:pPr>
            <w:r>
              <w:rPr>
                <w:rFonts w:ascii="Times New Roman" w:cs="Times New Roman" w:eastAsia="Times New Roman" w:hAnsi="Times New Roman"/>
                <w:sz w:val="15"/>
                <w:szCs w:val="15"/>
                <w:color w:val="auto"/>
              </w:rPr>
              <w:t>001-14195</w:t>
            </w:r>
          </w:p>
        </w:tc>
        <w:tc>
          <w:tcPr>
            <w:tcW w:w="1260" w:type="dxa"/>
            <w:vAlign w:val="bottom"/>
            <w:gridSpan w:val="2"/>
            <w:shd w:val="clear" w:color="auto" w:fill="CCEEFF"/>
          </w:tcPr>
          <w:p>
            <w:pPr>
              <w:jc w:val="center"/>
              <w:ind w:left="333"/>
              <w:spacing w:after="0" w:line="131" w:lineRule="exact"/>
              <w:rPr>
                <w:sz w:val="20"/>
                <w:szCs w:val="20"/>
                <w:color w:val="auto"/>
              </w:rPr>
            </w:pPr>
            <w:r>
              <w:rPr>
                <w:rFonts w:ascii="Times New Roman" w:cs="Times New Roman" w:eastAsia="Times New Roman" w:hAnsi="Times New Roman"/>
                <w:sz w:val="15"/>
                <w:szCs w:val="15"/>
                <w:color w:val="auto"/>
              </w:rPr>
              <w:t>2024</w:t>
            </w: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left="95"/>
              <w:spacing w:after="0" w:line="131" w:lineRule="exact"/>
              <w:rPr>
                <w:sz w:val="20"/>
                <w:szCs w:val="20"/>
                <w:color w:val="auto"/>
              </w:rPr>
            </w:pPr>
            <w:r>
              <w:rPr>
                <w:rFonts w:ascii="Times New Roman" w:cs="Times New Roman" w:eastAsia="Times New Roman" w:hAnsi="Times New Roman"/>
                <w:sz w:val="15"/>
                <w:szCs w:val="15"/>
                <w:color w:val="auto"/>
              </w:rPr>
              <w:t>10.14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80" w:type="dxa"/>
            <w:vAlign w:val="bottom"/>
          </w:tcPr>
          <w:p>
            <w:pPr>
              <w:spacing w:after="0"/>
              <w:rPr>
                <w:sz w:val="24"/>
                <w:szCs w:val="24"/>
                <w:color w:val="auto"/>
              </w:rPr>
            </w:pPr>
          </w:p>
        </w:tc>
        <w:tc>
          <w:tcPr>
            <w:tcW w:w="5060" w:type="dxa"/>
            <w:vAlign w:val="bottom"/>
            <w:gridSpan w:val="4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Restricted Stock Units Agreement (Non-U.S. Employee)</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40" w:type="dxa"/>
            <w:vAlign w:val="bottom"/>
            <w:tcBorders>
              <w:top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(For grants made beginning January 1, 2024) Pursuant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3"/>
            <w:vMerge w:val="restart"/>
          </w:tcPr>
          <w:p>
            <w:pPr>
              <w:jc w:val="center"/>
              <w:ind w:left="13"/>
              <w:spacing w:after="0"/>
              <w:rPr>
                <w:sz w:val="20"/>
                <w:szCs w:val="20"/>
                <w:color w:val="auto"/>
              </w:rPr>
            </w:pPr>
            <w:r>
              <w:rPr>
                <w:rFonts w:ascii="Times New Roman" w:cs="Times New Roman" w:eastAsia="Times New Roman" w:hAnsi="Times New Roman"/>
                <w:sz w:val="18"/>
                <w:szCs w:val="18"/>
                <w:color w:val="auto"/>
                <w:w w:val="97"/>
              </w:rPr>
              <w:t>February 27,</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6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American Tower Corporation 2007 Equity Incentive Plan, as</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8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80"/>
              <w:spacing w:after="0" w:line="164" w:lineRule="exact"/>
              <w:rPr>
                <w:sz w:val="20"/>
                <w:szCs w:val="20"/>
                <w:color w:val="auto"/>
              </w:rPr>
            </w:pPr>
            <w:r>
              <w:rPr>
                <w:rFonts w:ascii="Times New Roman" w:cs="Times New Roman" w:eastAsia="Times New Roman" w:hAnsi="Times New Roman"/>
                <w:sz w:val="18"/>
                <w:szCs w:val="18"/>
                <w:color w:val="auto"/>
                <w:w w:val="97"/>
              </w:rPr>
              <w:t>10-K</w:t>
            </w:r>
          </w:p>
        </w:tc>
        <w:tc>
          <w:tcPr>
            <w:tcW w:w="1480" w:type="dxa"/>
            <w:vAlign w:val="bottom"/>
            <w:gridSpan w:val="3"/>
          </w:tcPr>
          <w:p>
            <w:pPr>
              <w:jc w:val="center"/>
              <w:ind w:left="33"/>
              <w:spacing w:after="0" w:line="164" w:lineRule="exact"/>
              <w:rPr>
                <w:sz w:val="20"/>
                <w:szCs w:val="20"/>
                <w:color w:val="auto"/>
              </w:rPr>
            </w:pPr>
            <w:r>
              <w:rPr>
                <w:rFonts w:ascii="Times New Roman" w:cs="Times New Roman" w:eastAsia="Times New Roman" w:hAnsi="Times New Roman"/>
                <w:sz w:val="18"/>
                <w:szCs w:val="18"/>
                <w:color w:val="auto"/>
                <w:w w:val="97"/>
              </w:rPr>
              <w:t>001-14195</w:t>
            </w:r>
          </w:p>
        </w:tc>
        <w:tc>
          <w:tcPr>
            <w:tcW w:w="1260" w:type="dxa"/>
            <w:vAlign w:val="bottom"/>
            <w:gridSpan w:val="2"/>
          </w:tcPr>
          <w:p>
            <w:pPr>
              <w:jc w:val="center"/>
              <w:ind w:left="333"/>
              <w:spacing w:after="0" w:line="164" w:lineRule="exact"/>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tcPr>
          <w:p>
            <w:pPr>
              <w:spacing w:after="0"/>
              <w:rPr>
                <w:sz w:val="14"/>
                <w:szCs w:val="14"/>
                <w:color w:val="auto"/>
              </w:rPr>
            </w:pPr>
          </w:p>
        </w:tc>
        <w:tc>
          <w:tcPr>
            <w:tcW w:w="900" w:type="dxa"/>
            <w:vAlign w:val="bottom"/>
            <w:gridSpan w:val="2"/>
          </w:tcPr>
          <w:p>
            <w:pPr>
              <w:jc w:val="center"/>
              <w:ind w:left="95"/>
              <w:spacing w:after="0" w:line="164" w:lineRule="exact"/>
              <w:rPr>
                <w:sz w:val="20"/>
                <w:szCs w:val="20"/>
                <w:color w:val="auto"/>
              </w:rPr>
            </w:pPr>
            <w:r>
              <w:rPr>
                <w:rFonts w:ascii="Times New Roman" w:cs="Times New Roman" w:eastAsia="Times New Roman" w:hAnsi="Times New Roman"/>
                <w:sz w:val="18"/>
                <w:szCs w:val="18"/>
                <w:color w:val="auto"/>
                <w:w w:val="98"/>
              </w:rPr>
              <w:t>10.15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10.14*</w:t>
            </w:r>
          </w:p>
        </w:tc>
        <w:tc>
          <w:tcPr>
            <w:tcW w:w="380" w:type="dxa"/>
            <w:vAlign w:val="bottom"/>
            <w:shd w:val="clear" w:color="auto" w:fill="CCEEFF"/>
          </w:tcPr>
          <w:p>
            <w:pPr>
              <w:spacing w:after="0"/>
              <w:rPr>
                <w:sz w:val="16"/>
                <w:szCs w:val="16"/>
                <w:color w:val="auto"/>
              </w:rPr>
            </w:pPr>
          </w:p>
        </w:tc>
        <w:tc>
          <w:tcPr>
            <w:tcW w:w="5060" w:type="dxa"/>
            <w:vAlign w:val="bottom"/>
            <w:gridSpan w:val="40"/>
            <w:shd w:val="clear" w:color="auto" w:fill="CCEEFF"/>
          </w:tcPr>
          <w:p>
            <w:pPr>
              <w:spacing w:after="0" w:line="184"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Notice of Grant of Performance-Based Restricted Stock</w:t>
              </w:r>
            </w:hyperlink>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560" w:type="dxa"/>
            <w:vAlign w:val="bottom"/>
            <w:tcBorders>
              <w:top w:val="single" w:sz="8" w:color="0000FF"/>
            </w:tcBorders>
            <w:gridSpan w:val="25"/>
            <w:shd w:val="clear" w:color="auto" w:fill="CCEEFF"/>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Units Agreement (U.S. Employee) (For grants made beginning</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460" w:type="dxa"/>
            <w:vAlign w:val="bottom"/>
            <w:tcBorders>
              <w:top w:val="single" w:sz="8" w:color="0000FF"/>
              <w:bottom w:val="single" w:sz="8" w:color="0000FF"/>
            </w:tcBorders>
            <w:gridSpan w:val="22"/>
            <w:shd w:val="clear" w:color="auto" w:fill="CCEEFF"/>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February 28, 2024) Pursuant to the American Tower Corporation</w:t>
              </w:r>
            </w:hyperlink>
          </w:p>
        </w:tc>
        <w:tc>
          <w:tcPr>
            <w:tcW w:w="12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2"/>
              </w:rPr>
              <w:t>8-K</w:t>
            </w:r>
          </w:p>
        </w:tc>
        <w:tc>
          <w:tcPr>
            <w:tcW w:w="1480" w:type="dxa"/>
            <w:vAlign w:val="bottom"/>
            <w:tcBorders>
              <w:top w:val="single" w:sz="8" w:color="CCEEFF"/>
              <w:bottom w:val="single" w:sz="8" w:color="CCEEFF"/>
            </w:tcBorders>
            <w:gridSpan w:val="3"/>
            <w:vMerge w:val="restart"/>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7"/>
              </w:rPr>
              <w:t>001-14195</w:t>
            </w:r>
          </w:p>
        </w:tc>
        <w:tc>
          <w:tcPr>
            <w:tcW w:w="1600" w:type="dxa"/>
            <w:vAlign w:val="bottom"/>
            <w:tcBorders>
              <w:top w:val="single" w:sz="8" w:color="CCEEFF"/>
              <w:bottom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March 14, 2024</w:t>
            </w:r>
          </w:p>
        </w:tc>
        <w:tc>
          <w:tcPr>
            <w:tcW w:w="900" w:type="dxa"/>
            <w:vAlign w:val="bottom"/>
            <w:tcBorders>
              <w:top w:val="single" w:sz="8" w:color="CCEEFF"/>
              <w:bottom w:val="single" w:sz="8" w:color="CCEEFF"/>
            </w:tcBorders>
            <w:gridSpan w:val="2"/>
            <w:vMerge w:val="restart"/>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5"/>
              </w:rPr>
              <w:t>10.1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580" w:type="dxa"/>
            <w:vAlign w:val="bottom"/>
            <w:gridSpan w:val="26"/>
            <w:shd w:val="clear" w:color="auto" w:fill="CCEEFF"/>
          </w:tcPr>
          <w:p>
            <w:pPr>
              <w:spacing w:after="0" w:line="164"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2007 Equity Incentive Plan, as amended</w:t>
              </w:r>
            </w:hyperlink>
          </w:p>
        </w:tc>
        <w:tc>
          <w:tcPr>
            <w:tcW w:w="40" w:type="dxa"/>
            <w:vAlign w:val="bottom"/>
            <w:gridSpan w:val="2"/>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gridSpan w:val="4"/>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80" w:type="dxa"/>
            <w:vAlign w:val="bottom"/>
            <w:gridSpan w:val="3"/>
            <w:vMerge w:val="continue"/>
            <w:shd w:val="clear" w:color="auto" w:fill="CCEEFF"/>
          </w:tcPr>
          <w:p>
            <w:pPr>
              <w:spacing w:after="0"/>
              <w:rPr>
                <w:sz w:val="14"/>
                <w:szCs w:val="14"/>
                <w:color w:val="auto"/>
              </w:rPr>
            </w:pPr>
          </w:p>
        </w:tc>
        <w:tc>
          <w:tcPr>
            <w:tcW w:w="160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80" w:type="dxa"/>
            <w:vAlign w:val="bottom"/>
          </w:tcPr>
          <w:p>
            <w:pPr>
              <w:spacing w:after="0"/>
              <w:rPr>
                <w:sz w:val="24"/>
                <w:szCs w:val="24"/>
                <w:color w:val="auto"/>
              </w:rPr>
            </w:pPr>
          </w:p>
        </w:tc>
        <w:tc>
          <w:tcPr>
            <w:tcW w:w="5060" w:type="dxa"/>
            <w:vAlign w:val="bottom"/>
            <w:gridSpan w:val="4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Notice of Grant of Performance-Based Restricted Stock</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6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Units Agreement (Non-U.S. Employee) (For grants made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40" w:type="dxa"/>
            <w:vAlign w:val="bottom"/>
            <w:tcBorders>
              <w:top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beginning February 28, 2024) Pursuant to the American</w:t>
              </w:r>
            </w:hyperlink>
          </w:p>
        </w:tc>
        <w:tc>
          <w:tcPr>
            <w:tcW w:w="1020" w:type="dxa"/>
            <w:vAlign w:val="bottom"/>
            <w:gridSpan w:val="29"/>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Tower</w:t>
              </w:r>
            </w:hyperlink>
          </w:p>
        </w:tc>
        <w:tc>
          <w:tcPr>
            <w:tcW w:w="320" w:type="dxa"/>
            <w:vAlign w:val="bottom"/>
          </w:tcPr>
          <w:p>
            <w:pPr>
              <w:spacing w:after="0"/>
              <w:rPr>
                <w:sz w:val="13"/>
                <w:szCs w:val="13"/>
                <w:color w:val="auto"/>
              </w:rPr>
            </w:pPr>
          </w:p>
        </w:tc>
        <w:tc>
          <w:tcPr>
            <w:tcW w:w="7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color w:val="auto"/>
                <w:w w:val="92"/>
              </w:rPr>
              <w:t>8-K</w:t>
            </w:r>
          </w:p>
        </w:tc>
        <w:tc>
          <w:tcPr>
            <w:tcW w:w="1480" w:type="dxa"/>
            <w:vAlign w:val="bottom"/>
            <w:gridSpan w:val="3"/>
            <w:vMerge w:val="restart"/>
          </w:tcPr>
          <w:p>
            <w:pPr>
              <w:jc w:val="center"/>
              <w:ind w:left="33"/>
              <w:spacing w:after="0"/>
              <w:rPr>
                <w:sz w:val="20"/>
                <w:szCs w:val="20"/>
                <w:color w:val="auto"/>
              </w:rPr>
            </w:pPr>
            <w:r>
              <w:rPr>
                <w:rFonts w:ascii="Times New Roman" w:cs="Times New Roman" w:eastAsia="Times New Roman" w:hAnsi="Times New Roman"/>
                <w:sz w:val="18"/>
                <w:szCs w:val="18"/>
                <w:color w:val="auto"/>
                <w:w w:val="97"/>
              </w:rPr>
              <w:t>001-14195</w:t>
            </w: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March 14, 2024</w:t>
            </w:r>
          </w:p>
        </w:tc>
        <w:tc>
          <w:tcPr>
            <w:tcW w:w="900" w:type="dxa"/>
            <w:vAlign w:val="bottom"/>
            <w:gridSpan w:val="2"/>
            <w:vMerge w:val="restart"/>
          </w:tcPr>
          <w:p>
            <w:pPr>
              <w:jc w:val="center"/>
              <w:ind w:left="115"/>
              <w:spacing w:after="0"/>
              <w:rPr>
                <w:sz w:val="20"/>
                <w:szCs w:val="20"/>
                <w:color w:val="auto"/>
              </w:rPr>
            </w:pPr>
            <w:r>
              <w:rPr>
                <w:rFonts w:ascii="Times New Roman" w:cs="Times New Roman" w:eastAsia="Times New Roman" w:hAnsi="Times New Roman"/>
                <w:sz w:val="18"/>
                <w:szCs w:val="18"/>
                <w:color w:val="auto"/>
                <w:w w:val="95"/>
              </w:rPr>
              <w:t>10.2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20" w:type="dxa"/>
            <w:vAlign w:val="bottom"/>
            <w:tcBorders>
              <w:top w:val="single" w:sz="8" w:color="0000FF"/>
            </w:tcBorders>
            <w:gridSpan w:val="20"/>
          </w:tcPr>
          <w:p>
            <w:pPr>
              <w:spacing w:after="0" w:line="164"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Corporation 2007 Equity Incentive Plan, as amended</w:t>
              </w:r>
            </w:hyperlink>
          </w:p>
        </w:tc>
        <w:tc>
          <w:tcPr>
            <w:tcW w:w="20" w:type="dxa"/>
            <w:vAlign w:val="bottom"/>
          </w:tcPr>
          <w:p>
            <w:pPr>
              <w:spacing w:after="0"/>
              <w:rPr>
                <w:sz w:val="14"/>
                <w:szCs w:val="14"/>
                <w:color w:val="auto"/>
              </w:rPr>
            </w:pPr>
          </w:p>
        </w:tc>
        <w:tc>
          <w:tcPr>
            <w:tcW w:w="18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9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54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10.16</w:t>
            </w:r>
          </w:p>
        </w:tc>
        <w:tc>
          <w:tcPr>
            <w:tcW w:w="380" w:type="dxa"/>
            <w:vAlign w:val="bottom"/>
            <w:shd w:val="clear" w:color="auto" w:fill="CCEEFF"/>
          </w:tcPr>
          <w:p>
            <w:pPr>
              <w:spacing w:after="0"/>
              <w:rPr>
                <w:sz w:val="16"/>
                <w:szCs w:val="16"/>
                <w:color w:val="auto"/>
              </w:rPr>
            </w:pPr>
          </w:p>
        </w:tc>
        <w:tc>
          <w:tcPr>
            <w:tcW w:w="5060" w:type="dxa"/>
            <w:vAlign w:val="bottom"/>
            <w:gridSpan w:val="40"/>
            <w:shd w:val="clear" w:color="auto" w:fill="CCEEFF"/>
          </w:tcPr>
          <w:p>
            <w:pPr>
              <w:spacing w:after="0" w:line="184"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Second Amended and Restated Loan and Security Agreement,</w:t>
              </w:r>
            </w:hyperlink>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400" w:type="dxa"/>
            <w:vAlign w:val="bottom"/>
            <w:tcBorders>
              <w:top w:val="single" w:sz="8" w:color="0000FF"/>
            </w:tcBorders>
            <w:gridSpan w:val="19"/>
            <w:shd w:val="clear" w:color="auto" w:fill="CCEEFF"/>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dated as of March 29, 2018, by and between American Tower</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7"/>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300" w:type="dxa"/>
            <w:vAlign w:val="bottom"/>
            <w:tcBorders>
              <w:top w:val="single" w:sz="8" w:color="0000FF"/>
              <w:bottom w:val="single" w:sz="8" w:color="0000FF"/>
            </w:tcBorders>
            <w:gridSpan w:val="16"/>
            <w:shd w:val="clear" w:color="auto" w:fill="CCEEFF"/>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Asset Sub, LLC and American Tower Assets Sub II, LLC, as</w:t>
              </w:r>
            </w:hyperlink>
          </w:p>
        </w:tc>
        <w:tc>
          <w:tcPr>
            <w:tcW w:w="40" w:type="dxa"/>
            <w:vAlign w:val="bottom"/>
            <w:tcBorders>
              <w:top w:val="single" w:sz="8" w:color="0000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60" w:type="dxa"/>
            <w:vAlign w:val="bottom"/>
            <w:gridSpan w:val="40"/>
            <w:shd w:val="clear" w:color="auto" w:fill="CCEEFF"/>
          </w:tcPr>
          <w:p>
            <w:pPr>
              <w:spacing w:after="0" w:line="164"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Borrowers, and U.S. Bank National Association, as Trustee for</w:t>
              </w:r>
            </w:hyperlink>
          </w:p>
        </w:tc>
        <w:tc>
          <w:tcPr>
            <w:tcW w:w="10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gridSpan w:val="3"/>
            <w:vMerge w:val="restart"/>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7"/>
              </w:rPr>
              <w:t>001-14195</w:t>
            </w:r>
          </w:p>
        </w:tc>
        <w:tc>
          <w:tcPr>
            <w:tcW w:w="160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May 2, 2018</w:t>
            </w:r>
          </w:p>
        </w:tc>
        <w:tc>
          <w:tcPr>
            <w:tcW w:w="900" w:type="dxa"/>
            <w:vAlign w:val="bottom"/>
            <w:gridSpan w:val="2"/>
            <w:vMerge w:val="restart"/>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5"/>
              </w:rPr>
              <w:t>10.2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440" w:type="dxa"/>
            <w:vAlign w:val="bottom"/>
            <w:tcBorders>
              <w:top w:val="single" w:sz="8" w:color="0000FF"/>
            </w:tcBorders>
            <w:gridSpan w:val="21"/>
            <w:shd w:val="clear" w:color="auto" w:fill="CCEEFF"/>
          </w:tcPr>
          <w:p>
            <w:pPr>
              <w:spacing w:after="0" w:line="138"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American Tower Trust I, as Lender</w:t>
              </w:r>
            </w:hyperlink>
          </w:p>
        </w:tc>
        <w:tc>
          <w:tcPr>
            <w:tcW w:w="180" w:type="dxa"/>
            <w:vAlign w:val="bottom"/>
            <w:tcBorders>
              <w:top w:val="single" w:sz="8" w:color="CCEEFF"/>
            </w:tcBorders>
            <w:gridSpan w:val="7"/>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gridSpan w:val="3"/>
            <w:vMerge w:val="continue"/>
            <w:shd w:val="clear" w:color="auto" w:fill="CCEEFF"/>
          </w:tcPr>
          <w:p>
            <w:pPr>
              <w:spacing w:after="0"/>
              <w:rPr>
                <w:sz w:val="13"/>
                <w:szCs w:val="13"/>
                <w:color w:val="auto"/>
              </w:rPr>
            </w:pPr>
          </w:p>
        </w:tc>
        <w:tc>
          <w:tcPr>
            <w:tcW w:w="1480" w:type="dxa"/>
            <w:vAlign w:val="bottom"/>
            <w:tcBorders>
              <w:top w:val="single" w:sz="8" w:color="CCEEFF"/>
            </w:tcBorders>
            <w:gridSpan w:val="3"/>
            <w:vMerge w:val="continue"/>
            <w:shd w:val="clear" w:color="auto" w:fill="CCEEFF"/>
          </w:tcPr>
          <w:p>
            <w:pPr>
              <w:spacing w:after="0"/>
              <w:rPr>
                <w:sz w:val="13"/>
                <w:szCs w:val="13"/>
                <w:color w:val="auto"/>
              </w:rPr>
            </w:pPr>
          </w:p>
        </w:tc>
        <w:tc>
          <w:tcPr>
            <w:tcW w:w="1600" w:type="dxa"/>
            <w:vAlign w:val="bottom"/>
            <w:tcBorders>
              <w:top w:val="single" w:sz="8" w:color="CCEEFF"/>
            </w:tcBorders>
            <w:gridSpan w:val="3"/>
            <w:vMerge w:val="continue"/>
            <w:shd w:val="clear" w:color="auto" w:fill="CCEEFF"/>
          </w:tcPr>
          <w:p>
            <w:pPr>
              <w:spacing w:after="0"/>
              <w:rPr>
                <w:sz w:val="13"/>
                <w:szCs w:val="13"/>
                <w:color w:val="auto"/>
              </w:rPr>
            </w:pPr>
          </w:p>
        </w:tc>
        <w:tc>
          <w:tcPr>
            <w:tcW w:w="900" w:type="dxa"/>
            <w:vAlign w:val="bottom"/>
            <w:tcBorders>
              <w:top w:val="single" w:sz="8" w:color="CCEEFF"/>
            </w:tcBorders>
            <w:gridSpan w:val="2"/>
            <w:vMerge w:val="continue"/>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80" w:type="dxa"/>
            <w:vAlign w:val="bottom"/>
          </w:tcPr>
          <w:p>
            <w:pPr>
              <w:spacing w:after="0"/>
              <w:rPr>
                <w:sz w:val="24"/>
                <w:szCs w:val="24"/>
                <w:color w:val="auto"/>
              </w:rPr>
            </w:pPr>
          </w:p>
        </w:tc>
        <w:tc>
          <w:tcPr>
            <w:tcW w:w="5060" w:type="dxa"/>
            <w:vAlign w:val="bottom"/>
            <w:gridSpan w:val="4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Second Supplement and Amendment dated as of March 13, 2023 to</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20" w:type="dxa"/>
            <w:vAlign w:val="bottom"/>
            <w:tcBorders>
              <w:top w:val="single" w:sz="8" w:color="0000FF"/>
            </w:tcBorders>
            <w:gridSpan w:val="38"/>
          </w:tcPr>
          <w:p>
            <w:pPr>
              <w:spacing w:after="0" w:line="15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the Second Amended and Restated Loan and Security Agreement</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dated as of March 29, 2018, by and among American Tower Asset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80" w:type="dxa"/>
            <w:vAlign w:val="bottom"/>
            <w:tcBorders>
              <w:bottom w:val="single" w:sz="8" w:color="0000FF"/>
            </w:tcBorders>
            <w:gridSpan w:val="31"/>
          </w:tcPr>
          <w:p>
            <w:pPr>
              <w:spacing w:after="0" w:line="164"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Sub, LLC and American Tower Asset Sub II, LLC, as Borrowers,</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60" w:type="dxa"/>
            <w:vAlign w:val="bottom"/>
            <w:gridSpan w:val="40"/>
          </w:tcPr>
          <w:p>
            <w:pPr>
              <w:spacing w:after="0" w:line="15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and U.S. Bank Trust Company, National Association, as Trustee for</w:t>
              </w:r>
            </w:hyperlink>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40" w:type="dxa"/>
            <w:vAlign w:val="bottom"/>
            <w:tcBorders>
              <w:top w:val="single" w:sz="8" w:color="0000FF"/>
            </w:tcBorders>
            <w:gridSpan w:val="39"/>
          </w:tcPr>
          <w:p>
            <w:pPr>
              <w:spacing w:after="0" w:line="15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American Tower Trust I Secured Tower Revenue Securities as</w:t>
              </w:r>
            </w:hyperlink>
          </w:p>
        </w:tc>
        <w:tc>
          <w:tcPr>
            <w:tcW w:w="220" w:type="dxa"/>
            <w:vAlign w:val="bottom"/>
          </w:tcPr>
          <w:p>
            <w:pPr>
              <w:spacing w:after="0"/>
              <w:rPr>
                <w:sz w:val="13"/>
                <w:szCs w:val="13"/>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gridSpan w:val="3"/>
            <w:vMerge w:val="restart"/>
          </w:tcPr>
          <w:p>
            <w:pPr>
              <w:jc w:val="center"/>
              <w:ind w:left="33"/>
              <w:spacing w:after="0"/>
              <w:rPr>
                <w:sz w:val="20"/>
                <w:szCs w:val="20"/>
                <w:color w:val="auto"/>
              </w:rPr>
            </w:pPr>
            <w:r>
              <w:rPr>
                <w:rFonts w:ascii="Times New Roman" w:cs="Times New Roman" w:eastAsia="Times New Roman" w:hAnsi="Times New Roman"/>
                <w:sz w:val="18"/>
                <w:szCs w:val="18"/>
                <w:color w:val="auto"/>
                <w:w w:val="97"/>
              </w:rPr>
              <w:t>001-14195</w:t>
            </w: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April 26, 2023</w:t>
            </w:r>
          </w:p>
        </w:tc>
        <w:tc>
          <w:tcPr>
            <w:tcW w:w="900" w:type="dxa"/>
            <w:vAlign w:val="bottom"/>
            <w:gridSpan w:val="2"/>
            <w:vMerge w:val="restart"/>
          </w:tcPr>
          <w:p>
            <w:pPr>
              <w:jc w:val="center"/>
              <w:ind w:left="115"/>
              <w:spacing w:after="0"/>
              <w:rPr>
                <w:sz w:val="20"/>
                <w:szCs w:val="20"/>
                <w:color w:val="auto"/>
              </w:rPr>
            </w:pPr>
            <w:r>
              <w:rPr>
                <w:rFonts w:ascii="Times New Roman" w:cs="Times New Roman" w:eastAsia="Times New Roman" w:hAnsi="Times New Roman"/>
                <w:sz w:val="18"/>
                <w:szCs w:val="18"/>
                <w:color w:val="auto"/>
                <w:w w:val="95"/>
              </w:rPr>
              <w:t>10.1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80" w:type="dxa"/>
            <w:vAlign w:val="bottom"/>
            <w:tcBorders>
              <w:top w:val="single" w:sz="8" w:color="0000FF"/>
            </w:tcBorders>
            <w:gridSpan w:val="18"/>
          </w:tcPr>
          <w:p>
            <w:pPr>
              <w:spacing w:after="0" w:line="164"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Lender</w:t>
              </w:r>
            </w:hyperlink>
          </w:p>
        </w:tc>
        <w:tc>
          <w:tcPr>
            <w:tcW w:w="300" w:type="dxa"/>
            <w:vAlign w:val="bottom"/>
            <w:gridSpan w:val="13"/>
          </w:tcPr>
          <w:p>
            <w:pPr>
              <w:spacing w:after="0"/>
              <w:rPr>
                <w:sz w:val="14"/>
                <w:szCs w:val="14"/>
                <w:color w:val="auto"/>
              </w:rPr>
            </w:pPr>
          </w:p>
        </w:tc>
        <w:tc>
          <w:tcPr>
            <w:tcW w:w="60" w:type="dxa"/>
            <w:vAlign w:val="bottom"/>
            <w:gridSpan w:val="3"/>
          </w:tcPr>
          <w:p>
            <w:pPr>
              <w:spacing w:after="0"/>
              <w:rPr>
                <w:sz w:val="14"/>
                <w:szCs w:val="14"/>
                <w:color w:val="auto"/>
              </w:rPr>
            </w:pPr>
          </w:p>
        </w:tc>
        <w:tc>
          <w:tcPr>
            <w:tcW w:w="320" w:type="dxa"/>
            <w:vAlign w:val="bottom"/>
            <w:gridSpan w:val="6"/>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0000FF"/>
            </w:tcBorders>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10.18</w:t>
            </w:r>
          </w:p>
        </w:tc>
        <w:tc>
          <w:tcPr>
            <w:tcW w:w="380" w:type="dxa"/>
            <w:vAlign w:val="bottom"/>
            <w:shd w:val="clear" w:color="auto" w:fill="CCEEFF"/>
          </w:tcPr>
          <w:p>
            <w:pPr>
              <w:spacing w:after="0"/>
              <w:rPr>
                <w:sz w:val="16"/>
                <w:szCs w:val="16"/>
                <w:color w:val="auto"/>
              </w:rPr>
            </w:pPr>
          </w:p>
        </w:tc>
        <w:tc>
          <w:tcPr>
            <w:tcW w:w="5060" w:type="dxa"/>
            <w:vAlign w:val="bottom"/>
            <w:gridSpan w:val="40"/>
            <w:shd w:val="clear" w:color="auto" w:fill="CCEEFF"/>
          </w:tcPr>
          <w:p>
            <w:pPr>
              <w:spacing w:after="0" w:line="184"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First Amended and Restated Management Agreement, dated as of</w:t>
              </w:r>
            </w:hyperlink>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680" w:type="dxa"/>
            <w:vAlign w:val="bottom"/>
            <w:tcBorders>
              <w:top w:val="single" w:sz="8" w:color="0000FF"/>
              <w:bottom w:val="single" w:sz="8" w:color="0000FF"/>
            </w:tcBorders>
            <w:gridSpan w:val="31"/>
            <w:shd w:val="clear" w:color="auto" w:fill="CCEEFF"/>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March 15, 2013, by and between American Tower Asset Sub, LLC</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32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740" w:type="dxa"/>
            <w:vAlign w:val="bottom"/>
            <w:gridSpan w:val="34"/>
            <w:shd w:val="clear" w:color="auto" w:fill="CCEEFF"/>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and American Tower Asset Sub II, LLC, as Owners, and</w:t>
              </w:r>
            </w:hyperlink>
          </w:p>
        </w:tc>
        <w:tc>
          <w:tcPr>
            <w:tcW w:w="320" w:type="dxa"/>
            <w:vAlign w:val="bottom"/>
            <w:gridSpan w:val="6"/>
            <w:shd w:val="clear" w:color="auto" w:fill="CCEEFF"/>
          </w:tcPr>
          <w:p>
            <w:pPr>
              <w:spacing w:after="0"/>
              <w:rPr>
                <w:sz w:val="13"/>
                <w:szCs w:val="13"/>
                <w:color w:val="auto"/>
              </w:rPr>
            </w:pPr>
          </w:p>
        </w:tc>
        <w:tc>
          <w:tcPr>
            <w:tcW w:w="10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gridSpan w:val="3"/>
            <w:vMerge w:val="restart"/>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7"/>
              </w:rPr>
              <w:t>001-14195</w:t>
            </w:r>
          </w:p>
        </w:tc>
        <w:tc>
          <w:tcPr>
            <w:tcW w:w="160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May 1, 2013</w:t>
            </w:r>
          </w:p>
        </w:tc>
        <w:tc>
          <w:tcPr>
            <w:tcW w:w="900" w:type="dxa"/>
            <w:vAlign w:val="bottom"/>
            <w:gridSpan w:val="2"/>
            <w:vMerge w:val="restart"/>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5"/>
              </w:rPr>
              <w:t>10.2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0000FF"/>
            </w:tcBorders>
            <w:gridSpan w:val="10"/>
            <w:shd w:val="clear" w:color="auto" w:fill="CCEEFF"/>
          </w:tcPr>
          <w:p>
            <w:pPr>
              <w:spacing w:after="0" w:line="164"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SpectraSite Communications, LLC, as Manager</w:t>
              </w:r>
            </w:hyperlink>
          </w:p>
        </w:tc>
        <w:tc>
          <w:tcPr>
            <w:tcW w:w="1080" w:type="dxa"/>
            <w:vAlign w:val="bottom"/>
            <w:tcBorders>
              <w:top w:val="single" w:sz="8" w:color="CCEEFF"/>
            </w:tcBorders>
            <w:gridSpan w:val="30"/>
            <w:shd w:val="clear" w:color="auto" w:fill="CCEEFF"/>
          </w:tcPr>
          <w:p>
            <w:pPr>
              <w:spacing w:after="0"/>
              <w:rPr>
                <w:sz w:val="14"/>
                <w:szCs w:val="14"/>
                <w:color w:val="auto"/>
              </w:rPr>
            </w:pPr>
          </w:p>
        </w:tc>
        <w:tc>
          <w:tcPr>
            <w:tcW w:w="1080" w:type="dxa"/>
            <w:vAlign w:val="bottom"/>
            <w:tcBorders>
              <w:top w:val="single" w:sz="8" w:color="CCEEFF"/>
            </w:tcBorders>
            <w:gridSpan w:val="3"/>
            <w:vMerge w:val="continue"/>
            <w:shd w:val="clear" w:color="auto" w:fill="CCEEFF"/>
          </w:tcPr>
          <w:p>
            <w:pPr>
              <w:spacing w:after="0"/>
              <w:rPr>
                <w:sz w:val="14"/>
                <w:szCs w:val="14"/>
                <w:color w:val="auto"/>
              </w:rPr>
            </w:pPr>
          </w:p>
        </w:tc>
        <w:tc>
          <w:tcPr>
            <w:tcW w:w="1480" w:type="dxa"/>
            <w:vAlign w:val="bottom"/>
            <w:tcBorders>
              <w:top w:val="single" w:sz="8" w:color="CCEEFF"/>
            </w:tcBorders>
            <w:gridSpan w:val="3"/>
            <w:vMerge w:val="continue"/>
            <w:shd w:val="clear" w:color="auto" w:fill="CCEEFF"/>
          </w:tcPr>
          <w:p>
            <w:pPr>
              <w:spacing w:after="0"/>
              <w:rPr>
                <w:sz w:val="14"/>
                <w:szCs w:val="14"/>
                <w:color w:val="auto"/>
              </w:rPr>
            </w:pPr>
          </w:p>
        </w:tc>
        <w:tc>
          <w:tcPr>
            <w:tcW w:w="1600" w:type="dxa"/>
            <w:vAlign w:val="bottom"/>
            <w:tcBorders>
              <w:top w:val="single" w:sz="8" w:color="CCEEFF"/>
            </w:tcBorders>
            <w:gridSpan w:val="3"/>
            <w:vMerge w:val="continue"/>
            <w:shd w:val="clear" w:color="auto" w:fill="CCEEFF"/>
          </w:tcPr>
          <w:p>
            <w:pPr>
              <w:spacing w:after="0"/>
              <w:rPr>
                <w:sz w:val="14"/>
                <w:szCs w:val="14"/>
                <w:color w:val="auto"/>
              </w:rPr>
            </w:pPr>
          </w:p>
        </w:tc>
        <w:tc>
          <w:tcPr>
            <w:tcW w:w="900" w:type="dxa"/>
            <w:vAlign w:val="bottom"/>
            <w:tcBorders>
              <w:top w:val="single" w:sz="8" w:color="CCEEFF"/>
            </w:tcBorders>
            <w:gridSpan w:val="2"/>
            <w:vMerge w:val="continue"/>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20" w:type="dxa"/>
            <w:vAlign w:val="bottom"/>
          </w:tcPr>
          <w:p>
            <w:pPr>
              <w:spacing w:after="0"/>
              <w:rPr>
                <w:sz w:val="2"/>
                <w:szCs w:val="2"/>
                <w:color w:val="auto"/>
              </w:rPr>
            </w:pPr>
          </w:p>
        </w:tc>
        <w:tc>
          <w:tcPr>
            <w:tcW w:w="4540" w:type="dxa"/>
            <w:vAlign w:val="bottom"/>
            <w:gridSpan w:val="19"/>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540" w:type="dxa"/>
            <w:vAlign w:val="bottom"/>
            <w:gridSpan w:val="19"/>
            <w:vMerge w:val="continue"/>
          </w:tcPr>
          <w:p>
            <w:pPr>
              <w:spacing w:after="0"/>
              <w:rPr>
                <w:sz w:val="12"/>
                <w:szCs w:val="12"/>
                <w:color w:val="auto"/>
              </w:rPr>
            </w:pPr>
          </w:p>
        </w:tc>
        <w:tc>
          <w:tcPr>
            <w:tcW w:w="1100" w:type="dxa"/>
            <w:vAlign w:val="bottom"/>
            <w:gridSpan w:val="3"/>
          </w:tcPr>
          <w:p>
            <w:pPr>
              <w:ind w:left="340"/>
              <w:spacing w:after="0" w:line="138" w:lineRule="exact"/>
              <w:rPr>
                <w:sz w:val="20"/>
                <w:szCs w:val="20"/>
                <w:color w:val="auto"/>
              </w:rPr>
            </w:pPr>
            <w:r>
              <w:rPr>
                <w:rFonts w:ascii="Times New Roman" w:cs="Times New Roman" w:eastAsia="Times New Roman" w:hAnsi="Times New Roman"/>
                <w:sz w:val="14"/>
                <w:szCs w:val="14"/>
                <w:b w:val="1"/>
                <w:bCs w:val="1"/>
                <w:color w:val="auto"/>
              </w:rPr>
              <w:t>Form</w:t>
            </w:r>
          </w:p>
        </w:tc>
        <w:tc>
          <w:tcPr>
            <w:tcW w:w="560" w:type="dxa"/>
            <w:vAlign w:val="bottom"/>
          </w:tcPr>
          <w:p>
            <w:pPr>
              <w:spacing w:after="0"/>
              <w:rPr>
                <w:sz w:val="12"/>
                <w:szCs w:val="12"/>
                <w:color w:val="auto"/>
              </w:rPr>
            </w:pPr>
          </w:p>
        </w:tc>
        <w:tc>
          <w:tcPr>
            <w:tcW w:w="920" w:type="dxa"/>
            <w:vAlign w:val="bottom"/>
            <w:gridSpan w:val="2"/>
          </w:tcPr>
          <w:p>
            <w:pPr>
              <w:jc w:val="center"/>
              <w:ind w:right="460"/>
              <w:spacing w:after="0" w:line="138" w:lineRule="exact"/>
              <w:rPr>
                <w:sz w:val="20"/>
                <w:szCs w:val="20"/>
                <w:color w:val="auto"/>
              </w:rPr>
            </w:pPr>
            <w:r>
              <w:rPr>
                <w:rFonts w:ascii="Times New Roman" w:cs="Times New Roman" w:eastAsia="Times New Roman" w:hAnsi="Times New Roman"/>
                <w:sz w:val="14"/>
                <w:szCs w:val="14"/>
                <w:b w:val="1"/>
                <w:bCs w:val="1"/>
                <w:color w:val="auto"/>
                <w:w w:val="98"/>
              </w:rPr>
              <w:t>File No.</w:t>
            </w:r>
          </w:p>
        </w:tc>
        <w:tc>
          <w:tcPr>
            <w:tcW w:w="420" w:type="dxa"/>
            <w:vAlign w:val="bottom"/>
          </w:tcPr>
          <w:p>
            <w:pPr>
              <w:spacing w:after="0"/>
              <w:rPr>
                <w:sz w:val="12"/>
                <w:szCs w:val="12"/>
                <w:color w:val="auto"/>
              </w:rPr>
            </w:pPr>
          </w:p>
        </w:tc>
        <w:tc>
          <w:tcPr>
            <w:tcW w:w="114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4"/>
                <w:szCs w:val="14"/>
                <w:b w:val="1"/>
                <w:bCs w:val="1"/>
                <w:color w:val="auto"/>
              </w:rPr>
              <w:t>Date of Filing</w:t>
            </w:r>
          </w:p>
        </w:tc>
        <w:tc>
          <w:tcPr>
            <w:tcW w:w="960" w:type="dxa"/>
            <w:vAlign w:val="bottom"/>
            <w:gridSpan w:val="3"/>
          </w:tcPr>
          <w:p>
            <w:pPr>
              <w:jc w:val="center"/>
              <w:ind w:left="97"/>
              <w:spacing w:after="0" w:line="138" w:lineRule="exact"/>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80" w:type="dxa"/>
            <w:vAlign w:val="bottom"/>
          </w:tcPr>
          <w:p>
            <w:pPr>
              <w:spacing w:after="0"/>
              <w:rPr>
                <w:sz w:val="18"/>
                <w:szCs w:val="18"/>
                <w:color w:val="auto"/>
              </w:rPr>
            </w:pPr>
          </w:p>
        </w:tc>
        <w:tc>
          <w:tcPr>
            <w:tcW w:w="5060" w:type="dxa"/>
            <w:vAlign w:val="bottom"/>
            <w:gridSpan w:val="2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Second Amended and Restated Trust and Servicing Agreement,</w:t>
              </w:r>
            </w:hyperlink>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dated as of March 29, 2018, by and among American Tower</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00" w:type="dxa"/>
            <w:vAlign w:val="bottom"/>
            <w:tcBorders>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Depositor Sub, LLC, as Depositor, Midland Loan Services, a</w:t>
              </w:r>
            </w:hyperlink>
          </w:p>
        </w:tc>
        <w:tc>
          <w:tcPr>
            <w:tcW w:w="760" w:type="dxa"/>
            <w:vAlign w:val="bottom"/>
            <w:gridSpan w:val="9"/>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60" w:type="dxa"/>
            <w:vAlign w:val="bottom"/>
            <w:gridSpan w:val="20"/>
          </w:tcPr>
          <w:p>
            <w:pPr>
              <w:spacing w:after="0" w:line="164"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Division of PNC Bank, National Association, as Servicer, and U.S.</w:t>
              </w:r>
            </w:hyperlink>
          </w:p>
        </w:tc>
        <w:tc>
          <w:tcPr>
            <w:tcW w:w="11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3"/>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8"/>
              </w:rPr>
              <w:t>May 2, 2018</w:t>
            </w:r>
          </w:p>
        </w:tc>
        <w:tc>
          <w:tcPr>
            <w:tcW w:w="920" w:type="dxa"/>
            <w:vAlign w:val="bottom"/>
            <w:gridSpan w:val="2"/>
            <w:vMerge w:val="restart"/>
          </w:tcPr>
          <w:p>
            <w:pPr>
              <w:jc w:val="center"/>
              <w:ind w:left="137"/>
              <w:spacing w:after="0"/>
              <w:rPr>
                <w:sz w:val="20"/>
                <w:szCs w:val="20"/>
                <w:color w:val="auto"/>
              </w:rPr>
            </w:pPr>
            <w:r>
              <w:rPr>
                <w:rFonts w:ascii="Times New Roman" w:cs="Times New Roman" w:eastAsia="Times New Roman" w:hAnsi="Times New Roman"/>
                <w:sz w:val="18"/>
                <w:szCs w:val="18"/>
                <w:color w:val="auto"/>
                <w:w w:val="95"/>
              </w:rPr>
              <w:t>10.3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720" w:type="dxa"/>
            <w:vAlign w:val="bottom"/>
            <w:tcBorders>
              <w:top w:val="single" w:sz="8" w:color="0000FF"/>
            </w:tcBorders>
            <w:gridSpan w:val="19"/>
          </w:tcPr>
          <w:p>
            <w:pPr>
              <w:spacing w:after="0" w:line="138"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Bank National Association, as Trustee</w:t>
              </w:r>
            </w:hyperlink>
          </w:p>
        </w:tc>
        <w:tc>
          <w:tcPr>
            <w:tcW w:w="34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10.20</w:t>
            </w:r>
          </w:p>
        </w:tc>
        <w:tc>
          <w:tcPr>
            <w:tcW w:w="380" w:type="dxa"/>
            <w:vAlign w:val="bottom"/>
            <w:shd w:val="clear" w:color="auto" w:fill="CCEEFF"/>
          </w:tcPr>
          <w:p>
            <w:pPr>
              <w:spacing w:after="0"/>
              <w:rPr>
                <w:sz w:val="16"/>
                <w:szCs w:val="16"/>
                <w:color w:val="auto"/>
              </w:rPr>
            </w:pPr>
          </w:p>
        </w:tc>
        <w:tc>
          <w:tcPr>
            <w:tcW w:w="5060" w:type="dxa"/>
            <w:vAlign w:val="bottom"/>
            <w:gridSpan w:val="20"/>
            <w:shd w:val="clear" w:color="auto" w:fill="CCEEFF"/>
          </w:tcPr>
          <w:p>
            <w:pPr>
              <w:spacing w:after="0" w:line="184"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Second Trust Agreement Supplement and Amendment dated as of</w:t>
              </w:r>
            </w:hyperlink>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240" w:type="dxa"/>
            <w:vAlign w:val="bottom"/>
            <w:tcBorders>
              <w:top w:val="single" w:sz="8" w:color="0000FF"/>
              <w:bottom w:val="single" w:sz="8" w:color="0000FF"/>
            </w:tcBorders>
            <w:gridSpan w:val="8"/>
            <w:shd w:val="clear" w:color="auto" w:fill="CCEEFF"/>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March 13, 2023 to Second Amended and Restated Trust and</w:t>
              </w:r>
            </w:hyperlink>
          </w:p>
        </w:tc>
        <w:tc>
          <w:tcPr>
            <w:tcW w:w="400" w:type="dxa"/>
            <w:vAlign w:val="bottom"/>
            <w:tcBorders>
              <w:top w:val="single" w:sz="8" w:color="0000FF"/>
              <w:bottom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60" w:type="dxa"/>
            <w:vAlign w:val="bottom"/>
            <w:gridSpan w:val="20"/>
            <w:shd w:val="clear" w:color="auto" w:fill="CCEEFF"/>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Servicing Agreement dated as of March 29, 2018, by and among</w:t>
              </w:r>
            </w:hyperlink>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CCEEFF"/>
            </w:tcBorders>
            <w:gridSpan w:val="2"/>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60" w:type="dxa"/>
            <w:vAlign w:val="bottom"/>
            <w:gridSpan w:val="20"/>
            <w:shd w:val="clear" w:color="auto" w:fill="CCEEFF"/>
          </w:tcPr>
          <w:p>
            <w:pPr>
              <w:spacing w:after="0" w:line="164"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American Tower Depositor Sub, LLC, as Depositor, Midland Loan</w:t>
              </w:r>
            </w:hyperlink>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4220" w:type="dxa"/>
            <w:vAlign w:val="bottom"/>
            <w:tcBorders>
              <w:top w:val="single" w:sz="8" w:color="0000FF"/>
              <w:bottom w:val="single" w:sz="8" w:color="0000FF"/>
              <w:right w:val="single" w:sz="8" w:color="CCEEFF"/>
            </w:tcBorders>
            <w:gridSpan w:val="7"/>
            <w:shd w:val="clear" w:color="auto" w:fill="CCEEFF"/>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Services, a Division of PNC Bank, National Association, as</w:t>
              </w:r>
            </w:hyperlink>
          </w:p>
        </w:tc>
        <w:tc>
          <w:tcPr>
            <w:tcW w:w="480" w:type="dxa"/>
            <w:vAlign w:val="bottom"/>
            <w:tcBorders>
              <w:top w:val="single" w:sz="8" w:color="0000FF"/>
              <w:bottom w:val="single" w:sz="8" w:color="CCEEFF"/>
            </w:tcBorders>
            <w:gridSpan w:val="11"/>
            <w:shd w:val="clear" w:color="auto" w:fill="CCEEFF"/>
          </w:tcPr>
          <w:p>
            <w:pPr>
              <w:spacing w:after="0"/>
              <w:rPr>
                <w:sz w:val="13"/>
                <w:szCs w:val="13"/>
                <w:color w:val="auto"/>
              </w:rPr>
            </w:pPr>
          </w:p>
        </w:tc>
        <w:tc>
          <w:tcPr>
            <w:tcW w:w="3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060" w:type="dxa"/>
            <w:vAlign w:val="bottom"/>
            <w:gridSpan w:val="20"/>
            <w:shd w:val="clear" w:color="auto" w:fill="CCEEFF"/>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Servicer, and U.S. Bank Trust Company, National Association, as</w:t>
              </w:r>
            </w:hyperlink>
          </w:p>
        </w:tc>
        <w:tc>
          <w:tcPr>
            <w:tcW w:w="1100" w:type="dxa"/>
            <w:vAlign w:val="bottom"/>
            <w:gridSpan w:val="3"/>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3"/>
            <w:vMerge w:val="restart"/>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vMerge w:val="restart"/>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April 26, 2023</w:t>
            </w:r>
          </w:p>
        </w:tc>
        <w:tc>
          <w:tcPr>
            <w:tcW w:w="920" w:type="dxa"/>
            <w:vAlign w:val="bottom"/>
            <w:gridSpan w:val="2"/>
            <w:vMerge w:val="restart"/>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95"/>
              </w:rPr>
              <w:t>10.3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0000FF"/>
              <w:bottom w:val="single" w:sz="8" w:color="0000FF"/>
            </w:tcBorders>
            <w:shd w:val="clear" w:color="auto" w:fill="CCEEFF"/>
          </w:tcPr>
          <w:p>
            <w:pPr>
              <w:spacing w:after="0" w:line="164" w:lineRule="exact"/>
              <w:rPr>
                <w:rFonts w:ascii="Times New Roman" w:cs="Times New Roman" w:eastAsia="Times New Roman" w:hAnsi="Times New Roman"/>
                <w:sz w:val="18"/>
                <w:szCs w:val="18"/>
                <w:color w:val="0000FF"/>
                <w:w w:val="92"/>
              </w:rPr>
            </w:pPr>
            <w:hyperlink r:id="rId157">
              <w:r>
                <w:rPr>
                  <w:rFonts w:ascii="Times New Roman" w:cs="Times New Roman" w:eastAsia="Times New Roman" w:hAnsi="Times New Roman"/>
                  <w:sz w:val="18"/>
                  <w:szCs w:val="18"/>
                  <w:color w:val="0000FF"/>
                  <w:w w:val="92"/>
                </w:rPr>
                <w:t>Trustee</w:t>
              </w:r>
            </w:hyperlink>
          </w:p>
        </w:tc>
        <w:tc>
          <w:tcPr>
            <w:tcW w:w="4100" w:type="dxa"/>
            <w:vAlign w:val="bottom"/>
            <w:tcBorders>
              <w:top w:val="single" w:sz="8" w:color="0000FF"/>
              <w:bottom w:val="single" w:sz="8" w:color="CCEEFF"/>
              <w:right w:val="single" w:sz="8" w:color="CCEEFF"/>
            </w:tcBorders>
            <w:gridSpan w:val="1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100" w:type="dxa"/>
            <w:vAlign w:val="bottom"/>
            <w:tcBorders>
              <w:top w:val="single" w:sz="8" w:color="CCEEFF"/>
              <w:bottom w:val="single" w:sz="8" w:color="CCEEFF"/>
            </w:tcBorders>
            <w:gridSpan w:val="3"/>
            <w:vMerge w:val="continue"/>
            <w:shd w:val="clear" w:color="auto" w:fill="CCEEFF"/>
          </w:tcPr>
          <w:p>
            <w:pPr>
              <w:spacing w:after="0"/>
              <w:rPr>
                <w:sz w:val="15"/>
                <w:szCs w:val="15"/>
                <w:color w:val="auto"/>
              </w:rPr>
            </w:pPr>
          </w:p>
        </w:tc>
        <w:tc>
          <w:tcPr>
            <w:tcW w:w="1480" w:type="dxa"/>
            <w:vAlign w:val="bottom"/>
            <w:tcBorders>
              <w:top w:val="single" w:sz="8" w:color="CCEEFF"/>
              <w:bottom w:val="single" w:sz="8" w:color="CCEEFF"/>
            </w:tcBorders>
            <w:gridSpan w:val="3"/>
            <w:vMerge w:val="continue"/>
            <w:shd w:val="clear" w:color="auto" w:fill="CCEEFF"/>
          </w:tcPr>
          <w:p>
            <w:pPr>
              <w:spacing w:after="0"/>
              <w:rPr>
                <w:sz w:val="15"/>
                <w:szCs w:val="15"/>
                <w:color w:val="auto"/>
              </w:rPr>
            </w:pPr>
          </w:p>
        </w:tc>
        <w:tc>
          <w:tcPr>
            <w:tcW w:w="1560" w:type="dxa"/>
            <w:vAlign w:val="bottom"/>
            <w:tcBorders>
              <w:top w:val="single" w:sz="8" w:color="CCEEFF"/>
              <w:bottom w:val="single" w:sz="8" w:color="CCEEFF"/>
            </w:tcBorders>
            <w:gridSpan w:val="3"/>
            <w:vMerge w:val="continue"/>
            <w:shd w:val="clear" w:color="auto" w:fill="CCEEFF"/>
          </w:tcPr>
          <w:p>
            <w:pPr>
              <w:spacing w:after="0"/>
              <w:rPr>
                <w:sz w:val="15"/>
                <w:szCs w:val="15"/>
                <w:color w:val="auto"/>
              </w:rPr>
            </w:pPr>
          </w:p>
        </w:tc>
        <w:tc>
          <w:tcPr>
            <w:tcW w:w="920" w:type="dxa"/>
            <w:vAlign w:val="bottom"/>
            <w:tcBorders>
              <w:top w:val="single" w:sz="8" w:color="CCEEFF"/>
              <w:bottom w:val="single" w:sz="8" w:color="CCEEFF"/>
            </w:tcBorders>
            <w:gridSpan w:val="2"/>
            <w:vMerge w:val="continue"/>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80" w:type="dxa"/>
            <w:vAlign w:val="bottom"/>
          </w:tcPr>
          <w:p>
            <w:pPr>
              <w:spacing w:after="0"/>
              <w:rPr>
                <w:sz w:val="24"/>
                <w:szCs w:val="24"/>
                <w:color w:val="auto"/>
              </w:rPr>
            </w:pPr>
          </w:p>
        </w:tc>
        <w:tc>
          <w:tcPr>
            <w:tcW w:w="5060" w:type="dxa"/>
            <w:vAlign w:val="bottom"/>
            <w:gridSpan w:val="2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Second Amended and Restated Cash Management Agreement,</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60" w:type="dxa"/>
            <w:vAlign w:val="bottom"/>
            <w:gridSpan w:val="20"/>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dated as of March 29, 2018, by and among American Tower Asset</w:t>
              </w:r>
            </w:hyperlink>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6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Sub, LLC and American Tower Asset Sub II, LLC, as Borrowers,</w:t>
              </w:r>
            </w:hyperlink>
          </w:p>
        </w:tc>
        <w:tc>
          <w:tcPr>
            <w:tcW w:w="40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20" w:type="dxa"/>
            <w:vAlign w:val="bottom"/>
            <w:tcBorders>
              <w:top w:val="single" w:sz="8" w:color="0000FF"/>
            </w:tcBorders>
            <w:gridSpan w:val="15"/>
          </w:tcPr>
          <w:p>
            <w:pPr>
              <w:spacing w:after="0" w:line="164"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and U.S. Bank National Association, as Trustee for American</w:t>
              </w:r>
            </w:hyperlink>
          </w:p>
        </w:tc>
        <w:tc>
          <w:tcPr>
            <w:tcW w:w="440" w:type="dxa"/>
            <w:vAlign w:val="bottom"/>
            <w:gridSpan w:val="5"/>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20" w:type="dxa"/>
            <w:vAlign w:val="bottom"/>
            <w:tcBorders>
              <w:top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Tower Trust I Secured Tower Revenue Securities, as Lender,</w:t>
              </w:r>
            </w:hyperlink>
          </w:p>
        </w:tc>
        <w:tc>
          <w:tcPr>
            <w:tcW w:w="740" w:type="dxa"/>
            <w:vAlign w:val="bottom"/>
            <w:gridSpan w:val="8"/>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8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Midland Loan Services, a Division of PNC Bank, National</w:t>
              </w:r>
            </w:hyperlink>
          </w:p>
        </w:tc>
        <w:tc>
          <w:tcPr>
            <w:tcW w:w="780" w:type="dxa"/>
            <w:vAlign w:val="bottom"/>
            <w:gridSpan w:val="10"/>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140" w:type="dxa"/>
            <w:vAlign w:val="bottom"/>
            <w:tcBorders>
              <w:top w:val="single" w:sz="8" w:color="0000FF"/>
            </w:tcBorders>
            <w:gridSpan w:val="5"/>
          </w:tcPr>
          <w:p>
            <w:pPr>
              <w:spacing w:after="0" w:line="164"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Association, as Servicer, U.S. Bank National Association,</w:t>
              </w:r>
            </w:hyperlink>
          </w:p>
        </w:tc>
        <w:tc>
          <w:tcPr>
            <w:tcW w:w="920" w:type="dxa"/>
            <w:vAlign w:val="bottom"/>
            <w:gridSpan w:val="15"/>
          </w:tcPr>
          <w:p>
            <w:pPr>
              <w:spacing w:after="0" w:line="164"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as</w:t>
              </w:r>
            </w:hyperlink>
          </w:p>
        </w:tc>
        <w:tc>
          <w:tcPr>
            <w:tcW w:w="11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3"/>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8"/>
              </w:rPr>
              <w:t>May 2, 2018</w:t>
            </w:r>
          </w:p>
        </w:tc>
        <w:tc>
          <w:tcPr>
            <w:tcW w:w="920" w:type="dxa"/>
            <w:vAlign w:val="bottom"/>
            <w:gridSpan w:val="2"/>
            <w:vMerge w:val="restart"/>
          </w:tcPr>
          <w:p>
            <w:pPr>
              <w:jc w:val="center"/>
              <w:ind w:left="137"/>
              <w:spacing w:after="0"/>
              <w:rPr>
                <w:sz w:val="20"/>
                <w:szCs w:val="20"/>
                <w:color w:val="auto"/>
              </w:rPr>
            </w:pPr>
            <w:r>
              <w:rPr>
                <w:rFonts w:ascii="Times New Roman" w:cs="Times New Roman" w:eastAsia="Times New Roman" w:hAnsi="Times New Roman"/>
                <w:sz w:val="18"/>
                <w:szCs w:val="18"/>
                <w:color w:val="auto"/>
                <w:w w:val="95"/>
              </w:rPr>
              <w:t>10.4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6"/>
          </w:tcPr>
          <w:p>
            <w:pPr>
              <w:spacing w:after="0" w:line="138"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Agent, and SpectraSite Communications, LLC, as Manager</w:t>
              </w:r>
            </w:hyperlink>
          </w:p>
        </w:tc>
        <w:tc>
          <w:tcPr>
            <w:tcW w:w="80" w:type="dxa"/>
            <w:vAlign w:val="bottom"/>
            <w:tcBorders>
              <w:top w:val="single" w:sz="8" w:color="0000FF"/>
            </w:tcBorders>
            <w:gridSpan w:val="3"/>
          </w:tcPr>
          <w:p>
            <w:pPr>
              <w:spacing w:after="0"/>
              <w:rPr>
                <w:sz w:val="13"/>
                <w:szCs w:val="13"/>
                <w:color w:val="auto"/>
              </w:rPr>
            </w:pPr>
          </w:p>
        </w:tc>
        <w:tc>
          <w:tcPr>
            <w:tcW w:w="800" w:type="dxa"/>
            <w:vAlign w:val="bottom"/>
            <w:gridSpan w:val="11"/>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0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93"/>
              </w:rPr>
              <w:t>10.22</w:t>
            </w:r>
          </w:p>
        </w:tc>
        <w:tc>
          <w:tcPr>
            <w:tcW w:w="4760" w:type="dxa"/>
            <w:vAlign w:val="bottom"/>
            <w:gridSpan w:val="1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Amendment dated as of March 13, 2023 to the Second</w:t>
              </w:r>
            </w:hyperlink>
          </w:p>
        </w:tc>
      </w:tr>
      <w:tr>
        <w:trPr>
          <w:trHeight w:val="151"/>
        </w:trPr>
        <w:tc>
          <w:tcPr>
            <w:tcW w:w="1060" w:type="dxa"/>
            <w:vAlign w:val="bottom"/>
          </w:tcPr>
          <w:p>
            <w:pPr>
              <w:spacing w:after="0"/>
              <w:rPr>
                <w:sz w:val="13"/>
                <w:szCs w:val="13"/>
                <w:color w:val="auto"/>
              </w:rPr>
            </w:pPr>
          </w:p>
        </w:tc>
        <w:tc>
          <w:tcPr>
            <w:tcW w:w="4200" w:type="dxa"/>
            <w:vAlign w:val="bottom"/>
            <w:tcBorders>
              <w:top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Amended and Restated Cash Management Agreement dated</w:t>
              </w:r>
            </w:hyperlink>
          </w:p>
        </w:tc>
        <w:tc>
          <w:tcPr>
            <w:tcW w:w="60" w:type="dxa"/>
            <w:vAlign w:val="bottom"/>
          </w:tcPr>
          <w:p>
            <w:pPr>
              <w:spacing w:after="0"/>
              <w:rPr>
                <w:sz w:val="13"/>
                <w:szCs w:val="13"/>
                <w:color w:val="auto"/>
              </w:rPr>
            </w:pPr>
          </w:p>
        </w:tc>
        <w:tc>
          <w:tcPr>
            <w:tcW w:w="500" w:type="dxa"/>
            <w:vAlign w:val="bottom"/>
            <w:gridSpan w:val="9"/>
          </w:tcPr>
          <w:p>
            <w:pPr>
              <w:ind w:left="20"/>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as of</w:t>
              </w:r>
            </w:hyperlink>
          </w:p>
        </w:tc>
      </w:tr>
      <w:tr>
        <w:trPr>
          <w:trHeight w:val="151"/>
        </w:trPr>
        <w:tc>
          <w:tcPr>
            <w:tcW w:w="106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March 29, 2018, by and among American Tower Asset Sub, LLC,</w:t>
              </w:r>
            </w:hyperlink>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060" w:type="dxa"/>
            <w:vAlign w:val="bottom"/>
          </w:tcPr>
          <w:p>
            <w:pPr>
              <w:spacing w:after="0"/>
              <w:rPr>
                <w:sz w:val="14"/>
                <w:szCs w:val="14"/>
                <w:color w:val="auto"/>
              </w:rPr>
            </w:pPr>
          </w:p>
        </w:tc>
        <w:tc>
          <w:tcPr>
            <w:tcW w:w="4640" w:type="dxa"/>
            <w:vAlign w:val="bottom"/>
            <w:gridSpan w:val="9"/>
          </w:tcPr>
          <w:p>
            <w:pPr>
              <w:spacing w:after="0" w:line="164" w:lineRule="exact"/>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American Tower Asset Sub II, LLC, the Borrowers party thereto,</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1060" w:type="dxa"/>
            <w:vAlign w:val="bottom"/>
          </w:tcPr>
          <w:p>
            <w:pPr>
              <w:spacing w:after="0"/>
              <w:rPr>
                <w:sz w:val="13"/>
                <w:szCs w:val="13"/>
                <w:color w:val="auto"/>
              </w:rPr>
            </w:pPr>
          </w:p>
        </w:tc>
        <w:tc>
          <w:tcPr>
            <w:tcW w:w="4580" w:type="dxa"/>
            <w:vAlign w:val="bottom"/>
            <w:tcBorders>
              <w:top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U.S. Bank Trust Company, National Association, as Trustee for</w:t>
              </w:r>
            </w:hyperlink>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American Tower Trust I Secured Tower Revenue Securities as</w:t>
              </w:r>
            </w:hyperlink>
          </w:p>
        </w:tc>
        <w:tc>
          <w:tcPr>
            <w:tcW w:w="80" w:type="dxa"/>
            <w:vAlign w:val="bottom"/>
            <w:tcBorders>
              <w:top w:val="single" w:sz="8" w:color="0000FF"/>
            </w:tcBorders>
          </w:tcPr>
          <w:p>
            <w:pPr>
              <w:spacing w:after="0"/>
              <w:rPr>
                <w:sz w:val="13"/>
                <w:szCs w:val="13"/>
                <w:color w:val="auto"/>
              </w:rPr>
            </w:pPr>
          </w:p>
        </w:tc>
        <w:tc>
          <w:tcPr>
            <w:tcW w:w="2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060" w:type="dxa"/>
            <w:vAlign w:val="bottom"/>
          </w:tcPr>
          <w:p>
            <w:pPr>
              <w:spacing w:after="0"/>
              <w:rPr>
                <w:sz w:val="14"/>
                <w:szCs w:val="14"/>
                <w:color w:val="auto"/>
              </w:rPr>
            </w:pPr>
          </w:p>
        </w:tc>
        <w:tc>
          <w:tcPr>
            <w:tcW w:w="4760" w:type="dxa"/>
            <w:vAlign w:val="bottom"/>
            <w:gridSpan w:val="13"/>
          </w:tcPr>
          <w:p>
            <w:pPr>
              <w:spacing w:after="0" w:line="164"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Lender, Midland Loan Services, a Division of PNC Bank, National</w:t>
              </w:r>
            </w:hyperlink>
          </w:p>
        </w:tc>
      </w:tr>
      <w:tr>
        <w:trPr>
          <w:trHeight w:val="151"/>
        </w:trPr>
        <w:tc>
          <w:tcPr>
            <w:tcW w:w="1060" w:type="dxa"/>
            <w:vAlign w:val="bottom"/>
          </w:tcPr>
          <w:p>
            <w:pPr>
              <w:spacing w:after="0"/>
              <w:rPr>
                <w:sz w:val="13"/>
                <w:szCs w:val="13"/>
                <w:color w:val="auto"/>
              </w:rPr>
            </w:pPr>
          </w:p>
        </w:tc>
        <w:tc>
          <w:tcPr>
            <w:tcW w:w="4700" w:type="dxa"/>
            <w:vAlign w:val="bottom"/>
            <w:tcBorders>
              <w:top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Association, as Servicer, U.S. Bank National Association, as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4260" w:type="dxa"/>
            <w:vAlign w:val="bottom"/>
            <w:tcBorders>
              <w:top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Agent, and Spectrasite Communications, LLC, as Manager</w:t>
              </w:r>
            </w:hyperlink>
          </w:p>
        </w:tc>
        <w:tc>
          <w:tcPr>
            <w:tcW w:w="40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10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93"/>
              </w:rPr>
              <w:t>10.23</w:t>
            </w:r>
          </w:p>
        </w:tc>
        <w:tc>
          <w:tcPr>
            <w:tcW w:w="4760" w:type="dxa"/>
            <w:vAlign w:val="bottom"/>
            <w:gridSpan w:val="13"/>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Agreement to Sublease by and among ALLTEL Communications,</w:t>
              </w:r>
            </w:hyperlink>
          </w:p>
        </w:tc>
      </w:tr>
      <w:tr>
        <w:trPr>
          <w:trHeight w:val="151"/>
        </w:trPr>
        <w:tc>
          <w:tcPr>
            <w:tcW w:w="106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Inc. the ALLTEL entities and American Towers, Inc. and American</w:t>
              </w:r>
            </w:hyperlink>
          </w:p>
        </w:tc>
        <w:tc>
          <w:tcPr>
            <w:tcW w:w="8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060" w:type="dxa"/>
            <w:vAlign w:val="bottom"/>
          </w:tcPr>
          <w:p>
            <w:pPr>
              <w:spacing w:after="0"/>
              <w:rPr>
                <w:sz w:val="13"/>
                <w:szCs w:val="13"/>
                <w:color w:val="auto"/>
              </w:rPr>
            </w:pPr>
          </w:p>
        </w:tc>
        <w:tc>
          <w:tcPr>
            <w:tcW w:w="4740" w:type="dxa"/>
            <w:vAlign w:val="bottom"/>
            <w:gridSpan w:val="12"/>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Tower Corporation, dated December 19, 2000</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-1438275</wp:posOffset>
            </wp:positionV>
            <wp:extent cx="7135495" cy="1037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1">
                      <a:extLst>
                        <a:ext uri="{28A0092B-C50C-407E-A947-70E740481C1C}"/>
                      </a:extLst>
                    </a:blip>
                    <a:srcRect/>
                    <a:stretch>
                      <a:fillRect/>
                    </a:stretch>
                  </pic:blipFill>
                  <pic:spPr bwMode="auto">
                    <a:xfrm>
                      <a:off x="0" y="0"/>
                      <a:ext cx="7135495" cy="1037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001-14195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April 26, 2023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67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001-14195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April 2, 2001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70" w:lineRule="exact"/>
        <w:rPr>
          <w:sz w:val="20"/>
          <w:szCs w:val="20"/>
          <w:color w:val="auto"/>
        </w:rPr>
      </w:pPr>
    </w:p>
    <w:p>
      <w:pPr>
        <w:sectPr>
          <w:pgSz w:w="11900" w:h="16838" w:orient="portrait"/>
          <w:cols w:equalWidth="0" w:num="2">
            <w:col w:w="5820" w:space="640"/>
            <w:col w:w="47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10.24</w:t>
            </w:r>
          </w:p>
        </w:tc>
        <w:tc>
          <w:tcPr>
            <w:tcW w:w="4940" w:type="dxa"/>
            <w:vAlign w:val="bottom"/>
            <w:gridSpan w:val="4"/>
            <w:shd w:val="clear" w:color="auto" w:fill="CCEEFF"/>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Lease and Sublease, dated as of December 14, 2000, by and among</w:t>
              </w:r>
            </w:hyperlink>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SpectraSite</w:t>
            </w:r>
          </w:p>
        </w:tc>
        <w:tc>
          <w:tcPr>
            <w:tcW w:w="1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720" w:type="dxa"/>
            <w:vAlign w:val="bottom"/>
            <w:tcBorders>
              <w:top w:val="single" w:sz="8" w:color="0000FF"/>
            </w:tcBorders>
            <w:gridSpan w:val="3"/>
            <w:shd w:val="clear" w:color="auto" w:fill="CCEEFF"/>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SBC Tower Holdings LLC, Southern Towers, Inc., SBC Wireless,</w:t>
              </w:r>
            </w:hyperlink>
          </w:p>
        </w:tc>
        <w:tc>
          <w:tcPr>
            <w:tcW w:w="22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rPr>
              <w:t>Holdings,</w:t>
            </w:r>
          </w:p>
        </w:tc>
        <w:tc>
          <w:tcPr>
            <w:tcW w:w="140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0000FF"/>
            </w:tcBorders>
            <w:gridSpan w:val="2"/>
            <w:shd w:val="clear" w:color="auto" w:fill="CCEEFF"/>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LLC and SpectraSite Holdings, Inc.</w:t>
              </w:r>
            </w:hyperlink>
          </w:p>
        </w:tc>
        <w:tc>
          <w:tcPr>
            <w:tcW w:w="300" w:type="dxa"/>
            <w:vAlign w:val="bottom"/>
            <w:tcBorders>
              <w:top w:val="single" w:sz="8" w:color="CCEEFF"/>
            </w:tcBorders>
            <w:gridSpan w:val="2"/>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rPr>
              <w:t>Inc.</w:t>
            </w:r>
          </w:p>
        </w:tc>
        <w:tc>
          <w:tcPr>
            <w:tcW w:w="140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2520" w:type="dxa"/>
            <w:vAlign w:val="bottom"/>
            <w:tcBorders>
              <w:top w:val="single" w:sz="8" w:color="0000FF"/>
            </w:tcBorders>
            <w:shd w:val="clear" w:color="auto" w:fill="CCEEFF"/>
          </w:tcPr>
          <w:p>
            <w:pPr>
              <w:spacing w:after="0"/>
              <w:rPr>
                <w:sz w:val="13"/>
                <w:szCs w:val="13"/>
                <w:color w:val="auto"/>
              </w:rPr>
            </w:pPr>
          </w:p>
        </w:tc>
        <w:tc>
          <w:tcPr>
            <w:tcW w:w="2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rPr>
              <w:t>Quarterly</w:t>
            </w:r>
          </w:p>
        </w:tc>
        <w:tc>
          <w:tcPr>
            <w:tcW w:w="140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r>
      <w:tr>
        <w:trPr>
          <w:trHeight w:val="171"/>
        </w:trPr>
        <w:tc>
          <w:tcPr>
            <w:tcW w:w="10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right="15"/>
              <w:spacing w:after="0" w:line="171" w:lineRule="exact"/>
              <w:rPr>
                <w:sz w:val="20"/>
                <w:szCs w:val="20"/>
                <w:color w:val="auto"/>
              </w:rPr>
            </w:pPr>
            <w:r>
              <w:rPr>
                <w:rFonts w:ascii="Times New Roman" w:cs="Times New Roman" w:eastAsia="Times New Roman" w:hAnsi="Times New Roman"/>
                <w:sz w:val="18"/>
                <w:szCs w:val="18"/>
                <w:color w:val="auto"/>
                <w:w w:val="97"/>
              </w:rPr>
              <w:t>Report on</w:t>
            </w:r>
          </w:p>
        </w:tc>
        <w:tc>
          <w:tcPr>
            <w:tcW w:w="14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37"/>
        </w:trPr>
        <w:tc>
          <w:tcPr>
            <w:tcW w:w="10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Form 10-Q</w:t>
            </w:r>
          </w:p>
        </w:tc>
        <w:tc>
          <w:tcPr>
            <w:tcW w:w="14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000-27217</w:t>
            </w:r>
          </w:p>
        </w:tc>
        <w:tc>
          <w:tcPr>
            <w:tcW w:w="1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May 11, 2001</w:t>
            </w:r>
          </w:p>
        </w:tc>
        <w:tc>
          <w:tcPr>
            <w:tcW w:w="8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10.2</w:t>
            </w:r>
          </w:p>
        </w:tc>
      </w:tr>
    </w:tbl>
    <w:p>
      <w:pPr>
        <w:spacing w:after="0" w:line="87"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1080" w:right="100" w:hanging="1053"/>
        <w:spacing w:after="0" w:line="220"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63">
        <w:r>
          <w:rPr>
            <w:rFonts w:ascii="Times New Roman" w:cs="Times New Roman" w:eastAsia="Times New Roman" w:hAnsi="Times New Roman"/>
            <w:sz w:val="18"/>
            <w:szCs w:val="18"/>
            <w:u w:val="single" w:color="auto"/>
            <w:color w:val="0000FF"/>
          </w:rPr>
          <w:t>Amendment to Lease and Sublease, dated September 30, 2008, by</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and between SpectraSite, LLC, American Tower Asset Sub II,</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LLC, SBC Wireless, LLC and SBC Tower Holdings LLC</w:t>
        </w:r>
      </w:hyperlink>
    </w:p>
    <w:p>
      <w:pPr>
        <w:spacing w:after="0" w:line="103" w:lineRule="exact"/>
        <w:rPr>
          <w:rFonts w:ascii="Times New Roman" w:cs="Times New Roman" w:eastAsia="Times New Roman" w:hAnsi="Times New Roman"/>
          <w:sz w:val="18"/>
          <w:szCs w:val="18"/>
          <w:u w:val="single" w:color="auto"/>
          <w:color w:val="0000FF"/>
        </w:rPr>
      </w:pPr>
    </w:p>
    <w:p>
      <w:pPr>
        <w:ind w:left="1080" w:hanging="1053"/>
        <w:spacing w:after="0" w:line="231"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64">
        <w:r>
          <w:rPr>
            <w:rFonts w:ascii="Times New Roman" w:cs="Times New Roman" w:eastAsia="Times New Roman" w:hAnsi="Times New Roman"/>
            <w:sz w:val="18"/>
            <w:szCs w:val="18"/>
            <w:u w:val="single" w:color="auto"/>
            <w:color w:val="0000FF"/>
          </w:rPr>
          <w:t>Summary Compensation Information for Current Named Executive</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135495" cy="2590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5">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spacing w:after="0" w:line="82" w:lineRule="exact"/>
        <w:rPr>
          <w:sz w:val="20"/>
          <w:szCs w:val="20"/>
          <w:color w:val="auto"/>
        </w:rPr>
      </w:pPr>
    </w:p>
    <w:p>
      <w:pPr>
        <w:ind w:left="20"/>
        <w:spacing w:after="0"/>
        <w:tabs>
          <w:tab w:leader="none" w:pos="10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66">
        <w:r>
          <w:rPr>
            <w:rFonts w:ascii="Times New Roman" w:cs="Times New Roman" w:eastAsia="Times New Roman" w:hAnsi="Times New Roman"/>
            <w:sz w:val="16"/>
            <w:szCs w:val="16"/>
            <w:u w:val="single" w:color="auto"/>
            <w:color w:val="0000FF"/>
          </w:rPr>
          <w:t>Form of Waiver and Termination Agreement</w:t>
        </w:r>
      </w:hyperlink>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7"/>
              </w:rPr>
              <w:t>10-Q</w:t>
            </w: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001-14195</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8, 2009</w:t>
            </w:r>
          </w:p>
        </w:tc>
        <w:tc>
          <w:tcPr>
            <w:tcW w:w="7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5"/>
              </w:rPr>
              <w:t>10.7</w:t>
            </w:r>
          </w:p>
        </w:tc>
      </w:tr>
      <w:tr>
        <w:trPr>
          <w:trHeight w:val="264"/>
        </w:trPr>
        <w:tc>
          <w:tcPr>
            <w:tcW w:w="7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w:t>
            </w:r>
          </w:p>
        </w:tc>
      </w:tr>
      <w:tr>
        <w:trPr>
          <w:trHeight w:val="236"/>
        </w:trPr>
        <w:tc>
          <w:tcPr>
            <w:tcW w:w="7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001-14195</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March 5, 2025</w:t>
            </w:r>
          </w:p>
        </w:tc>
        <w:tc>
          <w:tcPr>
            <w:tcW w:w="7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7"/>
              </w:rPr>
              <w:t>5.02(e)</w:t>
            </w:r>
          </w:p>
        </w:tc>
      </w:tr>
      <w:tr>
        <w:trPr>
          <w:trHeight w:val="316"/>
        </w:trPr>
        <w:tc>
          <w:tcPr>
            <w:tcW w:w="78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001-14195</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March 5, 2009</w:t>
            </w:r>
          </w:p>
        </w:tc>
        <w:tc>
          <w:tcPr>
            <w:tcW w:w="76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5"/>
              </w:rPr>
              <w:t>10.4</w:t>
            </w:r>
          </w:p>
        </w:tc>
      </w:tr>
    </w:tbl>
    <w:p>
      <w:pPr>
        <w:spacing w:after="0" w:line="200" w:lineRule="exact"/>
        <w:rPr>
          <w:sz w:val="20"/>
          <w:szCs w:val="20"/>
          <w:color w:val="auto"/>
        </w:rPr>
      </w:pPr>
    </w:p>
    <w:p>
      <w:pPr>
        <w:sectPr>
          <w:pgSz w:w="11900" w:h="16838" w:orient="portrait"/>
          <w:cols w:equalWidth="0" w:num="2">
            <w:col w:w="5820" w:space="640"/>
            <w:col w:w="47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20" w:type="dxa"/>
            <w:vAlign w:val="bottom"/>
          </w:tcPr>
          <w:p>
            <w:pPr>
              <w:spacing w:after="0"/>
              <w:rPr>
                <w:sz w:val="13"/>
                <w:szCs w:val="13"/>
                <w:color w:val="auto"/>
              </w:rPr>
            </w:pPr>
          </w:p>
        </w:tc>
        <w:tc>
          <w:tcPr>
            <w:tcW w:w="3600" w:type="dxa"/>
            <w:vAlign w:val="bottom"/>
            <w:gridSpan w:val="14"/>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380" w:type="dxa"/>
            <w:vAlign w:val="bottom"/>
          </w:tcPr>
          <w:p>
            <w:pPr>
              <w:spacing w:after="0"/>
              <w:rPr>
                <w:sz w:val="18"/>
                <w:szCs w:val="18"/>
                <w:color w:val="auto"/>
              </w:rPr>
            </w:pPr>
          </w:p>
        </w:tc>
        <w:tc>
          <w:tcPr>
            <w:tcW w:w="4720" w:type="dxa"/>
            <w:vAlign w:val="bottom"/>
            <w:gridSpan w:val="15"/>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American Tower Corporation Severance Plan, as Amended and</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Restated, as of January 1, 2024</w:t>
              </w:r>
            </w:hyperlink>
          </w:p>
        </w:tc>
        <w:tc>
          <w:tcPr>
            <w:tcW w:w="226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380" w:type="dxa"/>
            <w:vAlign w:val="bottom"/>
          </w:tcPr>
          <w:p>
            <w:pPr>
              <w:spacing w:after="0"/>
              <w:rPr>
                <w:sz w:val="24"/>
                <w:szCs w:val="24"/>
                <w:color w:val="auto"/>
              </w:rPr>
            </w:pPr>
          </w:p>
        </w:tc>
        <w:tc>
          <w:tcPr>
            <w:tcW w:w="4720" w:type="dxa"/>
            <w:vAlign w:val="bottom"/>
            <w:gridSpan w:val="15"/>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American Tower Corporation Severance Plan, Program for</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140" w:type="dxa"/>
            <w:vAlign w:val="bottom"/>
            <w:tcBorders>
              <w:top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Executive Vice Presidents and Chief Executive Officer, as</w:t>
              </w:r>
            </w:hyperlink>
          </w:p>
        </w:tc>
        <w:tc>
          <w:tcPr>
            <w:tcW w:w="580" w:type="dxa"/>
            <w:vAlign w:val="bottom"/>
            <w:gridSpan w:val="7"/>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of</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January 1, 2024</w:t>
              </w:r>
            </w:hyperlink>
          </w:p>
        </w:tc>
        <w:tc>
          <w:tcPr>
            <w:tcW w:w="316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380" w:type="dxa"/>
            <w:vAlign w:val="bottom"/>
          </w:tcPr>
          <w:p>
            <w:pPr>
              <w:spacing w:after="0"/>
              <w:rPr>
                <w:sz w:val="24"/>
                <w:szCs w:val="24"/>
                <w:color w:val="auto"/>
              </w:rPr>
            </w:pPr>
          </w:p>
        </w:tc>
        <w:tc>
          <w:tcPr>
            <w:tcW w:w="4720" w:type="dxa"/>
            <w:vAlign w:val="bottom"/>
            <w:gridSpan w:val="15"/>
          </w:tcPr>
          <w:p>
            <w:pPr>
              <w:spacing w:after="0"/>
              <w:rPr>
                <w:rFonts w:ascii="Times New Roman" w:cs="Times New Roman" w:eastAsia="Times New Roman" w:hAnsi="Times New Roman"/>
                <w:sz w:val="18"/>
                <w:szCs w:val="18"/>
                <w:color w:val="0000FF"/>
                <w:w w:val="97"/>
              </w:rPr>
            </w:pPr>
            <w:hyperlink r:id="rId170">
              <w:r>
                <w:rPr>
                  <w:rFonts w:ascii="Times New Roman" w:cs="Times New Roman" w:eastAsia="Times New Roman" w:hAnsi="Times New Roman"/>
                  <w:sz w:val="18"/>
                  <w:szCs w:val="18"/>
                  <w:color w:val="0000FF"/>
                  <w:w w:val="97"/>
                </w:rPr>
                <w:t>Letter Agreement, dated as of January 3, 2025, by and between the</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Company and Eugene M. Noel</w:t>
              </w:r>
            </w:hyperlink>
          </w:p>
        </w:tc>
        <w:tc>
          <w:tcPr>
            <w:tcW w:w="25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380" w:type="dxa"/>
            <w:vAlign w:val="bottom"/>
          </w:tcPr>
          <w:p>
            <w:pPr>
              <w:spacing w:after="0"/>
              <w:rPr>
                <w:sz w:val="24"/>
                <w:szCs w:val="24"/>
                <w:color w:val="auto"/>
              </w:rPr>
            </w:pPr>
          </w:p>
        </w:tc>
        <w:tc>
          <w:tcPr>
            <w:tcW w:w="4720" w:type="dxa"/>
            <w:vAlign w:val="bottom"/>
            <w:gridSpan w:val="15"/>
          </w:tcPr>
          <w:p>
            <w:pPr>
              <w:spacing w:after="0"/>
              <w:rPr>
                <w:rFonts w:ascii="Times New Roman" w:cs="Times New Roman" w:eastAsia="Times New Roman" w:hAnsi="Times New Roman"/>
                <w:sz w:val="18"/>
                <w:szCs w:val="18"/>
                <w:color w:val="0000FF"/>
                <w:w w:val="97"/>
              </w:rPr>
            </w:pPr>
            <w:hyperlink r:id="rId171">
              <w:r>
                <w:rPr>
                  <w:rFonts w:ascii="Times New Roman" w:cs="Times New Roman" w:eastAsia="Times New Roman" w:hAnsi="Times New Roman"/>
                  <w:sz w:val="18"/>
                  <w:szCs w:val="18"/>
                  <w:color w:val="0000FF"/>
                  <w:w w:val="97"/>
                </w:rPr>
                <w:t>Letter Agreement, dated as of January 3, 2025, by and between the</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Company and Richard Rossi</w:t>
              </w:r>
            </w:hyperlink>
          </w:p>
        </w:tc>
        <w:tc>
          <w:tcPr>
            <w:tcW w:w="26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380" w:type="dxa"/>
            <w:vAlign w:val="bottom"/>
          </w:tcPr>
          <w:p>
            <w:pPr>
              <w:spacing w:after="0"/>
              <w:rPr>
                <w:sz w:val="24"/>
                <w:szCs w:val="24"/>
                <w:color w:val="auto"/>
              </w:rPr>
            </w:pPr>
          </w:p>
        </w:tc>
        <w:tc>
          <w:tcPr>
            <w:tcW w:w="47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Letter Agreement, dated as of January 26, 2026, by and between</w:t>
            </w: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40" w:type="dxa"/>
            <w:vAlign w:val="bottom"/>
            <w:tcBorders>
              <w:top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6"/>
                <w:szCs w:val="16"/>
                <w:color w:val="0000FF"/>
              </w:rPr>
              <w:t>the Company and Paul Blanchett</w:t>
            </w:r>
          </w:p>
        </w:tc>
        <w:tc>
          <w:tcPr>
            <w:tcW w:w="180" w:type="dxa"/>
            <w:vAlign w:val="bottom"/>
            <w:gridSpan w:val="2"/>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65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380" w:type="dxa"/>
            <w:vAlign w:val="bottom"/>
          </w:tcPr>
          <w:p>
            <w:pPr>
              <w:spacing w:after="0"/>
              <w:rPr>
                <w:sz w:val="24"/>
                <w:szCs w:val="24"/>
                <w:color w:val="auto"/>
              </w:rPr>
            </w:pPr>
          </w:p>
        </w:tc>
        <w:tc>
          <w:tcPr>
            <w:tcW w:w="4720" w:type="dxa"/>
            <w:vAlign w:val="bottom"/>
            <w:gridSpan w:val="15"/>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Third Amended and Restated Multicurrency Revolving Credit</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Agreement, dated as of December 8, 2021, among the Company</w:t>
              </w:r>
            </w:hyperlink>
          </w:p>
        </w:tc>
        <w:tc>
          <w:tcPr>
            <w:tcW w:w="140" w:type="dxa"/>
            <w:vAlign w:val="bottom"/>
            <w:tcBorders>
              <w:bottom w:val="single" w:sz="8" w:color="0000FF"/>
            </w:tcBorders>
            <w:gridSpan w:val="2"/>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20" w:type="dxa"/>
            <w:vAlign w:val="bottom"/>
            <w:gridSpan w:val="12"/>
          </w:tcPr>
          <w:p>
            <w:pPr>
              <w:spacing w:after="0" w:line="15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and certain of its subsidiaries, as Borrower, Toronto Dominion</w:t>
              </w:r>
            </w:hyperlink>
          </w:p>
        </w:tc>
        <w:tc>
          <w:tcPr>
            <w:tcW w:w="200" w:type="dxa"/>
            <w:vAlign w:val="bottom"/>
            <w:gridSpan w:val="3"/>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-2258060</wp:posOffset>
            </wp:positionV>
            <wp:extent cx="7135495" cy="259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3">
                      <a:extLst>
                        <a:ext uri="{28A0092B-C50C-407E-A947-70E740481C1C}"/>
                      </a:extLst>
                    </a:blip>
                    <a:srcRect/>
                    <a:stretch>
                      <a:fillRect/>
                    </a:stretch>
                  </pic:blipFill>
                  <pic:spPr bwMode="auto">
                    <a:xfrm>
                      <a:off x="0" y="0"/>
                      <a:ext cx="7135495" cy="2590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-1513205</wp:posOffset>
            </wp:positionV>
            <wp:extent cx="7135495" cy="259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4">
                      <a:extLst>
                        <a:ext uri="{28A0092B-C50C-407E-A947-70E740481C1C}"/>
                      </a:extLst>
                    </a:blip>
                    <a:srcRect/>
                    <a:stretch>
                      <a:fillRect/>
                    </a:stretch>
                  </pic:blipFill>
                  <pic:spPr bwMode="auto">
                    <a:xfrm>
                      <a:off x="0" y="0"/>
                      <a:ext cx="7135495" cy="2590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-877570</wp:posOffset>
            </wp:positionV>
            <wp:extent cx="7135495" cy="476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5">
                      <a:extLst>
                        <a:ext uri="{28A0092B-C50C-407E-A947-70E740481C1C}"/>
                      </a:extLst>
                    </a:blip>
                    <a:srcRect/>
                    <a:stretch>
                      <a:fillRect/>
                    </a:stretch>
                  </pic:blipFill>
                  <pic:spPr bwMode="auto">
                    <a:xfrm>
                      <a:off x="0" y="0"/>
                      <a:ext cx="7135495" cy="476885"/>
                    </a:xfrm>
                    <a:prstGeom prst="rect">
                      <a:avLst/>
                    </a:prstGeom>
                    <a:noFill/>
                  </pic:spPr>
                </pic:pic>
              </a:graphicData>
            </a:graphic>
          </wp:anchor>
        </w:drawing>
      </w:r>
    </w:p>
    <w:p>
      <w:pPr>
        <w:ind w:left="1080" w:right="80"/>
        <w:spacing w:after="0" w:line="229" w:lineRule="auto"/>
        <w:rPr>
          <w:rFonts w:ascii="Times New Roman" w:cs="Times New Roman" w:eastAsia="Times New Roman" w:hAnsi="Times New Roman"/>
          <w:sz w:val="16"/>
          <w:szCs w:val="16"/>
          <w:u w:val="single" w:color="auto"/>
          <w:color w:val="0000FF"/>
        </w:rPr>
      </w:pPr>
      <w:hyperlink r:id="rId172">
        <w:r>
          <w:rPr>
            <w:rFonts w:ascii="Times New Roman" w:cs="Times New Roman" w:eastAsia="Times New Roman" w:hAnsi="Times New Roman"/>
            <w:sz w:val="16"/>
            <w:szCs w:val="16"/>
            <w:u w:val="single" w:color="auto"/>
            <w:color w:val="0000FF"/>
          </w:rPr>
          <w:t>(Texas) LLC, as Administrative Agent and Swingline Lender,</w:t>
        </w:r>
      </w:hyperlink>
      <w:r>
        <w:rPr>
          <w:rFonts w:ascii="Times New Roman" w:cs="Times New Roman" w:eastAsia="Times New Roman" w:hAnsi="Times New Roman"/>
          <w:sz w:val="16"/>
          <w:szCs w:val="16"/>
          <w:u w:val="single" w:color="auto"/>
          <w:color w:val="0000FF"/>
        </w:rPr>
        <w:t xml:space="preserve"> </w:t>
      </w:r>
      <w:hyperlink r:id="rId172">
        <w:r>
          <w:rPr>
            <w:rFonts w:ascii="Times New Roman" w:cs="Times New Roman" w:eastAsia="Times New Roman" w:hAnsi="Times New Roman"/>
            <w:sz w:val="16"/>
            <w:szCs w:val="16"/>
            <w:u w:val="single" w:color="auto"/>
            <w:color w:val="0000FF"/>
          </w:rPr>
          <w:t>BofA Securities, Inc., TD Securities (USA) LLC, Mizuho Bank,</w:t>
        </w:r>
      </w:hyperlink>
      <w:r>
        <w:rPr>
          <w:rFonts w:ascii="Times New Roman" w:cs="Times New Roman" w:eastAsia="Times New Roman" w:hAnsi="Times New Roman"/>
          <w:sz w:val="16"/>
          <w:szCs w:val="16"/>
          <w:u w:val="single" w:color="auto"/>
          <w:color w:val="0000FF"/>
        </w:rPr>
        <w:t xml:space="preserve"> </w:t>
      </w:r>
      <w:hyperlink r:id="rId172">
        <w:r>
          <w:rPr>
            <w:rFonts w:ascii="Times New Roman" w:cs="Times New Roman" w:eastAsia="Times New Roman" w:hAnsi="Times New Roman"/>
            <w:sz w:val="16"/>
            <w:szCs w:val="16"/>
            <w:u w:val="single" w:color="auto"/>
            <w:color w:val="0000FF"/>
          </w:rPr>
          <w:t>Ltd., Barclays Bank PLC, Citibank, N.A., JPMorgan Chase Bank,</w:t>
        </w:r>
      </w:hyperlink>
    </w:p>
    <w:p>
      <w:pPr>
        <w:spacing w:after="0" w:line="2" w:lineRule="exact"/>
        <w:rPr>
          <w:rFonts w:ascii="Times New Roman" w:cs="Times New Roman" w:eastAsia="Times New Roman" w:hAnsi="Times New Roman"/>
          <w:sz w:val="16"/>
          <w:szCs w:val="16"/>
          <w:u w:val="single" w:color="auto"/>
          <w:color w:val="0000FF"/>
        </w:rPr>
      </w:pPr>
    </w:p>
    <w:p>
      <w:pPr>
        <w:ind w:left="1080" w:right="220"/>
        <w:spacing w:after="0" w:line="229" w:lineRule="auto"/>
        <w:rPr>
          <w:rFonts w:ascii="Times New Roman" w:cs="Times New Roman" w:eastAsia="Times New Roman" w:hAnsi="Times New Roman"/>
          <w:sz w:val="16"/>
          <w:szCs w:val="16"/>
          <w:u w:val="single" w:color="auto"/>
          <w:color w:val="0000FF"/>
        </w:rPr>
      </w:pPr>
      <w:hyperlink r:id="rId172">
        <w:r>
          <w:rPr>
            <w:rFonts w:ascii="Times New Roman" w:cs="Times New Roman" w:eastAsia="Times New Roman" w:hAnsi="Times New Roman"/>
            <w:sz w:val="16"/>
            <w:szCs w:val="16"/>
            <w:u w:val="single" w:color="auto"/>
            <w:color w:val="0000FF"/>
          </w:rPr>
          <w:t>N.A., RBC Capital Markets and Morgan Stanley MUFG Loan</w:t>
        </w:r>
      </w:hyperlink>
      <w:r>
        <w:rPr>
          <w:rFonts w:ascii="Times New Roman" w:cs="Times New Roman" w:eastAsia="Times New Roman" w:hAnsi="Times New Roman"/>
          <w:sz w:val="16"/>
          <w:szCs w:val="16"/>
          <w:u w:val="single" w:color="auto"/>
          <w:color w:val="0000FF"/>
        </w:rPr>
        <w:t xml:space="preserve"> </w:t>
      </w:r>
      <w:hyperlink r:id="rId172">
        <w:r>
          <w:rPr>
            <w:rFonts w:ascii="Times New Roman" w:cs="Times New Roman" w:eastAsia="Times New Roman" w:hAnsi="Times New Roman"/>
            <w:sz w:val="16"/>
            <w:szCs w:val="16"/>
            <w:u w:val="single" w:color="auto"/>
            <w:color w:val="0000FF"/>
          </w:rPr>
          <w:t>Partners, LLC, as Joint Lead Arrangers and Joint Bookrunners,</w:t>
        </w:r>
      </w:hyperlink>
      <w:r>
        <w:rPr>
          <w:rFonts w:ascii="Times New Roman" w:cs="Times New Roman" w:eastAsia="Times New Roman" w:hAnsi="Times New Roman"/>
          <w:sz w:val="16"/>
          <w:szCs w:val="16"/>
          <w:u w:val="single" w:color="auto"/>
          <w:color w:val="0000FF"/>
        </w:rPr>
        <w:t xml:space="preserve"> </w:t>
      </w:r>
      <w:hyperlink r:id="rId172">
        <w:r>
          <w:rPr>
            <w:rFonts w:ascii="Times New Roman" w:cs="Times New Roman" w:eastAsia="Times New Roman" w:hAnsi="Times New Roman"/>
            <w:sz w:val="16"/>
            <w:szCs w:val="16"/>
            <w:u w:val="single" w:color="auto"/>
            <w:color w:val="0000FF"/>
          </w:rPr>
          <w:t>Mizuho Bank, Ltd., as Syndication Agent, and BofA Securities,</w:t>
        </w:r>
      </w:hyperlink>
    </w:p>
    <w:p>
      <w:pPr>
        <w:ind w:left="1080" w:right="140"/>
        <w:spacing w:after="0" w:line="212"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Inc., Barclays Bank PLC, Citibank, N.A, JPMorgan Chase Bank,</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N.A., Royal Bank of Canada and Morgan Stanley MUFG Loan</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Partners, LLC, as Co-Documentation Agents</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5" w:lineRule="exact"/>
        <w:rPr>
          <w:rFonts w:ascii="Times New Roman" w:cs="Times New Roman" w:eastAsia="Times New Roman" w:hAnsi="Times New Roman"/>
          <w:sz w:val="18"/>
          <w:szCs w:val="18"/>
          <w:u w:val="single" w:color="auto"/>
          <w:color w:val="0000FF"/>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8"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158"/>
        </w:trPr>
        <w:tc>
          <w:tcPr>
            <w:tcW w:w="1200" w:type="dxa"/>
            <w:vAlign w:val="bottom"/>
            <w:tcBorders>
              <w:top w:val="single" w:sz="8" w:color="auto"/>
            </w:tcBorders>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Form</w:t>
            </w:r>
          </w:p>
        </w:tc>
        <w:tc>
          <w:tcPr>
            <w:tcW w:w="4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File No.</w:t>
            </w:r>
          </w:p>
        </w:tc>
        <w:tc>
          <w:tcPr>
            <w:tcW w:w="4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Date of Filing</w:t>
            </w:r>
          </w:p>
        </w:tc>
        <w:tc>
          <w:tcPr>
            <w:tcW w:w="1000" w:type="dxa"/>
            <w:vAlign w:val="bottom"/>
            <w:tcBorders>
              <w:top w:val="single" w:sz="8" w:color="auto"/>
            </w:tcBorders>
            <w:gridSpan w:val="3"/>
          </w:tcPr>
          <w:p>
            <w:pPr>
              <w:ind w:left="260"/>
              <w:spacing w:after="0" w:line="158" w:lineRule="exact"/>
              <w:rPr>
                <w:sz w:val="20"/>
                <w:szCs w:val="20"/>
                <w:color w:val="auto"/>
              </w:rPr>
            </w:pPr>
            <w:r>
              <w:rPr>
                <w:rFonts w:ascii="Times New Roman" w:cs="Times New Roman" w:eastAsia="Times New Roman" w:hAnsi="Times New Roman"/>
                <w:sz w:val="14"/>
                <w:szCs w:val="14"/>
                <w:b w:val="1"/>
                <w:bCs w:val="1"/>
                <w:color w:val="auto"/>
              </w:rPr>
              <w:t>Exhibit No.</w:t>
            </w: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gridSpan w:val="3"/>
          </w:tcPr>
          <w:p>
            <w:pPr>
              <w:jc w:val="center"/>
              <w:ind w:left="32"/>
              <w:spacing w:after="0" w:line="204" w:lineRule="exact"/>
              <w:rPr>
                <w:sz w:val="20"/>
                <w:szCs w:val="20"/>
                <w:color w:val="auto"/>
              </w:rPr>
            </w:pPr>
            <w:r>
              <w:rPr>
                <w:rFonts w:ascii="Times New Roman" w:cs="Times New Roman" w:eastAsia="Times New Roman" w:hAnsi="Times New Roman"/>
                <w:sz w:val="18"/>
                <w:szCs w:val="18"/>
                <w:color w:val="auto"/>
                <w:w w:val="97"/>
              </w:rPr>
              <w:t>February 27,</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001-14195</w:t>
            </w:r>
          </w:p>
        </w:tc>
        <w:tc>
          <w:tcPr>
            <w:tcW w:w="122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960" w:type="dxa"/>
            <w:vAlign w:val="bottom"/>
            <w:gridSpan w:val="2"/>
          </w:tcPr>
          <w:p>
            <w:pPr>
              <w:jc w:val="center"/>
              <w:ind w:left="156"/>
              <w:spacing w:after="0"/>
              <w:rPr>
                <w:sz w:val="20"/>
                <w:szCs w:val="20"/>
                <w:color w:val="auto"/>
              </w:rPr>
            </w:pPr>
            <w:r>
              <w:rPr>
                <w:rFonts w:ascii="Times New Roman" w:cs="Times New Roman" w:eastAsia="Times New Roman" w:hAnsi="Times New Roman"/>
                <w:sz w:val="18"/>
                <w:szCs w:val="18"/>
                <w:color w:val="auto"/>
                <w:w w:val="98"/>
              </w:rPr>
              <w:t>10.28</w:t>
            </w:r>
          </w:p>
        </w:tc>
        <w:tc>
          <w:tcPr>
            <w:tcW w:w="40" w:type="dxa"/>
            <w:vAlign w:val="bottom"/>
          </w:tcPr>
          <w:p>
            <w:pPr>
              <w:spacing w:after="0"/>
              <w:rPr>
                <w:sz w:val="20"/>
                <w:szCs w:val="20"/>
                <w:color w:val="auto"/>
              </w:rPr>
            </w:pPr>
          </w:p>
        </w:tc>
      </w:tr>
      <w:tr>
        <w:trPr>
          <w:trHeight w:val="435"/>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w w:val="97"/>
              </w:rPr>
              <w:t>February 27,</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6"/>
        </w:trPr>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001-14195</w:t>
            </w:r>
          </w:p>
        </w:tc>
        <w:tc>
          <w:tcPr>
            <w:tcW w:w="122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Pr>
          <w:p>
            <w:pPr>
              <w:spacing w:after="0"/>
              <w:rPr>
                <w:sz w:val="20"/>
                <w:szCs w:val="20"/>
                <w:color w:val="auto"/>
              </w:rPr>
            </w:pPr>
          </w:p>
        </w:tc>
        <w:tc>
          <w:tcPr>
            <w:tcW w:w="960" w:type="dxa"/>
            <w:vAlign w:val="bottom"/>
            <w:gridSpan w:val="2"/>
          </w:tcPr>
          <w:p>
            <w:pPr>
              <w:jc w:val="center"/>
              <w:ind w:left="156"/>
              <w:spacing w:after="0"/>
              <w:rPr>
                <w:sz w:val="20"/>
                <w:szCs w:val="20"/>
                <w:color w:val="auto"/>
              </w:rPr>
            </w:pPr>
            <w:r>
              <w:rPr>
                <w:rFonts w:ascii="Times New Roman" w:cs="Times New Roman" w:eastAsia="Times New Roman" w:hAnsi="Times New Roman"/>
                <w:sz w:val="18"/>
                <w:szCs w:val="18"/>
                <w:color w:val="auto"/>
                <w:w w:val="98"/>
              </w:rPr>
              <w:t>10.29</w:t>
            </w:r>
          </w:p>
        </w:tc>
        <w:tc>
          <w:tcPr>
            <w:tcW w:w="40" w:type="dxa"/>
            <w:vAlign w:val="bottom"/>
          </w:tcPr>
          <w:p>
            <w:pPr>
              <w:spacing w:after="0"/>
              <w:rPr>
                <w:sz w:val="20"/>
                <w:szCs w:val="20"/>
                <w:color w:val="auto"/>
              </w:rPr>
            </w:pPr>
          </w:p>
        </w:tc>
      </w:tr>
      <w:tr>
        <w:trPr>
          <w:trHeight w:val="264"/>
        </w:trPr>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w w:val="97"/>
              </w:rPr>
              <w:t>February 25,</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6"/>
        </w:trPr>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001-14195</w:t>
            </w:r>
          </w:p>
        </w:tc>
        <w:tc>
          <w:tcPr>
            <w:tcW w:w="122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2025</w:t>
            </w:r>
          </w:p>
        </w:tc>
        <w:tc>
          <w:tcPr>
            <w:tcW w:w="280" w:type="dxa"/>
            <w:vAlign w:val="bottom"/>
          </w:tcPr>
          <w:p>
            <w:pPr>
              <w:spacing w:after="0"/>
              <w:rPr>
                <w:sz w:val="20"/>
                <w:szCs w:val="20"/>
                <w:color w:val="auto"/>
              </w:rPr>
            </w:pPr>
          </w:p>
        </w:tc>
        <w:tc>
          <w:tcPr>
            <w:tcW w:w="960" w:type="dxa"/>
            <w:vAlign w:val="bottom"/>
            <w:gridSpan w:val="2"/>
          </w:tcPr>
          <w:p>
            <w:pPr>
              <w:jc w:val="center"/>
              <w:ind w:left="156"/>
              <w:spacing w:after="0"/>
              <w:rPr>
                <w:sz w:val="20"/>
                <w:szCs w:val="20"/>
                <w:color w:val="auto"/>
              </w:rPr>
            </w:pPr>
            <w:r>
              <w:rPr>
                <w:rFonts w:ascii="Times New Roman" w:cs="Times New Roman" w:eastAsia="Times New Roman" w:hAnsi="Times New Roman"/>
                <w:sz w:val="18"/>
                <w:szCs w:val="18"/>
                <w:color w:val="auto"/>
                <w:w w:val="98"/>
              </w:rPr>
              <w:t>10.31</w:t>
            </w:r>
          </w:p>
        </w:tc>
        <w:tc>
          <w:tcPr>
            <w:tcW w:w="40" w:type="dxa"/>
            <w:vAlign w:val="bottom"/>
          </w:tcPr>
          <w:p>
            <w:pPr>
              <w:spacing w:after="0"/>
              <w:rPr>
                <w:sz w:val="20"/>
                <w:szCs w:val="20"/>
                <w:color w:val="auto"/>
              </w:rPr>
            </w:pPr>
          </w:p>
        </w:tc>
      </w:tr>
      <w:tr>
        <w:trPr>
          <w:trHeight w:val="264"/>
        </w:trPr>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w w:val="97"/>
              </w:rPr>
              <w:t>February 25,</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6"/>
        </w:trPr>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001-14195</w:t>
            </w:r>
          </w:p>
        </w:tc>
        <w:tc>
          <w:tcPr>
            <w:tcW w:w="122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2025</w:t>
            </w:r>
          </w:p>
        </w:tc>
        <w:tc>
          <w:tcPr>
            <w:tcW w:w="280" w:type="dxa"/>
            <w:vAlign w:val="bottom"/>
          </w:tcPr>
          <w:p>
            <w:pPr>
              <w:spacing w:after="0"/>
              <w:rPr>
                <w:sz w:val="20"/>
                <w:szCs w:val="20"/>
                <w:color w:val="auto"/>
              </w:rPr>
            </w:pPr>
          </w:p>
        </w:tc>
        <w:tc>
          <w:tcPr>
            <w:tcW w:w="960" w:type="dxa"/>
            <w:vAlign w:val="bottom"/>
            <w:gridSpan w:val="2"/>
          </w:tcPr>
          <w:p>
            <w:pPr>
              <w:jc w:val="center"/>
              <w:ind w:left="156"/>
              <w:spacing w:after="0"/>
              <w:rPr>
                <w:sz w:val="20"/>
                <w:szCs w:val="20"/>
                <w:color w:val="auto"/>
              </w:rPr>
            </w:pPr>
            <w:r>
              <w:rPr>
                <w:rFonts w:ascii="Times New Roman" w:cs="Times New Roman" w:eastAsia="Times New Roman" w:hAnsi="Times New Roman"/>
                <w:sz w:val="18"/>
                <w:szCs w:val="18"/>
                <w:color w:val="auto"/>
                <w:w w:val="98"/>
              </w:rPr>
              <w:t>10.32</w:t>
            </w:r>
          </w:p>
        </w:tc>
        <w:tc>
          <w:tcPr>
            <w:tcW w:w="40" w:type="dxa"/>
            <w:vAlign w:val="bottom"/>
          </w:tcPr>
          <w:p>
            <w:pPr>
              <w:spacing w:after="0"/>
              <w:rPr>
                <w:sz w:val="20"/>
                <w:szCs w:val="20"/>
                <w:color w:val="auto"/>
              </w:rPr>
            </w:pPr>
          </w:p>
        </w:tc>
      </w:tr>
      <w:tr>
        <w:trPr>
          <w:trHeight w:val="264"/>
        </w:trPr>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Filed</w:t>
            </w: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71"/>
        </w:trPr>
        <w:tc>
          <w:tcPr>
            <w:tcW w:w="1200" w:type="dxa"/>
            <w:vAlign w:val="bottom"/>
            <w:gridSpan w:val="3"/>
          </w:tcPr>
          <w:p>
            <w:pPr>
              <w:jc w:val="center"/>
              <w:ind w:right="240"/>
              <w:spacing w:after="0" w:line="171" w:lineRule="exact"/>
              <w:rPr>
                <w:sz w:val="20"/>
                <w:szCs w:val="20"/>
                <w:color w:val="auto"/>
              </w:rPr>
            </w:pPr>
            <w:r>
              <w:rPr>
                <w:rFonts w:ascii="Times New Roman" w:cs="Times New Roman" w:eastAsia="Times New Roman" w:hAnsi="Times New Roman"/>
                <w:sz w:val="18"/>
                <w:szCs w:val="18"/>
                <w:color w:val="auto"/>
                <w:w w:val="96"/>
              </w:rPr>
              <w:t>herewith as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1200" w:type="dxa"/>
            <w:vAlign w:val="bottom"/>
            <w:gridSpan w:val="3"/>
          </w:tcPr>
          <w:p>
            <w:pPr>
              <w:jc w:val="center"/>
              <w:ind w:right="240"/>
              <w:spacing w:after="0" w:line="179" w:lineRule="exact"/>
              <w:rPr>
                <w:sz w:val="20"/>
                <w:szCs w:val="20"/>
                <w:color w:val="auto"/>
              </w:rPr>
            </w:pPr>
            <w:r>
              <w:rPr>
                <w:rFonts w:ascii="Times New Roman" w:cs="Times New Roman" w:eastAsia="Times New Roman" w:hAnsi="Times New Roman"/>
                <w:sz w:val="18"/>
                <w:szCs w:val="18"/>
                <w:color w:val="auto"/>
                <w:w w:val="98"/>
              </w:rPr>
              <w:t>Exhibit</w:t>
            </w: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8"/>
        </w:trPr>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10.32</w:t>
            </w:r>
          </w:p>
        </w:tc>
        <w:tc>
          <w:tcPr>
            <w:tcW w:w="440" w:type="dxa"/>
            <w:vAlign w:val="bottom"/>
          </w:tcPr>
          <w:p>
            <w:pPr>
              <w:spacing w:after="0"/>
              <w:rPr>
                <w:sz w:val="19"/>
                <w:szCs w:val="19"/>
                <w:color w:val="auto"/>
              </w:rPr>
            </w:pPr>
          </w:p>
        </w:tc>
        <w:tc>
          <w:tcPr>
            <w:tcW w:w="9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9" w:lineRule="exact"/>
        <w:rPr>
          <w:rFonts w:ascii="Times New Roman" w:cs="Times New Roman" w:eastAsia="Times New Roman" w:hAnsi="Times New Roman"/>
          <w:sz w:val="18"/>
          <w:szCs w:val="18"/>
          <w:u w:val="single" w:color="auto"/>
          <w:color w:val="0000FF"/>
        </w:rPr>
      </w:pPr>
    </w:p>
    <w:tbl>
      <w:tblPr>
        <w:tblLayout w:type="fixed"/>
        <w:tblInd w:w="30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February 25,</w:t>
            </w:r>
          </w:p>
        </w:tc>
        <w:tc>
          <w:tcPr>
            <w:tcW w:w="720" w:type="dxa"/>
            <w:vAlign w:val="bottom"/>
          </w:tcPr>
          <w:p>
            <w:pPr>
              <w:spacing w:after="0"/>
              <w:rPr>
                <w:sz w:val="17"/>
                <w:szCs w:val="17"/>
                <w:color w:val="auto"/>
              </w:rPr>
            </w:pPr>
          </w:p>
        </w:tc>
      </w:tr>
      <w:tr>
        <w:trPr>
          <w:trHeight w:val="23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001-14195</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bl>
    <w:p>
      <w:pPr>
        <w:spacing w:after="0" w:line="7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780" w:space="360"/>
            <w:col w:w="51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10.34</w:t>
            </w:r>
          </w:p>
        </w:tc>
        <w:tc>
          <w:tcPr>
            <w:tcW w:w="5000" w:type="dxa"/>
            <w:vAlign w:val="bottom"/>
            <w:gridSpan w:val="18"/>
            <w:shd w:val="clear" w:color="auto" w:fill="CCEEFF"/>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Amendment No. 1 to the Third Amended and Restated</w:t>
              </w:r>
            </w:hyperlink>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shd w:val="clear" w:color="auto" w:fill="CCEEFF"/>
          </w:tcPr>
          <w:p>
            <w:pPr>
              <w:spacing w:after="0"/>
              <w:rPr>
                <w:sz w:val="13"/>
                <w:szCs w:val="13"/>
                <w:color w:val="auto"/>
              </w:rPr>
            </w:pPr>
          </w:p>
        </w:tc>
        <w:tc>
          <w:tcPr>
            <w:tcW w:w="500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Multicurrency Revolving Credit Agreement, dated as of June 29,</w:t>
              </w:r>
            </w:hyperlink>
          </w:p>
        </w:tc>
        <w:tc>
          <w:tcPr>
            <w:tcW w:w="1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560" w:type="dxa"/>
            <w:vAlign w:val="bottom"/>
            <w:tcBorders>
              <w:top w:val="single" w:sz="8" w:color="0000FF"/>
            </w:tcBorders>
            <w:gridSpan w:val="13"/>
            <w:shd w:val="clear" w:color="auto" w:fill="CCEEFF"/>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2023, among the Company and certain of its subsidiaries as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4180" w:type="dxa"/>
            <w:vAlign w:val="bottom"/>
            <w:tcBorders>
              <w:top w:val="single" w:sz="8" w:color="0000FF"/>
              <w:bottom w:val="single" w:sz="8" w:color="0000FF"/>
            </w:tcBorders>
            <w:gridSpan w:val="5"/>
            <w:shd w:val="clear" w:color="auto" w:fill="CCEEFF"/>
          </w:tcPr>
          <w:p>
            <w:pPr>
              <w:spacing w:after="0" w:line="164" w:lineRule="exact"/>
              <w:rPr>
                <w:rFonts w:ascii="Times New Roman" w:cs="Times New Roman" w:eastAsia="Times New Roman" w:hAnsi="Times New Roman"/>
                <w:sz w:val="18"/>
                <w:szCs w:val="18"/>
                <w:color w:val="0000FF"/>
                <w:w w:val="93"/>
              </w:rPr>
            </w:pPr>
            <w:hyperlink r:id="rId176">
              <w:r>
                <w:rPr>
                  <w:rFonts w:ascii="Times New Roman" w:cs="Times New Roman" w:eastAsia="Times New Roman" w:hAnsi="Times New Roman"/>
                  <w:sz w:val="18"/>
                  <w:szCs w:val="18"/>
                  <w:color w:val="0000FF"/>
                  <w:w w:val="93"/>
                </w:rPr>
                <w:t>borrowers, Toronto Dominion (Texas) LLC, as administrative</w:t>
              </w:r>
            </w:hyperlink>
          </w:p>
        </w:tc>
        <w:tc>
          <w:tcPr>
            <w:tcW w:w="16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CCEEFF"/>
              <w:bottom w:val="single" w:sz="8" w:color="CCEEFF"/>
            </w:tcBorders>
            <w:shd w:val="clear" w:color="auto" w:fill="CCEEFF"/>
          </w:tcPr>
          <w:p>
            <w:pPr>
              <w:spacing w:after="0"/>
              <w:rPr>
                <w:sz w:val="14"/>
                <w:szCs w:val="14"/>
                <w:color w:val="auto"/>
              </w:rPr>
            </w:pP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80" w:type="dxa"/>
            <w:vAlign w:val="bottom"/>
            <w:tcBorders>
              <w:bottom w:val="single" w:sz="8" w:color="CCEEFF"/>
            </w:tcBorders>
            <w:shd w:val="clear" w:color="auto" w:fill="CCEEFF"/>
          </w:tcPr>
          <w:p>
            <w:pPr>
              <w:spacing w:after="0"/>
              <w:rPr>
                <w:sz w:val="13"/>
                <w:szCs w:val="13"/>
                <w:color w:val="auto"/>
              </w:rPr>
            </w:pPr>
          </w:p>
        </w:tc>
        <w:tc>
          <w:tcPr>
            <w:tcW w:w="4340" w:type="dxa"/>
            <w:vAlign w:val="bottom"/>
            <w:tcBorders>
              <w:bottom w:val="single" w:sz="8" w:color="0000FF"/>
            </w:tcBorders>
            <w:gridSpan w:val="6"/>
            <w:shd w:val="clear" w:color="auto" w:fill="CCEEFF"/>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agent, and a majority of lenders under the Third Amended and</w:t>
              </w:r>
            </w:hyperlink>
          </w:p>
        </w:tc>
        <w:tc>
          <w:tcPr>
            <w:tcW w:w="4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10"/>
            <w:vMerge w:val="restart"/>
            <w:shd w:val="clear" w:color="auto" w:fill="CCEEFF"/>
          </w:tcPr>
          <w:p>
            <w:pPr>
              <w:ind w:left="40"/>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of</w:t>
              </w:r>
            </w:hyperlink>
          </w:p>
        </w:tc>
        <w:tc>
          <w:tcPr>
            <w:tcW w:w="114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shd w:val="clear" w:color="auto" w:fill="CCEEFF"/>
          </w:tcPr>
          <w:p>
            <w:pPr>
              <w:spacing w:after="0"/>
              <w:rPr>
                <w:sz w:val="13"/>
                <w:szCs w:val="13"/>
                <w:color w:val="auto"/>
              </w:rPr>
            </w:pPr>
          </w:p>
        </w:tc>
        <w:tc>
          <w:tcPr>
            <w:tcW w:w="4380" w:type="dxa"/>
            <w:vAlign w:val="bottom"/>
            <w:gridSpan w:val="7"/>
            <w:shd w:val="clear" w:color="auto" w:fill="CCEEFF"/>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Restated Multicurrency Revolving Credit Agreement, dated as</w:t>
              </w:r>
            </w:hyperlink>
          </w:p>
        </w:tc>
        <w:tc>
          <w:tcPr>
            <w:tcW w:w="20" w:type="dxa"/>
            <w:vAlign w:val="bottom"/>
            <w:shd w:val="clear" w:color="auto" w:fill="CCEEFF"/>
          </w:tcPr>
          <w:p>
            <w:pPr>
              <w:spacing w:after="0"/>
              <w:rPr>
                <w:sz w:val="13"/>
                <w:szCs w:val="13"/>
                <w:color w:val="auto"/>
              </w:rPr>
            </w:pPr>
          </w:p>
        </w:tc>
        <w:tc>
          <w:tcPr>
            <w:tcW w:w="600" w:type="dxa"/>
            <w:vAlign w:val="bottom"/>
            <w:gridSpan w:val="10"/>
            <w:vMerge w:val="continue"/>
            <w:shd w:val="clear" w:color="auto" w:fill="CCEEFF"/>
          </w:tcPr>
          <w:p>
            <w:pPr>
              <w:spacing w:after="0"/>
              <w:rPr>
                <w:sz w:val="13"/>
                <w:szCs w:val="13"/>
                <w:color w:val="auto"/>
              </w:rPr>
            </w:pPr>
          </w:p>
        </w:tc>
        <w:tc>
          <w:tcPr>
            <w:tcW w:w="11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vMerge w:val="restart"/>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001-14195</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27, 2023</w:t>
            </w:r>
          </w:p>
        </w:tc>
        <w:tc>
          <w:tcPr>
            <w:tcW w:w="900" w:type="dxa"/>
            <w:vAlign w:val="bottom"/>
            <w:vMerge w:val="restart"/>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10.2</w:t>
            </w:r>
          </w:p>
        </w:tc>
        <w:tc>
          <w:tcPr>
            <w:tcW w:w="0" w:type="dxa"/>
            <w:vAlign w:val="bottom"/>
          </w:tcPr>
          <w:p>
            <w:pPr>
              <w:spacing w:after="0"/>
              <w:rPr>
                <w:sz w:val="1"/>
                <w:szCs w:val="1"/>
                <w:color w:val="auto"/>
              </w:rPr>
            </w:pPr>
          </w:p>
        </w:tc>
      </w:tr>
      <w:tr>
        <w:trPr>
          <w:trHeight w:val="164"/>
        </w:trPr>
        <w:tc>
          <w:tcPr>
            <w:tcW w:w="1080" w:type="dxa"/>
            <w:vAlign w:val="bottom"/>
            <w:tcBorders>
              <w:top w:val="single" w:sz="8" w:color="CCEEFF"/>
            </w:tcBorders>
            <w:shd w:val="clear" w:color="auto" w:fill="CCEEFF"/>
          </w:tcPr>
          <w:p>
            <w:pPr>
              <w:spacing w:after="0"/>
              <w:rPr>
                <w:sz w:val="14"/>
                <w:szCs w:val="14"/>
                <w:color w:val="auto"/>
              </w:rPr>
            </w:pPr>
          </w:p>
        </w:tc>
        <w:tc>
          <w:tcPr>
            <w:tcW w:w="4600" w:type="dxa"/>
            <w:vAlign w:val="bottom"/>
            <w:tcBorders>
              <w:top w:val="single" w:sz="8" w:color="0000FF"/>
            </w:tcBorders>
            <w:gridSpan w:val="15"/>
            <w:shd w:val="clear" w:color="auto" w:fill="CCEEFF"/>
          </w:tcPr>
          <w:p>
            <w:pPr>
              <w:spacing w:after="0" w:line="164"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December 8,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vMerge w:val="continue"/>
            <w:shd w:val="clear" w:color="auto" w:fill="CCEEFF"/>
          </w:tcPr>
          <w:p>
            <w:pPr>
              <w:spacing w:after="0"/>
              <w:rPr>
                <w:sz w:val="14"/>
                <w:szCs w:val="14"/>
                <w:color w:val="auto"/>
              </w:rPr>
            </w:pPr>
          </w:p>
        </w:tc>
        <w:tc>
          <w:tcPr>
            <w:tcW w:w="1520" w:type="dxa"/>
            <w:vAlign w:val="bottom"/>
            <w:tcBorders>
              <w:top w:val="single" w:sz="8" w:color="CCEEFF"/>
            </w:tcBorders>
            <w:vMerge w:val="continue"/>
            <w:shd w:val="clear" w:color="auto" w:fill="CCEEFF"/>
          </w:tcPr>
          <w:p>
            <w:pPr>
              <w:spacing w:after="0"/>
              <w:rPr>
                <w:sz w:val="14"/>
                <w:szCs w:val="14"/>
                <w:color w:val="auto"/>
              </w:rPr>
            </w:pPr>
          </w:p>
        </w:tc>
        <w:tc>
          <w:tcPr>
            <w:tcW w:w="1600" w:type="dxa"/>
            <w:vAlign w:val="bottom"/>
            <w:tcBorders>
              <w:top w:val="single" w:sz="8" w:color="CCEEFF"/>
            </w:tcBorders>
            <w:vMerge w:val="continue"/>
            <w:shd w:val="clear" w:color="auto" w:fill="CCEEFF"/>
          </w:tcPr>
          <w:p>
            <w:pPr>
              <w:spacing w:after="0"/>
              <w:rPr>
                <w:sz w:val="14"/>
                <w:szCs w:val="14"/>
                <w:color w:val="auto"/>
              </w:rPr>
            </w:pPr>
          </w:p>
        </w:tc>
        <w:tc>
          <w:tcPr>
            <w:tcW w:w="90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80" w:type="dxa"/>
            <w:vAlign w:val="bottom"/>
            <w:shd w:val="clear" w:color="auto" w:fill="CCEE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98"/>
              </w:rPr>
              <w:t>10.35</w:t>
            </w:r>
          </w:p>
        </w:tc>
        <w:tc>
          <w:tcPr>
            <w:tcW w:w="5000" w:type="dxa"/>
            <w:vAlign w:val="bottom"/>
            <w:gridSpan w:val="18"/>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Notice of Benchmark Replacement and Amendment No. 2, dated</w:t>
              </w:r>
            </w:hyperlink>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458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as of June 27, 2024, to the Third Amended and Restated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3940" w:type="dxa"/>
            <w:vAlign w:val="bottom"/>
            <w:tcBorders>
              <w:top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Multicurrency Revolving Credit Agreement, among the</w:t>
              </w:r>
            </w:hyperlink>
          </w:p>
        </w:tc>
        <w:tc>
          <w:tcPr>
            <w:tcW w:w="1060" w:type="dxa"/>
            <w:vAlign w:val="bottom"/>
            <w:gridSpan w:val="14"/>
          </w:tcPr>
          <w:p>
            <w:pPr>
              <w:ind w:left="20"/>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Company</w:t>
              </w:r>
            </w:hyperlink>
          </w:p>
        </w:tc>
        <w:tc>
          <w:tcPr>
            <w:tcW w:w="1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4640" w:type="dxa"/>
            <w:vAlign w:val="bottom"/>
            <w:tcBorders>
              <w:top w:val="single" w:sz="8" w:color="0000FF"/>
            </w:tcBorders>
            <w:gridSpan w:val="17"/>
          </w:tcPr>
          <w:p>
            <w:pPr>
              <w:spacing w:after="0" w:line="164"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and certain of its subsidiaries as borrowers, Toronto Dominion</w:t>
              </w:r>
            </w:hyperlink>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(Texas) LLC, as administrative agent, and a majority of lenders</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38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4460" w:type="dxa"/>
            <w:vAlign w:val="bottom"/>
            <w:tcBorders>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under the Third Amended and Restated Multicurrency Revolving</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4"/>
          </w:tcPr>
          <w:p>
            <w:pPr>
              <w:spacing w:after="0"/>
              <w:rPr>
                <w:sz w:val="13"/>
                <w:szCs w:val="13"/>
                <w:color w:val="auto"/>
              </w:rPr>
            </w:pPr>
          </w:p>
        </w:tc>
        <w:tc>
          <w:tcPr>
            <w:tcW w:w="380" w:type="dxa"/>
            <w:vAlign w:val="bottom"/>
            <w:gridSpan w:val="2"/>
          </w:tcPr>
          <w:p>
            <w:pPr>
              <w:spacing w:after="0"/>
              <w:rPr>
                <w:sz w:val="13"/>
                <w:szCs w:val="13"/>
                <w:color w:val="auto"/>
              </w:rPr>
            </w:pPr>
          </w:p>
        </w:tc>
        <w:tc>
          <w:tcPr>
            <w:tcW w:w="11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vMerge w:val="restart"/>
          </w:tcPr>
          <w:p>
            <w:pPr>
              <w:jc w:val="right"/>
              <w:ind w:right="252"/>
              <w:spacing w:after="0"/>
              <w:rPr>
                <w:sz w:val="20"/>
                <w:szCs w:val="20"/>
                <w:color w:val="auto"/>
              </w:rPr>
            </w:pPr>
            <w:r>
              <w:rPr>
                <w:rFonts w:ascii="Times New Roman" w:cs="Times New Roman" w:eastAsia="Times New Roman" w:hAnsi="Times New Roman"/>
                <w:sz w:val="18"/>
                <w:szCs w:val="18"/>
                <w:color w:val="auto"/>
              </w:rPr>
              <w:t>001-14195</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July 30, 2024</w:t>
            </w:r>
          </w:p>
        </w:tc>
        <w:tc>
          <w:tcPr>
            <w:tcW w:w="900" w:type="dxa"/>
            <w:vAlign w:val="bottom"/>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5"/>
              </w:rPr>
              <w:t>10.1</w:t>
            </w: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4620" w:type="dxa"/>
            <w:vAlign w:val="bottom"/>
            <w:gridSpan w:val="16"/>
          </w:tcPr>
          <w:p>
            <w:pPr>
              <w:spacing w:after="0" w:line="164"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Credit Agreement, dated December 8, 2021, as further amended</w:t>
              </w:r>
            </w:hyperlink>
          </w:p>
        </w:tc>
        <w:tc>
          <w:tcPr>
            <w:tcW w:w="380" w:type="dxa"/>
            <w:vAlign w:val="bottom"/>
            <w:gridSpan w:val="2"/>
          </w:tcPr>
          <w:p>
            <w:pPr>
              <w:spacing w:after="0"/>
              <w:rPr>
                <w:sz w:val="14"/>
                <w:szCs w:val="14"/>
                <w:color w:val="auto"/>
              </w:rPr>
            </w:pPr>
          </w:p>
        </w:tc>
        <w:tc>
          <w:tcPr>
            <w:tcW w:w="114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80" w:type="dxa"/>
            <w:vAlign w:val="bottom"/>
            <w:tcBorders>
              <w:top w:val="single" w:sz="8" w:color="0000FF"/>
            </w:tcBorders>
          </w:tcPr>
          <w:p>
            <w:pPr>
              <w:spacing w:after="0"/>
              <w:rPr>
                <w:sz w:val="9"/>
                <w:szCs w:val="9"/>
                <w:color w:val="auto"/>
              </w:rPr>
            </w:pPr>
          </w:p>
        </w:tc>
        <w:tc>
          <w:tcPr>
            <w:tcW w:w="1440" w:type="dxa"/>
            <w:vAlign w:val="bottom"/>
            <w:tcBorders>
              <w:top w:val="single" w:sz="8" w:color="0000FF"/>
            </w:tcBorders>
          </w:tcPr>
          <w:p>
            <w:pPr>
              <w:spacing w:after="0"/>
              <w:rPr>
                <w:sz w:val="9"/>
                <w:szCs w:val="9"/>
                <w:color w:val="auto"/>
              </w:rPr>
            </w:pPr>
          </w:p>
        </w:tc>
        <w:tc>
          <w:tcPr>
            <w:tcW w:w="11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080" w:type="dxa"/>
            <w:vAlign w:val="bottom"/>
            <w:shd w:val="clear" w:color="auto" w:fill="CCEEFF"/>
          </w:tcPr>
          <w:p>
            <w:pPr>
              <w:jc w:val="right"/>
              <w:ind w:right="572"/>
              <w:spacing w:after="0" w:line="184" w:lineRule="exact"/>
              <w:rPr>
                <w:sz w:val="20"/>
                <w:szCs w:val="20"/>
                <w:color w:val="auto"/>
              </w:rPr>
            </w:pPr>
            <w:r>
              <w:rPr>
                <w:rFonts w:ascii="Times New Roman" w:cs="Times New Roman" w:eastAsia="Times New Roman" w:hAnsi="Times New Roman"/>
                <w:sz w:val="18"/>
                <w:szCs w:val="18"/>
                <w:color w:val="auto"/>
                <w:w w:val="98"/>
              </w:rPr>
              <w:t>10.36</w:t>
            </w:r>
          </w:p>
        </w:tc>
        <w:tc>
          <w:tcPr>
            <w:tcW w:w="500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Amendment No. 3 to the Third Amended and Restated</w:t>
              </w:r>
            </w:hyperlink>
          </w:p>
        </w:tc>
        <w:tc>
          <w:tcPr>
            <w:tcW w:w="1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0" w:type="dxa"/>
            <w:vAlign w:val="bottom"/>
            <w:gridSpan w:val="6"/>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480" w:type="dxa"/>
            <w:vAlign w:val="bottom"/>
            <w:gridSpan w:val="6"/>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shd w:val="clear" w:color="auto" w:fill="CCEEFF"/>
          </w:tcPr>
          <w:p>
            <w:pPr>
              <w:spacing w:after="0"/>
              <w:rPr>
                <w:sz w:val="13"/>
                <w:szCs w:val="13"/>
                <w:color w:val="auto"/>
              </w:rPr>
            </w:pPr>
          </w:p>
        </w:tc>
        <w:tc>
          <w:tcPr>
            <w:tcW w:w="5000" w:type="dxa"/>
            <w:vAlign w:val="bottom"/>
            <w:gridSpan w:val="18"/>
            <w:shd w:val="clear" w:color="auto" w:fill="CCEEFF"/>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Multicurrency Revolving Credit Agreement, dated as of January</w:t>
              </w:r>
            </w:hyperlink>
          </w:p>
        </w:tc>
        <w:tc>
          <w:tcPr>
            <w:tcW w:w="1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520" w:type="dxa"/>
            <w:vAlign w:val="bottom"/>
            <w:tcBorders>
              <w:top w:val="single" w:sz="8" w:color="0000FF"/>
            </w:tcBorders>
            <w:gridSpan w:val="12"/>
            <w:shd w:val="clear" w:color="auto" w:fill="CCEEFF"/>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28, 2025, among the Company and certain of its subsidiaries as</w:t>
              </w:r>
            </w:hyperlink>
          </w:p>
        </w:tc>
        <w:tc>
          <w:tcPr>
            <w:tcW w:w="480" w:type="dxa"/>
            <w:vAlign w:val="bottom"/>
            <w:tcBorders>
              <w:top w:val="single" w:sz="8" w:color="CCEEFF"/>
            </w:tcBorders>
            <w:gridSpan w:val="6"/>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Borders>
              <w:top w:val="single" w:sz="8" w:color="CCEEFF"/>
            </w:tcBorders>
            <w:shd w:val="clear" w:color="auto" w:fill="CCEEFF"/>
          </w:tcPr>
          <w:p>
            <w:pPr>
              <w:spacing w:after="0"/>
              <w:rPr>
                <w:sz w:val="14"/>
                <w:szCs w:val="14"/>
                <w:color w:val="auto"/>
              </w:rPr>
            </w:pPr>
          </w:p>
        </w:tc>
        <w:tc>
          <w:tcPr>
            <w:tcW w:w="4440" w:type="dxa"/>
            <w:vAlign w:val="bottom"/>
            <w:tcBorders>
              <w:top w:val="single" w:sz="8" w:color="0000FF"/>
            </w:tcBorders>
            <w:gridSpan w:val="9"/>
            <w:shd w:val="clear" w:color="auto" w:fill="CCEEFF"/>
          </w:tcPr>
          <w:p>
            <w:pPr>
              <w:spacing w:after="0" w:line="164" w:lineRule="exact"/>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borrowers, Toronto Dominion (Texas) LLC, as administrative</w:t>
              </w:r>
            </w:hyperlink>
          </w:p>
        </w:tc>
        <w:tc>
          <w:tcPr>
            <w:tcW w:w="560" w:type="dxa"/>
            <w:vAlign w:val="bottom"/>
            <w:tcBorders>
              <w:top w:val="single" w:sz="8" w:color="CCEEFF"/>
            </w:tcBorders>
            <w:gridSpan w:val="9"/>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340" w:type="dxa"/>
            <w:vAlign w:val="bottom"/>
            <w:tcBorders>
              <w:top w:val="single" w:sz="8" w:color="0000FF"/>
            </w:tcBorders>
            <w:gridSpan w:val="6"/>
            <w:shd w:val="clear" w:color="auto" w:fill="CCEEFF"/>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agent, and a majority of lenders under the Third Amended and</w:t>
              </w:r>
            </w:hyperlink>
          </w:p>
        </w:tc>
        <w:tc>
          <w:tcPr>
            <w:tcW w:w="660" w:type="dxa"/>
            <w:vAlign w:val="bottom"/>
            <w:tcBorders>
              <w:top w:val="single" w:sz="8" w:color="CCEEFF"/>
            </w:tcBorders>
            <w:gridSpan w:val="12"/>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February 25,</w:t>
            </w:r>
          </w:p>
        </w:tc>
        <w:tc>
          <w:tcPr>
            <w:tcW w:w="9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380" w:type="dxa"/>
            <w:vAlign w:val="bottom"/>
            <w:tcBorders>
              <w:top w:val="single" w:sz="8" w:color="0000FF"/>
            </w:tcBorders>
            <w:gridSpan w:val="7"/>
            <w:shd w:val="clear" w:color="auto" w:fill="CCEEFF"/>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Restated Multicurrency Revolving Credit Agreement, dated as</w:t>
              </w:r>
            </w:hyperlink>
          </w:p>
        </w:tc>
        <w:tc>
          <w:tcPr>
            <w:tcW w:w="620" w:type="dxa"/>
            <w:vAlign w:val="bottom"/>
            <w:tcBorders>
              <w:top w:val="single" w:sz="8" w:color="CCEEFF"/>
            </w:tcBorders>
            <w:gridSpan w:val="11"/>
            <w:shd w:val="clear" w:color="auto" w:fill="CCEEFF"/>
          </w:tcPr>
          <w:p>
            <w:pPr>
              <w:ind w:left="60"/>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of</w:t>
              </w:r>
            </w:hyperlink>
          </w:p>
        </w:tc>
        <w:tc>
          <w:tcPr>
            <w:tcW w:w="114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CCEEFF"/>
            </w:tcBorders>
            <w:vMerge w:val="continue"/>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Borders>
              <w:top w:val="single" w:sz="8" w:color="CCEEFF"/>
            </w:tcBorders>
            <w:shd w:val="clear" w:color="auto" w:fill="CCEEFF"/>
          </w:tcPr>
          <w:p>
            <w:pPr>
              <w:spacing w:after="0"/>
              <w:rPr>
                <w:sz w:val="14"/>
                <w:szCs w:val="14"/>
                <w:color w:val="auto"/>
              </w:rPr>
            </w:pPr>
          </w:p>
        </w:tc>
        <w:tc>
          <w:tcPr>
            <w:tcW w:w="4600" w:type="dxa"/>
            <w:vAlign w:val="bottom"/>
            <w:tcBorders>
              <w:top w:val="single" w:sz="8" w:color="0000FF"/>
            </w:tcBorders>
            <w:gridSpan w:val="15"/>
            <w:shd w:val="clear" w:color="auto" w:fill="CCEEFF"/>
          </w:tcPr>
          <w:p>
            <w:pPr>
              <w:spacing w:after="0" w:line="16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December 8, 2021, as further amended</w:t>
              </w:r>
            </w:hyperlink>
          </w:p>
        </w:tc>
        <w:tc>
          <w:tcPr>
            <w:tcW w:w="400" w:type="dxa"/>
            <w:vAlign w:val="bottom"/>
            <w:tcBorders>
              <w:top w:val="single" w:sz="8" w:color="CCEEFF"/>
            </w:tcBorders>
            <w:gridSpan w:val="3"/>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ind w:left="360"/>
              <w:spacing w:after="0" w:line="164" w:lineRule="exact"/>
              <w:rPr>
                <w:sz w:val="20"/>
                <w:szCs w:val="20"/>
                <w:color w:val="auto"/>
              </w:rPr>
            </w:pPr>
            <w:r>
              <w:rPr>
                <w:rFonts w:ascii="Times New Roman" w:cs="Times New Roman" w:eastAsia="Times New Roman" w:hAnsi="Times New Roman"/>
                <w:sz w:val="18"/>
                <w:szCs w:val="18"/>
                <w:color w:val="auto"/>
              </w:rPr>
              <w:t>10-K</w:t>
            </w:r>
          </w:p>
        </w:tc>
        <w:tc>
          <w:tcPr>
            <w:tcW w:w="1520" w:type="dxa"/>
            <w:vAlign w:val="bottom"/>
            <w:tcBorders>
              <w:top w:val="single" w:sz="8" w:color="CCEEFF"/>
            </w:tcBorders>
            <w:shd w:val="clear" w:color="auto" w:fill="CCEEFF"/>
          </w:tcPr>
          <w:p>
            <w:pPr>
              <w:jc w:val="right"/>
              <w:ind w:right="252"/>
              <w:spacing w:after="0" w:line="164" w:lineRule="exact"/>
              <w:rPr>
                <w:sz w:val="20"/>
                <w:szCs w:val="20"/>
                <w:color w:val="auto"/>
              </w:rPr>
            </w:pPr>
            <w:r>
              <w:rPr>
                <w:rFonts w:ascii="Times New Roman" w:cs="Times New Roman" w:eastAsia="Times New Roman" w:hAnsi="Times New Roman"/>
                <w:sz w:val="18"/>
                <w:szCs w:val="18"/>
                <w:color w:val="auto"/>
              </w:rPr>
              <w:t>001-14195</w:t>
            </w:r>
          </w:p>
        </w:tc>
        <w:tc>
          <w:tcPr>
            <w:tcW w:w="1600" w:type="dxa"/>
            <w:vAlign w:val="bottom"/>
            <w:tcBorders>
              <w:top w:val="single" w:sz="8" w:color="CCEEFF"/>
            </w:tcBorders>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2025</w:t>
            </w:r>
          </w:p>
        </w:tc>
        <w:tc>
          <w:tcPr>
            <w:tcW w:w="900" w:type="dxa"/>
            <w:vAlign w:val="bottom"/>
            <w:tcBorders>
              <w:top w:val="single" w:sz="8" w:color="CCEEFF"/>
            </w:tcBorders>
            <w:shd w:val="clear" w:color="auto" w:fill="CCEEFF"/>
          </w:tcPr>
          <w:p>
            <w:pPr>
              <w:jc w:val="center"/>
              <w:ind w:left="12"/>
              <w:spacing w:after="0" w:line="164" w:lineRule="exact"/>
              <w:rPr>
                <w:sz w:val="20"/>
                <w:szCs w:val="20"/>
                <w:color w:val="auto"/>
              </w:rPr>
            </w:pPr>
            <w:r>
              <w:rPr>
                <w:rFonts w:ascii="Times New Roman" w:cs="Times New Roman" w:eastAsia="Times New Roman" w:hAnsi="Times New Roman"/>
                <w:sz w:val="18"/>
                <w:szCs w:val="18"/>
                <w:color w:val="auto"/>
                <w:w w:val="98"/>
              </w:rPr>
              <w:t>10.36</w:t>
            </w:r>
          </w:p>
        </w:tc>
        <w:tc>
          <w:tcPr>
            <w:tcW w:w="0" w:type="dxa"/>
            <w:vAlign w:val="bottom"/>
          </w:tcPr>
          <w:p>
            <w:pPr>
              <w:spacing w:after="0"/>
              <w:rPr>
                <w:sz w:val="1"/>
                <w:szCs w:val="1"/>
                <w:color w:val="auto"/>
              </w:rPr>
            </w:pPr>
          </w:p>
        </w:tc>
      </w:tr>
      <w:tr>
        <w:trPr>
          <w:trHeight w:val="40"/>
        </w:trPr>
        <w:tc>
          <w:tcPr>
            <w:tcW w:w="1080" w:type="dxa"/>
            <w:vAlign w:val="bottom"/>
            <w:shd w:val="clear" w:color="auto" w:fill="CCEE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0" w:type="dxa"/>
            <w:vAlign w:val="bottom"/>
          </w:tcPr>
          <w:p>
            <w:pPr>
              <w:spacing w:after="0"/>
              <w:rPr>
                <w:sz w:val="13"/>
                <w:szCs w:val="13"/>
                <w:color w:val="auto"/>
              </w:rPr>
            </w:pPr>
          </w:p>
        </w:tc>
        <w:tc>
          <w:tcPr>
            <w:tcW w:w="3840" w:type="dxa"/>
            <w:vAlign w:val="bottom"/>
            <w:gridSpan w:val="35"/>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380" w:type="dxa"/>
            <w:vAlign w:val="bottom"/>
          </w:tcPr>
          <w:p>
            <w:pPr>
              <w:spacing w:after="0"/>
              <w:rPr>
                <w:sz w:val="18"/>
                <w:szCs w:val="18"/>
                <w:color w:val="auto"/>
              </w:rPr>
            </w:pPr>
          </w:p>
        </w:tc>
        <w:tc>
          <w:tcPr>
            <w:tcW w:w="4840" w:type="dxa"/>
            <w:vAlign w:val="bottom"/>
            <w:gridSpan w:val="36"/>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Fourth Amended and Restated Revolving Credit Agreement, dated</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as of December 8, 2021, among the Company, as Borrowers,</w:t>
              </w:r>
            </w:hyperlink>
          </w:p>
        </w:tc>
        <w:tc>
          <w:tcPr>
            <w:tcW w:w="5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40" w:type="dxa"/>
            <w:vAlign w:val="bottom"/>
            <w:gridSpan w:val="36"/>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Toronto Dominion (Texas) LLC, as Administrative Agent and</w:t>
              </w:r>
            </w:hyperlink>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60" w:type="dxa"/>
            <w:vAlign w:val="bottom"/>
            <w:tcBorders>
              <w:top w:val="single" w:sz="8" w:color="0000FF"/>
              <w:bottom w:val="single" w:sz="8" w:color="0000FF"/>
            </w:tcBorders>
            <w:gridSpan w:val="13"/>
          </w:tcPr>
          <w:p>
            <w:pPr>
              <w:spacing w:after="0" w:line="164" w:lineRule="exact"/>
              <w:rPr>
                <w:rFonts w:ascii="Times New Roman" w:cs="Times New Roman" w:eastAsia="Times New Roman" w:hAnsi="Times New Roman"/>
                <w:sz w:val="18"/>
                <w:szCs w:val="18"/>
                <w:color w:val="0000FF"/>
                <w:w w:val="96"/>
              </w:rPr>
            </w:pPr>
            <w:hyperlink r:id="rId180">
              <w:r>
                <w:rPr>
                  <w:rFonts w:ascii="Times New Roman" w:cs="Times New Roman" w:eastAsia="Times New Roman" w:hAnsi="Times New Roman"/>
                  <w:sz w:val="18"/>
                  <w:szCs w:val="18"/>
                  <w:color w:val="0000FF"/>
                  <w:w w:val="96"/>
                </w:rPr>
                <w:t>Swingline Lender, BofA Securities, Inc., TD Securities (USA)</w:t>
              </w:r>
            </w:hyperlink>
          </w:p>
        </w:tc>
        <w:tc>
          <w:tcPr>
            <w:tcW w:w="20" w:type="dxa"/>
            <w:vAlign w:val="bottom"/>
            <w:tcBorders>
              <w:bottom w:val="single" w:sz="8" w:color="0000FF"/>
            </w:tcBorders>
          </w:tcPr>
          <w:p>
            <w:pPr>
              <w:spacing w:after="0"/>
              <w:rPr>
                <w:sz w:val="14"/>
                <w:szCs w:val="14"/>
                <w:color w:val="auto"/>
              </w:rPr>
            </w:pPr>
          </w:p>
        </w:tc>
        <w:tc>
          <w:tcPr>
            <w:tcW w:w="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80" w:type="dxa"/>
            <w:vAlign w:val="bottom"/>
            <w:tcBorders>
              <w:bottom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LLC, Mizuho Bank, Ltd., Barclays Bank PLC, Citibank, N.A.,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20" w:type="dxa"/>
            <w:vAlign w:val="bottom"/>
            <w:tcBorders>
              <w:bottom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JPMorgan Chase Bank, N.A., RBC Capital Markets and Morgan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540" w:type="dxa"/>
            <w:vAlign w:val="bottom"/>
            <w:tcBorders>
              <w:bottom w:val="single" w:sz="8" w:color="0000FF"/>
            </w:tcBorders>
            <w:gridSpan w:val="21"/>
          </w:tcPr>
          <w:p>
            <w:pPr>
              <w:spacing w:after="0" w:line="164" w:lineRule="exact"/>
              <w:rPr>
                <w:rFonts w:ascii="Times New Roman" w:cs="Times New Roman" w:eastAsia="Times New Roman" w:hAnsi="Times New Roman"/>
                <w:sz w:val="18"/>
                <w:szCs w:val="18"/>
                <w:color w:val="0000FF"/>
                <w:w w:val="96"/>
              </w:rPr>
            </w:pPr>
            <w:hyperlink r:id="rId180">
              <w:r>
                <w:rPr>
                  <w:rFonts w:ascii="Times New Roman" w:cs="Times New Roman" w:eastAsia="Times New Roman" w:hAnsi="Times New Roman"/>
                  <w:sz w:val="18"/>
                  <w:szCs w:val="18"/>
                  <w:color w:val="0000FF"/>
                  <w:w w:val="96"/>
                </w:rPr>
                <w:t>Stanley MUFG Loan Partners, LLC, as Joint Lead Arrangers and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40" w:type="dxa"/>
            <w:vAlign w:val="bottom"/>
            <w:gridSpan w:val="36"/>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Joint Bookrunners, Mizuho Bank, Ltd., as Syndication Agent, and</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80" w:type="dxa"/>
            <w:vAlign w:val="bottom"/>
            <w:tcBorders>
              <w:top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BofA Securities, Inc., Barclays Bank PLC, Citibank, N.A,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80" w:type="dxa"/>
            <w:vAlign w:val="bottom"/>
            <w:tcBorders>
              <w:top w:val="single" w:sz="8" w:color="0000FF"/>
            </w:tcBorders>
            <w:gridSpan w:val="6"/>
          </w:tcPr>
          <w:p>
            <w:pPr>
              <w:spacing w:after="0" w:line="164" w:lineRule="exact"/>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JPMorgan Chase Bank, N.A., Royal Bank of Canada and</w:t>
              </w:r>
            </w:hyperlink>
          </w:p>
        </w:tc>
        <w:tc>
          <w:tcPr>
            <w:tcW w:w="760" w:type="dxa"/>
            <w:vAlign w:val="bottom"/>
            <w:gridSpan w:val="30"/>
          </w:tcPr>
          <w:p>
            <w:pPr>
              <w:spacing w:after="0" w:line="164"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Morgan</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Stanley MUFG Loan Partners, LLC, as Co-Documentation Agents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380" w:type="dxa"/>
            <w:vAlign w:val="bottom"/>
          </w:tcPr>
          <w:p>
            <w:pPr>
              <w:spacing w:after="0"/>
              <w:rPr>
                <w:sz w:val="24"/>
                <w:szCs w:val="24"/>
                <w:color w:val="auto"/>
              </w:rPr>
            </w:pPr>
          </w:p>
        </w:tc>
        <w:tc>
          <w:tcPr>
            <w:tcW w:w="4840" w:type="dxa"/>
            <w:vAlign w:val="bottom"/>
            <w:gridSpan w:val="36"/>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Amendment No. 1 to the Fourth Amended and Restated Revolving</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Credit Agreement, dated as of June 29, 2023, among the Company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760" w:type="dxa"/>
            <w:vAlign w:val="bottom"/>
            <w:tcBorders>
              <w:top w:val="single" w:sz="8" w:color="0000FF"/>
            </w:tcBorders>
            <w:gridSpan w:val="32"/>
          </w:tcPr>
          <w:p>
            <w:pPr>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and certain of its subsidiaries as borrowers, Toronto Dominion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0" w:type="dxa"/>
            <w:vAlign w:val="bottom"/>
            <w:tcBorders>
              <w:top w:val="single" w:sz="8" w:color="0000FF"/>
              <w:bottom w:val="single" w:sz="8" w:color="0000FF"/>
            </w:tcBorders>
            <w:gridSpan w:val="16"/>
          </w:tcPr>
          <w:p>
            <w:pPr>
              <w:spacing w:after="0" w:line="164" w:lineRule="exact"/>
              <w:rPr>
                <w:rFonts w:ascii="Times New Roman" w:cs="Times New Roman" w:eastAsia="Times New Roman" w:hAnsi="Times New Roman"/>
                <w:sz w:val="18"/>
                <w:szCs w:val="18"/>
                <w:color w:val="0000FF"/>
                <w:w w:val="95"/>
              </w:rPr>
            </w:pPr>
            <w:hyperlink r:id="rId181">
              <w:r>
                <w:rPr>
                  <w:rFonts w:ascii="Times New Roman" w:cs="Times New Roman" w:eastAsia="Times New Roman" w:hAnsi="Times New Roman"/>
                  <w:sz w:val="18"/>
                  <w:szCs w:val="18"/>
                  <w:color w:val="0000FF"/>
                  <w:w w:val="95"/>
                </w:rPr>
                <w:t>(Texas) LLC, as administrative agent, and a majority of lenders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60" w:type="dxa"/>
            <w:vAlign w:val="bottom"/>
            <w:gridSpan w:val="19"/>
          </w:tcPr>
          <w:p>
            <w:pPr>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under the Fourth Amended and Restated Revolving Credit</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100" w:type="dxa"/>
            <w:vAlign w:val="bottom"/>
            <w:tcBorders>
              <w:top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Agreement, dated as of December 8, 2021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380" w:type="dxa"/>
            <w:vAlign w:val="bottom"/>
          </w:tcPr>
          <w:p>
            <w:pPr>
              <w:spacing w:after="0"/>
              <w:rPr>
                <w:sz w:val="24"/>
                <w:szCs w:val="24"/>
                <w:color w:val="auto"/>
              </w:rPr>
            </w:pPr>
          </w:p>
        </w:tc>
        <w:tc>
          <w:tcPr>
            <w:tcW w:w="4840" w:type="dxa"/>
            <w:vAlign w:val="bottom"/>
            <w:gridSpan w:val="36"/>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Amendment No. 2 to the Fourth Amended and Restated Revolving</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Credit Agreement, dated as of January 28, 2025, among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40" w:type="dxa"/>
            <w:vAlign w:val="bottom"/>
            <w:gridSpan w:val="36"/>
          </w:tcPr>
          <w:p>
            <w:pPr>
              <w:spacing w:after="0" w:line="15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Company and certain of its subsidiaries as borrowers, Toronto</w:t>
              </w:r>
            </w:hyperlink>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80" w:type="dxa"/>
            <w:vAlign w:val="bottom"/>
            <w:tcBorders>
              <w:top w:val="single" w:sz="8" w:color="0000FF"/>
            </w:tcBorders>
            <w:gridSpan w:val="14"/>
          </w:tcPr>
          <w:p>
            <w:pPr>
              <w:spacing w:after="0" w:line="164" w:lineRule="exact"/>
              <w:rPr>
                <w:rFonts w:ascii="Times New Roman" w:cs="Times New Roman" w:eastAsia="Times New Roman" w:hAnsi="Times New Roman"/>
                <w:sz w:val="18"/>
                <w:szCs w:val="18"/>
                <w:color w:val="0000FF"/>
                <w:w w:val="94"/>
              </w:rPr>
            </w:pPr>
            <w:hyperlink r:id="rId182">
              <w:r>
                <w:rPr>
                  <w:rFonts w:ascii="Times New Roman" w:cs="Times New Roman" w:eastAsia="Times New Roman" w:hAnsi="Times New Roman"/>
                  <w:sz w:val="18"/>
                  <w:szCs w:val="18"/>
                  <w:color w:val="0000FF"/>
                  <w:w w:val="94"/>
                </w:rPr>
                <w:t>Dominion (Texas) LLC, as administrative agent, and a majority</w:t>
              </w:r>
            </w:hyperlink>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18"/>
          </w:tcPr>
          <w:p>
            <w:pPr>
              <w:ind w:left="60"/>
              <w:spacing w:after="0" w:line="164"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of</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720" w:type="dxa"/>
            <w:vAlign w:val="bottom"/>
            <w:tcBorders>
              <w:top w:val="single" w:sz="8" w:color="0000FF"/>
            </w:tcBorders>
            <w:gridSpan w:val="30"/>
          </w:tcPr>
          <w:p>
            <w:pPr>
              <w:spacing w:after="0" w:line="15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lenders under the Fourth Amended and Restated Revolving Credit</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Agreement, dated as of December 8, 2021, as further amended</w:t>
              </w:r>
            </w:hyperlink>
          </w:p>
        </w:tc>
        <w:tc>
          <w:tcPr>
            <w:tcW w:w="26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380" w:type="dxa"/>
            <w:vAlign w:val="bottom"/>
          </w:tcPr>
          <w:p>
            <w:pPr>
              <w:spacing w:after="0"/>
              <w:rPr>
                <w:sz w:val="24"/>
                <w:szCs w:val="24"/>
                <w:color w:val="auto"/>
              </w:rPr>
            </w:pPr>
          </w:p>
        </w:tc>
        <w:tc>
          <w:tcPr>
            <w:tcW w:w="4840" w:type="dxa"/>
            <w:vAlign w:val="bottom"/>
            <w:gridSpan w:val="36"/>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Second Amended and Restated Term Loan Agreement, dated as of</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December 8, 2021, among the Company, as Borrower, Mizuho</w:t>
              </w:r>
            </w:hyperlink>
          </w:p>
        </w:tc>
        <w:tc>
          <w:tcPr>
            <w:tcW w:w="300" w:type="dxa"/>
            <w:vAlign w:val="bottom"/>
            <w:tcBorders>
              <w:top w:val="single" w:sz="8" w:color="0000FF"/>
            </w:tcBorders>
            <w:gridSpan w:val="1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40" w:type="dxa"/>
            <w:vAlign w:val="bottom"/>
            <w:gridSpan w:val="36"/>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Bank, Ltd., as Administrative Agent; TD Securities (USA) LLC, as</w:t>
              </w:r>
            </w:hyperlink>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20" w:type="dxa"/>
            <w:vAlign w:val="bottom"/>
            <w:tcBorders>
              <w:top w:val="single" w:sz="8" w:color="0000FF"/>
            </w:tcBorders>
            <w:gridSpan w:val="35"/>
          </w:tcPr>
          <w:p>
            <w:pPr>
              <w:spacing w:after="0" w:line="164"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Syndication Agent, Bank of America, N.A., Barclays Bank PLC,</w:t>
              </w:r>
            </w:hyperlink>
          </w:p>
        </w:tc>
        <w:tc>
          <w:tcPr>
            <w:tcW w:w="20" w:type="dxa"/>
            <w:vAlign w:val="bottom"/>
          </w:tcPr>
          <w:p>
            <w:pPr>
              <w:spacing w:after="0"/>
              <w:rPr>
                <w:sz w:val="14"/>
                <w:szCs w:val="14"/>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8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Citibank, N.A, JPMorgan Chase Bank, N.A., Morgan Stanley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MUFG Loan Partners, LLC and Royal Bank of Canada as Co</w:t>
              </w:r>
            </w:hyperlink>
          </w:p>
        </w:tc>
        <w:tc>
          <w:tcPr>
            <w:tcW w:w="60" w:type="dxa"/>
            <w:vAlign w:val="bottom"/>
            <w:tcBorders>
              <w:bottom w:val="single" w:sz="8" w:color="0000FF"/>
            </w:tcBorders>
            <w:gridSpan w:val="3"/>
          </w:tcPr>
          <w:p>
            <w:pPr>
              <w:spacing w:after="0"/>
              <w:rPr>
                <w:rFonts w:ascii="Times New Roman" w:cs="Times New Roman" w:eastAsia="Times New Roman" w:hAnsi="Times New Roman"/>
                <w:sz w:val="8"/>
                <w:szCs w:val="8"/>
                <w:color w:val="0000FF"/>
                <w:w w:val="73"/>
              </w:rPr>
            </w:pPr>
            <w:hyperlink r:id="rId183">
              <w:r>
                <w:rPr>
                  <w:rFonts w:ascii="Times New Roman" w:cs="Times New Roman" w:eastAsia="Times New Roman" w:hAnsi="Times New Roman"/>
                  <w:sz w:val="8"/>
                  <w:szCs w:val="8"/>
                  <w:color w:val="0000FF"/>
                  <w:w w:val="73"/>
                </w:rPr>
                <w:t>-</w:t>
              </w:r>
            </w:hyperlink>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40" w:type="dxa"/>
            <w:vAlign w:val="bottom"/>
            <w:gridSpan w:val="36"/>
          </w:tcPr>
          <w:p>
            <w:pPr>
              <w:spacing w:after="0" w:line="164"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Documentation Agents, Mizuho Bank, Ltd., TD Securities (USA)</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4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LLC, Barclays Bank PLC, BofA Securities, Inc., Citibank, N.A.,</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JPMorgan Chase Bank, N.A., Morgan Stanley MUFG Loan</w:t>
              </w:r>
            </w:hyperlink>
          </w:p>
        </w:tc>
        <w:tc>
          <w:tcPr>
            <w:tcW w:w="36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40" w:type="dxa"/>
            <w:vAlign w:val="bottom"/>
            <w:gridSpan w:val="36"/>
          </w:tcPr>
          <w:p>
            <w:pPr>
              <w:spacing w:after="0" w:line="164"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Partners, LLC and RBC Capital Markets as Joint Lead Arrangers</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and Joint Bookrunners, and the several other lenders that are</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parties thereto</w:t>
              </w:r>
            </w:hyperlink>
          </w:p>
        </w:tc>
        <w:tc>
          <w:tcPr>
            <w:tcW w:w="3240" w:type="dxa"/>
            <w:vAlign w:val="bottom"/>
            <w:tcBorders>
              <w:top w:val="single" w:sz="8" w:color="0000FF"/>
            </w:tcBorders>
            <w:gridSpan w:val="9"/>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380" w:type="dxa"/>
            <w:vAlign w:val="bottom"/>
          </w:tcPr>
          <w:p>
            <w:pPr>
              <w:spacing w:after="0"/>
              <w:rPr>
                <w:sz w:val="24"/>
                <w:szCs w:val="24"/>
                <w:color w:val="auto"/>
              </w:rPr>
            </w:pPr>
          </w:p>
        </w:tc>
        <w:tc>
          <w:tcPr>
            <w:tcW w:w="4840" w:type="dxa"/>
            <w:vAlign w:val="bottom"/>
            <w:gridSpan w:val="36"/>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No. 1 to the Second Amended and Restated Term</w:t>
              </w:r>
            </w:hyperlink>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40" w:type="dxa"/>
            <w:vAlign w:val="bottom"/>
            <w:gridSpan w:val="36"/>
          </w:tcPr>
          <w:p>
            <w:pPr>
              <w:spacing w:after="0" w:line="15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Loan Agreement, dated as of June 29, 2023, among the Company,</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60" w:type="dxa"/>
            <w:vAlign w:val="bottom"/>
            <w:tcBorders>
              <w:top w:val="single" w:sz="8" w:color="0000FF"/>
            </w:tcBorders>
            <w:gridSpan w:val="27"/>
          </w:tcPr>
          <w:p>
            <w:pPr>
              <w:spacing w:after="0" w:line="15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as borrower, Mizuho Bank, Ltd., as administrative agent, and a</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40" w:type="dxa"/>
            <w:vAlign w:val="bottom"/>
            <w:tcBorders>
              <w:top w:val="single" w:sz="8" w:color="0000FF"/>
              <w:bottom w:val="single" w:sz="8" w:color="0000FF"/>
            </w:tcBorders>
            <w:gridSpan w:val="18"/>
          </w:tcPr>
          <w:p>
            <w:pPr>
              <w:spacing w:after="0" w:line="164" w:lineRule="exact"/>
              <w:rPr>
                <w:rFonts w:ascii="Times New Roman" w:cs="Times New Roman" w:eastAsia="Times New Roman" w:hAnsi="Times New Roman"/>
                <w:sz w:val="18"/>
                <w:szCs w:val="18"/>
                <w:color w:val="0000FF"/>
                <w:w w:val="95"/>
              </w:rPr>
            </w:pPr>
            <w:hyperlink r:id="rId184">
              <w:r>
                <w:rPr>
                  <w:rFonts w:ascii="Times New Roman" w:cs="Times New Roman" w:eastAsia="Times New Roman" w:hAnsi="Times New Roman"/>
                  <w:sz w:val="18"/>
                  <w:szCs w:val="18"/>
                  <w:color w:val="0000FF"/>
                  <w:w w:val="95"/>
                </w:rPr>
                <w:t>majority of the lenders under the Second Amended and Restated</w:t>
              </w:r>
            </w:hyperlink>
          </w:p>
        </w:tc>
        <w:tc>
          <w:tcPr>
            <w:tcW w:w="80" w:type="dxa"/>
            <w:vAlign w:val="bottom"/>
            <w:tcBorders>
              <w:bottom w:val="single" w:sz="8" w:color="0000FF"/>
            </w:tcBorders>
            <w:gridSpan w:val="2"/>
          </w:tcPr>
          <w:p>
            <w:pPr>
              <w:spacing w:after="0"/>
              <w:rPr>
                <w:sz w:val="14"/>
                <w:szCs w:val="14"/>
                <w:color w:val="auto"/>
              </w:rPr>
            </w:pPr>
          </w:p>
        </w:tc>
        <w:tc>
          <w:tcPr>
            <w:tcW w:w="30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80" w:type="dxa"/>
            <w:vAlign w:val="bottom"/>
            <w:tcBorders>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Term Loan Agreement, dated as of December 8, 2021</w:t>
              </w:r>
            </w:hyperlink>
          </w:p>
        </w:tc>
        <w:tc>
          <w:tcPr>
            <w:tcW w:w="740" w:type="dxa"/>
            <w:vAlign w:val="bottom"/>
            <w:gridSpan w:val="15"/>
          </w:tcPr>
          <w:p>
            <w:pPr>
              <w:spacing w:after="0"/>
              <w:rPr>
                <w:sz w:val="13"/>
                <w:szCs w:val="13"/>
                <w:color w:val="auto"/>
              </w:rPr>
            </w:pPr>
          </w:p>
        </w:tc>
        <w:tc>
          <w:tcPr>
            <w:tcW w:w="30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380" w:type="dxa"/>
            <w:vAlign w:val="bottom"/>
          </w:tcPr>
          <w:p>
            <w:pPr>
              <w:spacing w:after="0"/>
              <w:rPr>
                <w:sz w:val="24"/>
                <w:szCs w:val="24"/>
                <w:color w:val="auto"/>
              </w:rPr>
            </w:pPr>
          </w:p>
        </w:tc>
        <w:tc>
          <w:tcPr>
            <w:tcW w:w="4840" w:type="dxa"/>
            <w:vAlign w:val="bottom"/>
            <w:gridSpan w:val="36"/>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Amendment No. 2 to the Second Amended and Restated Term</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8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Loan Agreement, dated as of January 28, 2025, among the</w:t>
              </w:r>
            </w:hyperlink>
          </w:p>
        </w:tc>
        <w:tc>
          <w:tcPr>
            <w:tcW w:w="44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Company, as borrower, Mizuho Bank, Ltd., as administrative</w:t>
              </w:r>
            </w:hyperlink>
          </w:p>
        </w:tc>
        <w:tc>
          <w:tcPr>
            <w:tcW w:w="660" w:type="dxa"/>
            <w:vAlign w:val="bottom"/>
            <w:tcBorders>
              <w:bottom w:val="single" w:sz="8" w:color="0000FF"/>
            </w:tcBorders>
            <w:gridSpan w:val="28"/>
          </w:tcPr>
          <w:p>
            <w:pPr>
              <w:ind w:left="160"/>
              <w:spacing w:after="0" w:line="15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agent,</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-3947795</wp:posOffset>
            </wp:positionV>
            <wp:extent cx="7135495" cy="7029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6">
                      <a:extLst>
                        <a:ext uri="{28A0092B-C50C-407E-A947-70E740481C1C}"/>
                      </a:extLst>
                    </a:blip>
                    <a:srcRect/>
                    <a:stretch>
                      <a:fillRect/>
                    </a:stretch>
                  </pic:blipFill>
                  <pic:spPr bwMode="auto">
                    <a:xfrm>
                      <a:off x="0" y="0"/>
                      <a:ext cx="7135495" cy="7029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-2425065</wp:posOffset>
            </wp:positionV>
            <wp:extent cx="7135495" cy="1371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7">
                      <a:extLst>
                        <a:ext uri="{28A0092B-C50C-407E-A947-70E740481C1C}"/>
                      </a:extLst>
                    </a:blip>
                    <a:srcRect/>
                    <a:stretch>
                      <a:fillRect/>
                    </a:stretch>
                  </pic:blipFill>
                  <pic:spPr bwMode="auto">
                    <a:xfrm>
                      <a:off x="0" y="0"/>
                      <a:ext cx="7135495" cy="13716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-342265</wp:posOffset>
            </wp:positionV>
            <wp:extent cx="7135495" cy="7029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8">
                      <a:extLst>
                        <a:ext uri="{28A0092B-C50C-407E-A947-70E740481C1C}"/>
                      </a:extLst>
                    </a:blip>
                    <a:srcRect/>
                    <a:stretch>
                      <a:fillRect/>
                    </a:stretch>
                  </pic:blipFill>
                  <pic:spPr bwMode="auto">
                    <a:xfrm>
                      <a:off x="0" y="0"/>
                      <a:ext cx="7135495" cy="702945"/>
                    </a:xfrm>
                    <a:prstGeom prst="rect">
                      <a:avLst/>
                    </a:prstGeom>
                    <a:noFill/>
                  </pic:spPr>
                </pic:pic>
              </a:graphicData>
            </a:graphic>
          </wp:anchor>
        </w:drawing>
      </w:r>
    </w:p>
    <w:p>
      <w:pPr>
        <w:ind w:left="1080" w:right="100"/>
        <w:spacing w:after="0" w:line="213"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and a majority of the lenders under the Second Amended and</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Restated Term Loan Agreement, dated as of December 8, 2021, as</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further amended</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3" w:lineRule="exact"/>
        <w:rPr>
          <w:rFonts w:ascii="Times New Roman" w:cs="Times New Roman" w:eastAsia="Times New Roman" w:hAnsi="Times New Roman"/>
          <w:sz w:val="18"/>
          <w:szCs w:val="18"/>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09" w:lineRule="exact"/>
        <w:rPr>
          <w:rFonts w:ascii="Times New Roman" w:cs="Times New Roman" w:eastAsia="Times New Roman" w:hAnsi="Times New Roman"/>
          <w:sz w:val="18"/>
          <w:szCs w:val="18"/>
          <w:u w:val="single" w:color="auto"/>
          <w:color w:val="0000FF"/>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-200025</wp:posOffset>
            </wp:positionH>
            <wp:positionV relativeFrom="paragraph">
              <wp:posOffset>30480</wp:posOffset>
            </wp:positionV>
            <wp:extent cx="32372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0">
                      <a:extLst>
                        <a:ext uri="{28A0092B-C50C-407E-A947-70E740481C1C}"/>
                      </a:extLst>
                    </a:blip>
                    <a:srcRect/>
                    <a:stretch>
                      <a:fillRect/>
                    </a:stretch>
                  </pic:blipFill>
                  <pic:spPr bwMode="auto">
                    <a:xfrm>
                      <a:off x="0" y="0"/>
                      <a:ext cx="3237230" cy="8255"/>
                    </a:xfrm>
                    <a:prstGeom prst="rect">
                      <a:avLst/>
                    </a:prstGeom>
                    <a:noFill/>
                  </pic:spPr>
                </pic:pic>
              </a:graphicData>
            </a:graphic>
          </wp:anchor>
        </w:drawing>
      </w:r>
    </w:p>
    <w:p>
      <w:pPr>
        <w:spacing w:after="0" w:line="30" w:lineRule="exact"/>
        <w:rPr>
          <w:rFonts w:ascii="Times New Roman" w:cs="Times New Roman" w:eastAsia="Times New Roman" w:hAnsi="Times New Roman"/>
          <w:sz w:val="18"/>
          <w:szCs w:val="18"/>
          <w:u w:val="single" w:color="auto"/>
          <w:color w:val="0000FF"/>
        </w:rPr>
      </w:pPr>
    </w:p>
    <w:p>
      <w:pPr>
        <w:spacing w:after="0"/>
        <w:tabs>
          <w:tab w:leader="none" w:pos="1300" w:val="left"/>
          <w:tab w:leader="none" w:pos="2660" w:val="left"/>
          <w:tab w:leader="none" w:pos="402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u w:val="single" w:color="auto"/>
          <w:color w:val="auto"/>
        </w:rPr>
        <w:t>File No.</w:t>
      </w:r>
      <w:r>
        <w:rPr>
          <w:sz w:val="20"/>
          <w:szCs w:val="20"/>
          <w:color w:val="auto"/>
        </w:rPr>
        <w:tab/>
      </w:r>
      <w:r>
        <w:rPr>
          <w:rFonts w:ascii="Times New Roman" w:cs="Times New Roman" w:eastAsia="Times New Roman" w:hAnsi="Times New Roman"/>
          <w:sz w:val="14"/>
          <w:szCs w:val="14"/>
          <w:b w:val="1"/>
          <w:bCs w:val="1"/>
          <w:u w:val="single" w:color="auto"/>
          <w:color w:val="auto"/>
        </w:rPr>
        <w:t>Date of Filing</w:t>
      </w:r>
      <w:r>
        <w:rPr>
          <w:sz w:val="20"/>
          <w:szCs w:val="20"/>
          <w:color w:val="auto"/>
        </w:rPr>
        <w:tab/>
      </w:r>
      <w:r>
        <w:rPr>
          <w:rFonts w:ascii="Times New Roman" w:cs="Times New Roman" w:eastAsia="Times New Roman" w:hAnsi="Times New Roman"/>
          <w:sz w:val="14"/>
          <w:szCs w:val="14"/>
          <w:b w:val="1"/>
          <w:bCs w:val="1"/>
          <w:u w:val="single" w:color="auto"/>
          <w:color w:val="auto"/>
        </w:rPr>
        <w:t>Exhibit No.</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3"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February 25,</w:t>
            </w:r>
          </w:p>
        </w:tc>
        <w:tc>
          <w:tcPr>
            <w:tcW w:w="700" w:type="dxa"/>
            <w:vAlign w:val="bottom"/>
          </w:tcPr>
          <w:p>
            <w:pPr>
              <w:spacing w:after="0"/>
              <w:rPr>
                <w:sz w:val="17"/>
                <w:szCs w:val="17"/>
                <w:color w:val="auto"/>
              </w:rPr>
            </w:pPr>
          </w:p>
        </w:tc>
      </w:t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001-14195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7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8"/>
              </w:rPr>
              <w:t>10.30</w:t>
            </w:r>
          </w:p>
        </w:tc>
      </w:tr>
      <w:tr>
        <w:trPr>
          <w:trHeight w:val="119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001-14195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27, 2023</w:t>
            </w:r>
          </w:p>
        </w:tc>
        <w:tc>
          <w:tcPr>
            <w:tcW w:w="70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5"/>
              </w:rPr>
              <w:t>10.3</w:t>
            </w:r>
          </w:p>
        </w:tc>
      </w:tr>
      <w:tr>
        <w:trPr>
          <w:trHeight w:val="962"/>
        </w:trPr>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February 25,</w:t>
            </w:r>
          </w:p>
        </w:tc>
        <w:tc>
          <w:tcPr>
            <w:tcW w:w="700" w:type="dxa"/>
            <w:vAlign w:val="bottom"/>
          </w:tcPr>
          <w:p>
            <w:pPr>
              <w:spacing w:after="0"/>
              <w:rPr>
                <w:sz w:val="24"/>
                <w:szCs w:val="24"/>
                <w:color w:val="auto"/>
              </w:rPr>
            </w:pPr>
          </w:p>
        </w:tc>
      </w:t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001-14195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7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8"/>
              </w:rPr>
              <w:t>10.39</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9"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February 25,</w:t>
            </w:r>
          </w:p>
        </w:tc>
        <w:tc>
          <w:tcPr>
            <w:tcW w:w="720" w:type="dxa"/>
            <w:vAlign w:val="bottom"/>
          </w:tcPr>
          <w:p>
            <w:pPr>
              <w:spacing w:after="0"/>
              <w:rPr>
                <w:sz w:val="18"/>
                <w:szCs w:val="18"/>
                <w:color w:val="auto"/>
              </w:rPr>
            </w:pPr>
          </w:p>
        </w:tc>
      </w:t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001-14195</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9" w:lineRule="exact"/>
        <w:rPr>
          <w:rFonts w:ascii="Times New Roman" w:cs="Times New Roman" w:eastAsia="Times New Roman" w:hAnsi="Times New Roman"/>
          <w:sz w:val="18"/>
          <w:szCs w:val="18"/>
          <w:u w:val="single" w:color="auto"/>
          <w:color w:val="0000FF"/>
        </w:rPr>
      </w:pPr>
    </w:p>
    <w:p>
      <w:pPr>
        <w:spacing w:after="0"/>
        <w:tabs>
          <w:tab w:leader="none" w:pos="1160" w:val="left"/>
          <w:tab w:leader="none" w:pos="2580" w:val="left"/>
          <w:tab w:leader="none" w:pos="42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001-14195</w:t>
      </w:r>
      <w:r>
        <w:rPr>
          <w:sz w:val="20"/>
          <w:szCs w:val="20"/>
          <w:color w:val="auto"/>
        </w:rPr>
        <w:tab/>
      </w:r>
      <w:r>
        <w:rPr>
          <w:rFonts w:ascii="Times New Roman" w:cs="Times New Roman" w:eastAsia="Times New Roman" w:hAnsi="Times New Roman"/>
          <w:sz w:val="18"/>
          <w:szCs w:val="18"/>
          <w:color w:val="auto"/>
        </w:rPr>
        <w:t>July 27, 2023</w:t>
      </w:r>
      <w:r>
        <w:rPr>
          <w:sz w:val="20"/>
          <w:szCs w:val="20"/>
          <w:color w:val="auto"/>
        </w:rPr>
        <w:tab/>
      </w:r>
      <w:r>
        <w:rPr>
          <w:rFonts w:ascii="Times New Roman" w:cs="Times New Roman" w:eastAsia="Times New Roman" w:hAnsi="Times New Roman"/>
          <w:sz w:val="16"/>
          <w:szCs w:val="16"/>
          <w:color w:val="auto"/>
        </w:rPr>
        <w:t>10.1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7"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February 25,</w:t>
            </w:r>
          </w:p>
        </w:tc>
        <w:tc>
          <w:tcPr>
            <w:tcW w:w="720" w:type="dxa"/>
            <w:vAlign w:val="bottom"/>
          </w:tcPr>
          <w:p>
            <w:pPr>
              <w:spacing w:after="0"/>
              <w:rPr>
                <w:sz w:val="18"/>
                <w:szCs w:val="18"/>
                <w:color w:val="auto"/>
              </w:rPr>
            </w:pPr>
          </w:p>
        </w:tc>
      </w:t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001-14195</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bl>
    <w:p>
      <w:pPr>
        <w:sectPr>
          <w:pgSz w:w="11900" w:h="16838" w:orient="portrait"/>
          <w:cols w:equalWidth="0" w:num="2">
            <w:col w:w="5840" w:space="620"/>
            <w:col w:w="4740"/>
          </w:cols>
          <w:pgMar w:left="320" w:top="121"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380" w:type="dxa"/>
            <w:vAlign w:val="bottom"/>
          </w:tcPr>
          <w:p>
            <w:pPr>
              <w:spacing w:after="0"/>
              <w:rPr>
                <w:sz w:val="18"/>
                <w:szCs w:val="18"/>
                <w:color w:val="auto"/>
              </w:rPr>
            </w:pPr>
          </w:p>
        </w:tc>
        <w:tc>
          <w:tcPr>
            <w:tcW w:w="4740" w:type="dxa"/>
            <w:vAlign w:val="bottom"/>
            <w:gridSpan w:val="14"/>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Master Agreement, dated as of February 5, 2015, among the</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2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Company and Verizon Communications Inc.</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380" w:type="dxa"/>
            <w:vAlign w:val="bottom"/>
          </w:tcPr>
          <w:p>
            <w:pPr>
              <w:spacing w:after="0"/>
              <w:rPr>
                <w:sz w:val="24"/>
                <w:szCs w:val="24"/>
                <w:color w:val="auto"/>
              </w:rPr>
            </w:pPr>
          </w:p>
        </w:tc>
        <w:tc>
          <w:tcPr>
            <w:tcW w:w="4740" w:type="dxa"/>
            <w:vAlign w:val="bottom"/>
            <w:gridSpan w:val="14"/>
          </w:tcPr>
          <w:p>
            <w:pPr>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Master Prepaid Lease, dated as of March 27, 2015, among certain</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20" w:type="dxa"/>
            <w:vAlign w:val="bottom"/>
            <w:tcBorders>
              <w:top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subsidiaries of the Company and Verizon Communications Inc.</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380" w:type="dxa"/>
            <w:vAlign w:val="bottom"/>
          </w:tcPr>
          <w:p>
            <w:pPr>
              <w:spacing w:after="0"/>
              <w:rPr>
                <w:sz w:val="24"/>
                <w:szCs w:val="24"/>
                <w:color w:val="auto"/>
              </w:rPr>
            </w:pPr>
          </w:p>
        </w:tc>
        <w:tc>
          <w:tcPr>
            <w:tcW w:w="4740" w:type="dxa"/>
            <w:vAlign w:val="bottom"/>
            <w:gridSpan w:val="1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Sale Site Master Lease Agreement, dated as of March 27, 2015,</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top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among certain subsidiaries of the Company, Verizon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60" w:type="dxa"/>
            <w:vAlign w:val="bottom"/>
            <w:tcBorders>
              <w:top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Communications Inc. and certain of its subsidiaries</w:t>
              </w:r>
            </w:hyperlink>
          </w:p>
        </w:tc>
        <w:tc>
          <w:tcPr>
            <w:tcW w:w="66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380" w:type="dxa"/>
            <w:vAlign w:val="bottom"/>
          </w:tcPr>
          <w:p>
            <w:pPr>
              <w:spacing w:after="0"/>
              <w:rPr>
                <w:sz w:val="24"/>
                <w:szCs w:val="24"/>
                <w:color w:val="auto"/>
              </w:rPr>
            </w:pPr>
          </w:p>
        </w:tc>
        <w:tc>
          <w:tcPr>
            <w:tcW w:w="4740" w:type="dxa"/>
            <w:vAlign w:val="bottom"/>
            <w:gridSpan w:val="1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MPL Site Master Lease Agreement, dated as of March 27, 2015,</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among Verizon Communications Inc. and certain of its subsidiaries</w:t>
              </w:r>
            </w:hyperlink>
          </w:p>
        </w:tc>
        <w:tc>
          <w:tcPr>
            <w:tcW w:w="16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Borders>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and ATC Sequoia LLC</w:t>
              </w:r>
            </w:hyperlink>
          </w:p>
        </w:tc>
        <w:tc>
          <w:tcPr>
            <w:tcW w:w="310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380" w:type="dxa"/>
            <w:vAlign w:val="bottom"/>
          </w:tcPr>
          <w:p>
            <w:pPr>
              <w:spacing w:after="0"/>
              <w:rPr>
                <w:sz w:val="24"/>
                <w:szCs w:val="24"/>
                <w:color w:val="auto"/>
              </w:rPr>
            </w:pPr>
          </w:p>
        </w:tc>
        <w:tc>
          <w:tcPr>
            <w:tcW w:w="4740" w:type="dxa"/>
            <w:vAlign w:val="bottom"/>
            <w:gridSpan w:val="14"/>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Management Agreement, dated as of March 27, 2015, among</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20" w:type="dxa"/>
            <w:vAlign w:val="bottom"/>
            <w:tcBorders>
              <w:top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Verizon Communications Inc., and certain of its subsidiaries</w:t>
              </w:r>
            </w:hyperlink>
          </w:p>
        </w:tc>
        <w:tc>
          <w:tcPr>
            <w:tcW w:w="420" w:type="dxa"/>
            <w:vAlign w:val="bottom"/>
            <w:gridSpan w:val="7"/>
          </w:tcPr>
          <w:p>
            <w:pPr>
              <w:spacing w:after="0" w:line="15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and</w:t>
              </w:r>
            </w:hyperlink>
          </w:p>
        </w:tc>
      </w:tr>
      <w:tr>
        <w:trPr>
          <w:trHeight w:val="151"/>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ATC Sequoia LLC</w:t>
              </w:r>
            </w:hyperlink>
          </w:p>
        </w:tc>
        <w:tc>
          <w:tcPr>
            <w:tcW w:w="3220" w:type="dxa"/>
            <w:vAlign w:val="bottom"/>
            <w:tcBorders>
              <w:top w:val="single" w:sz="8" w:color="0000FF"/>
            </w:tcBorders>
            <w:gridSpan w:val="9"/>
          </w:tcPr>
          <w:p>
            <w:pPr>
              <w:spacing w:after="0"/>
              <w:rPr>
                <w:sz w:val="13"/>
                <w:szCs w:val="13"/>
                <w:color w:val="auto"/>
              </w:rPr>
            </w:pPr>
          </w:p>
        </w:tc>
        <w:tc>
          <w:tcPr>
            <w:tcW w:w="200" w:type="dxa"/>
            <w:vAlign w:val="bottom"/>
            <w:gridSpan w:val="4"/>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-1513205</wp:posOffset>
            </wp:positionV>
            <wp:extent cx="7135495" cy="259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6">
                      <a:extLst>
                        <a:ext uri="{28A0092B-C50C-407E-A947-70E740481C1C}"/>
                      </a:extLst>
                    </a:blip>
                    <a:srcRect/>
                    <a:stretch>
                      <a:fillRect/>
                    </a:stretch>
                  </pic:blipFill>
                  <pic:spPr bwMode="auto">
                    <a:xfrm>
                      <a:off x="0" y="0"/>
                      <a:ext cx="7135495" cy="2590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7135495" cy="368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7">
                      <a:extLst>
                        <a:ext uri="{28A0092B-C50C-407E-A947-70E740481C1C}"/>
                      </a:extLst>
                    </a:blip>
                    <a:srcRect/>
                    <a:stretch>
                      <a:fillRect/>
                    </a:stretch>
                  </pic:blipFill>
                  <pic:spPr bwMode="auto">
                    <a:xfrm>
                      <a:off x="0" y="0"/>
                      <a:ext cx="7135495"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00" w:type="dxa"/>
            <w:vAlign w:val="bottom"/>
            <w:tcBorders>
              <w:top w:val="single" w:sz="8" w:color="auto"/>
            </w:tcBorders>
            <w:gridSpan w:val="3"/>
          </w:tcPr>
          <w:p>
            <w:pPr>
              <w:ind w:left="340"/>
              <w:spacing w:after="0" w:line="158" w:lineRule="exact"/>
              <w:rPr>
                <w:sz w:val="20"/>
                <w:szCs w:val="20"/>
                <w:color w:val="auto"/>
              </w:rPr>
            </w:pPr>
            <w:r>
              <w:rPr>
                <w:rFonts w:ascii="Times New Roman" w:cs="Times New Roman" w:eastAsia="Times New Roman" w:hAnsi="Times New Roman"/>
                <w:sz w:val="14"/>
                <w:szCs w:val="14"/>
                <w:b w:val="1"/>
                <w:bCs w:val="1"/>
                <w:color w:val="auto"/>
              </w:rPr>
              <w:t>Form</w:t>
            </w:r>
          </w:p>
        </w:tc>
        <w:tc>
          <w:tcPr>
            <w:tcW w:w="5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460"/>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 No.</w:t>
            </w:r>
          </w:p>
        </w:tc>
        <w:tc>
          <w:tcPr>
            <w:tcW w:w="4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Date of Filing</w:t>
            </w:r>
          </w:p>
        </w:tc>
        <w:tc>
          <w:tcPr>
            <w:tcW w:w="960" w:type="dxa"/>
            <w:vAlign w:val="bottom"/>
            <w:tcBorders>
              <w:top w:val="single" w:sz="8" w:color="auto"/>
            </w:tcBorders>
            <w:gridSpan w:val="3"/>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Exhibit No.</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gridSpan w:val="3"/>
          </w:tcPr>
          <w:p>
            <w:pPr>
              <w:jc w:val="center"/>
              <w:ind w:left="12"/>
              <w:spacing w:after="0" w:line="204" w:lineRule="exact"/>
              <w:rPr>
                <w:sz w:val="20"/>
                <w:szCs w:val="20"/>
                <w:color w:val="auto"/>
              </w:rPr>
            </w:pPr>
            <w:r>
              <w:rPr>
                <w:rFonts w:ascii="Times New Roman" w:cs="Times New Roman" w:eastAsia="Times New Roman" w:hAnsi="Times New Roman"/>
                <w:sz w:val="18"/>
                <w:szCs w:val="18"/>
                <w:color w:val="auto"/>
                <w:w w:val="97"/>
              </w:rPr>
              <w:t>February 24,</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1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w w:val="97"/>
              </w:rPr>
              <w:t>001-14195</w:t>
            </w:r>
          </w:p>
        </w:tc>
        <w:tc>
          <w:tcPr>
            <w:tcW w:w="1240" w:type="dxa"/>
            <w:vAlign w:val="bottom"/>
            <w:gridSpan w:val="2"/>
          </w:tcPr>
          <w:p>
            <w:pPr>
              <w:jc w:val="center"/>
              <w:ind w:left="332"/>
              <w:spacing w:after="0"/>
              <w:rPr>
                <w:sz w:val="20"/>
                <w:szCs w:val="20"/>
                <w:color w:val="auto"/>
              </w:rPr>
            </w:pPr>
            <w:r>
              <w:rPr>
                <w:rFonts w:ascii="Times New Roman" w:cs="Times New Roman" w:eastAsia="Times New Roman" w:hAnsi="Times New Roman"/>
                <w:sz w:val="18"/>
                <w:szCs w:val="18"/>
                <w:color w:val="auto"/>
                <w:w w:val="94"/>
              </w:rPr>
              <w:t>2015</w:t>
            </w:r>
          </w:p>
        </w:tc>
        <w:tc>
          <w:tcPr>
            <w:tcW w:w="320" w:type="dxa"/>
            <w:vAlign w:val="bottom"/>
          </w:tcPr>
          <w:p>
            <w:pPr>
              <w:spacing w:after="0"/>
              <w:rPr>
                <w:sz w:val="20"/>
                <w:szCs w:val="20"/>
                <w:color w:val="auto"/>
              </w:rPr>
            </w:pPr>
          </w:p>
        </w:tc>
        <w:tc>
          <w:tcPr>
            <w:tcW w:w="92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w w:val="98"/>
              </w:rPr>
              <w:t>10.45</w:t>
            </w:r>
          </w:p>
        </w:tc>
        <w:tc>
          <w:tcPr>
            <w:tcW w:w="40" w:type="dxa"/>
            <w:vAlign w:val="bottom"/>
          </w:tcPr>
          <w:p>
            <w:pPr>
              <w:spacing w:after="0"/>
              <w:rPr>
                <w:sz w:val="20"/>
                <w:szCs w:val="20"/>
                <w:color w:val="auto"/>
              </w:rPr>
            </w:pPr>
          </w:p>
        </w:tc>
      </w:tr>
      <w:tr>
        <w:trPr>
          <w:trHeight w:val="501"/>
        </w:trPr>
        <w:tc>
          <w:tcPr>
            <w:tcW w:w="1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6"/>
              </w:rPr>
              <w:t>April 30, 2015</w:t>
            </w:r>
          </w:p>
        </w:tc>
        <w:tc>
          <w:tcPr>
            <w:tcW w:w="92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w w:val="95"/>
              </w:rPr>
              <w:t>10.8</w:t>
            </w:r>
          </w:p>
        </w:tc>
        <w:tc>
          <w:tcPr>
            <w:tcW w:w="40" w:type="dxa"/>
            <w:vAlign w:val="bottom"/>
          </w:tcPr>
          <w:p>
            <w:pPr>
              <w:spacing w:after="0"/>
              <w:rPr>
                <w:sz w:val="24"/>
                <w:szCs w:val="24"/>
                <w:color w:val="auto"/>
              </w:rPr>
            </w:pPr>
          </w:p>
        </w:tc>
      </w:tr>
      <w:tr>
        <w:trPr>
          <w:trHeight w:val="672"/>
        </w:trPr>
        <w:tc>
          <w:tcPr>
            <w:tcW w:w="1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6"/>
              </w:rPr>
              <w:t>April 30, 2015</w:t>
            </w:r>
          </w:p>
        </w:tc>
        <w:tc>
          <w:tcPr>
            <w:tcW w:w="92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w w:val="95"/>
              </w:rPr>
              <w:t>10.9</w:t>
            </w:r>
          </w:p>
        </w:tc>
        <w:tc>
          <w:tcPr>
            <w:tcW w:w="40" w:type="dxa"/>
            <w:vAlign w:val="bottom"/>
          </w:tcPr>
          <w:p>
            <w:pPr>
              <w:spacing w:after="0"/>
              <w:rPr>
                <w:sz w:val="24"/>
                <w:szCs w:val="24"/>
                <w:color w:val="auto"/>
              </w:rPr>
            </w:pPr>
          </w:p>
        </w:tc>
      </w:tr>
      <w:tr>
        <w:trPr>
          <w:trHeight w:val="672"/>
        </w:trPr>
        <w:tc>
          <w:tcPr>
            <w:tcW w:w="1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6"/>
              </w:rPr>
              <w:t>April 30, 2015</w:t>
            </w:r>
          </w:p>
        </w:tc>
        <w:tc>
          <w:tcPr>
            <w:tcW w:w="92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w w:val="98"/>
              </w:rPr>
              <w:t>10.10</w:t>
            </w:r>
          </w:p>
        </w:tc>
        <w:tc>
          <w:tcPr>
            <w:tcW w:w="40" w:type="dxa"/>
            <w:vAlign w:val="bottom"/>
          </w:tcPr>
          <w:p>
            <w:pPr>
              <w:spacing w:after="0"/>
              <w:rPr>
                <w:sz w:val="24"/>
                <w:szCs w:val="24"/>
                <w:color w:val="auto"/>
              </w:rPr>
            </w:pPr>
          </w:p>
        </w:tc>
      </w:tr>
      <w:tr>
        <w:trPr>
          <w:trHeight w:val="672"/>
        </w:trPr>
        <w:tc>
          <w:tcPr>
            <w:tcW w:w="11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3"/>
          </w:tcPr>
          <w:p>
            <w:pPr>
              <w:jc w:val="center"/>
              <w:ind w:left="32"/>
              <w:spacing w:after="0"/>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6"/>
              </w:rPr>
              <w:t>April 30, 2015</w:t>
            </w:r>
          </w:p>
        </w:tc>
        <w:tc>
          <w:tcPr>
            <w:tcW w:w="92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w w:val="93"/>
              </w:rPr>
              <w:t>10.11</w:t>
            </w:r>
          </w:p>
        </w:tc>
        <w:tc>
          <w:tcPr>
            <w:tcW w:w="40" w:type="dxa"/>
            <w:vAlign w:val="bottom"/>
          </w:tcPr>
          <w:p>
            <w:pPr>
              <w:spacing w:after="0"/>
              <w:rPr>
                <w:sz w:val="24"/>
                <w:szCs w:val="24"/>
                <w:color w:val="auto"/>
              </w:rPr>
            </w:pPr>
          </w:p>
        </w:tc>
      </w:tr>
    </w:tbl>
    <w:p>
      <w:pPr>
        <w:spacing w:after="0" w:line="70" w:lineRule="exact"/>
        <w:rPr>
          <w:sz w:val="20"/>
          <w:szCs w:val="20"/>
          <w:color w:val="auto"/>
        </w:rPr>
      </w:pPr>
    </w:p>
    <w:p>
      <w:pPr>
        <w:sectPr>
          <w:pgSz w:w="11900" w:h="16838" w:orient="portrait"/>
          <w:cols w:equalWidth="0" w:num="2">
            <w:col w:w="5800" w:space="340"/>
            <w:col w:w="51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4920" w:type="dxa"/>
            <w:vAlign w:val="bottom"/>
            <w:gridSpan w:val="13"/>
            <w:shd w:val="clear" w:color="auto" w:fill="CCEEFF"/>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Agreement For the Sale and Purchase of the Towers Europe</w:t>
              </w:r>
            </w:hyperlink>
          </w:p>
        </w:tc>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220" w:type="dxa"/>
            <w:vAlign w:val="bottom"/>
            <w:tcBorders>
              <w:top w:val="single" w:sz="8" w:color="0000FF"/>
            </w:tcBorders>
            <w:gridSpan w:val="7"/>
            <w:shd w:val="clear" w:color="auto" w:fill="CCEEFF"/>
          </w:tcPr>
          <w:p>
            <w:pPr>
              <w:spacing w:after="0" w:line="15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Division of Telxius Telecom, S.A., dated as of January 13,</w:t>
              </w:r>
            </w:hyperlink>
          </w:p>
        </w:tc>
        <w:tc>
          <w:tcPr>
            <w:tcW w:w="440" w:type="dxa"/>
            <w:vAlign w:val="bottom"/>
            <w:tcBorders>
              <w:top w:val="single" w:sz="8" w:color="CCEEFF"/>
            </w:tcBorders>
            <w:gridSpan w:val="3"/>
            <w:shd w:val="clear" w:color="auto" w:fill="CCEEFF"/>
          </w:tcPr>
          <w:p>
            <w:pPr>
              <w:jc w:val="right"/>
              <w:ind w:right="120"/>
              <w:spacing w:after="0" w:line="152" w:lineRule="exact"/>
              <w:rPr>
                <w:rFonts w:ascii="Times New Roman" w:cs="Times New Roman" w:eastAsia="Times New Roman" w:hAnsi="Times New Roman"/>
                <w:sz w:val="16"/>
                <w:szCs w:val="16"/>
                <w:color w:val="0000FF"/>
                <w:w w:val="83"/>
              </w:rPr>
            </w:pPr>
            <w:hyperlink r:id="rId198">
              <w:r>
                <w:rPr>
                  <w:rFonts w:ascii="Times New Roman" w:cs="Times New Roman" w:eastAsia="Times New Roman" w:hAnsi="Times New Roman"/>
                  <w:sz w:val="16"/>
                  <w:szCs w:val="16"/>
                  <w:color w:val="0000FF"/>
                  <w:w w:val="83"/>
                </w:rPr>
                <w:t>2021,</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February 25,</w:t>
            </w:r>
          </w:p>
        </w:tc>
        <w:tc>
          <w:tcPr>
            <w:tcW w:w="9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4540" w:type="dxa"/>
            <w:vAlign w:val="bottom"/>
            <w:tcBorders>
              <w:top w:val="single" w:sz="8" w:color="0000FF"/>
              <w:bottom w:val="single" w:sz="8" w:color="0000FF"/>
            </w:tcBorders>
            <w:gridSpan w:val="9"/>
            <w:shd w:val="clear" w:color="auto" w:fill="CCEEFF"/>
          </w:tcPr>
          <w:p>
            <w:pPr>
              <w:spacing w:after="0" w:line="15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between Telxius Telecom, S.A. and American Tower International,</w:t>
              </w:r>
            </w:hyperlink>
          </w:p>
        </w:tc>
        <w:tc>
          <w:tcPr>
            <w:tcW w:w="1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CCEEFF"/>
              <w:bottom w:val="single" w:sz="8" w:color="CCEEFF"/>
            </w:tcBorders>
            <w:shd w:val="clear" w:color="auto" w:fill="CCEEFF"/>
          </w:tcPr>
          <w:p>
            <w:pPr>
              <w:spacing w:after="0"/>
              <w:rPr>
                <w:sz w:val="13"/>
                <w:szCs w:val="13"/>
                <w:color w:val="auto"/>
              </w:rPr>
            </w:pPr>
          </w:p>
        </w:tc>
        <w:tc>
          <w:tcPr>
            <w:tcW w:w="1400" w:type="dxa"/>
            <w:vAlign w:val="bottom"/>
            <w:tcBorders>
              <w:top w:val="single" w:sz="8" w:color="CCEEFF"/>
              <w:bottom w:val="single" w:sz="8" w:color="CCEEFF"/>
            </w:tcBorders>
            <w:shd w:val="clear" w:color="auto" w:fill="CCEEFF"/>
          </w:tcPr>
          <w:p>
            <w:pPr>
              <w:spacing w:after="0"/>
              <w:rPr>
                <w:sz w:val="13"/>
                <w:szCs w:val="13"/>
                <w:color w:val="auto"/>
              </w:rPr>
            </w:pPr>
          </w:p>
        </w:tc>
        <w:tc>
          <w:tcPr>
            <w:tcW w:w="1560" w:type="dxa"/>
            <w:vAlign w:val="bottom"/>
            <w:tcBorders>
              <w:top w:val="single" w:sz="8" w:color="CCEEFF"/>
              <w:bottom w:val="single" w:sz="8" w:color="CCEEFF"/>
            </w:tcBorders>
            <w:vMerge w:val="continue"/>
            <w:shd w:val="clear" w:color="auto" w:fill="CCEEFF"/>
          </w:tcPr>
          <w:p>
            <w:pPr>
              <w:spacing w:after="0"/>
              <w:rPr>
                <w:sz w:val="13"/>
                <w:szCs w:val="13"/>
                <w:color w:val="auto"/>
              </w:rPr>
            </w:pP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shd w:val="clear" w:color="auto" w:fill="CCEEFF"/>
          </w:tcPr>
          <w:p>
            <w:pPr>
              <w:spacing w:after="0"/>
              <w:rPr>
                <w:sz w:val="14"/>
                <w:szCs w:val="14"/>
                <w:color w:val="auto"/>
              </w:rPr>
            </w:pPr>
          </w:p>
        </w:tc>
        <w:tc>
          <w:tcPr>
            <w:tcW w:w="4700" w:type="dxa"/>
            <w:vAlign w:val="bottom"/>
            <w:gridSpan w:val="11"/>
            <w:shd w:val="clear" w:color="auto" w:fill="CCEEFF"/>
          </w:tcPr>
          <w:p>
            <w:pPr>
              <w:spacing w:after="0" w:line="164"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Inc.</w:t>
              </w:r>
            </w:hyperlink>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8"/>
                <w:szCs w:val="18"/>
                <w:color w:val="auto"/>
                <w:w w:val="94"/>
              </w:rPr>
              <w:t>2021</w:t>
            </w:r>
          </w:p>
        </w:tc>
        <w:tc>
          <w:tcPr>
            <w:tcW w:w="920" w:type="dxa"/>
            <w:vAlign w:val="bottom"/>
            <w:shd w:val="clear" w:color="auto" w:fill="CCEEFF"/>
          </w:tcPr>
          <w:p>
            <w:pPr>
              <w:jc w:val="center"/>
              <w:ind w:left="32"/>
              <w:spacing w:after="0" w:line="164" w:lineRule="exact"/>
              <w:rPr>
                <w:sz w:val="20"/>
                <w:szCs w:val="20"/>
                <w:color w:val="auto"/>
              </w:rPr>
            </w:pPr>
            <w:r>
              <w:rPr>
                <w:rFonts w:ascii="Times New Roman" w:cs="Times New Roman" w:eastAsia="Times New Roman" w:hAnsi="Times New Roman"/>
                <w:sz w:val="18"/>
                <w:szCs w:val="18"/>
                <w:color w:val="auto"/>
                <w:w w:val="98"/>
              </w:rPr>
              <w:t>10.41</w:t>
            </w:r>
          </w:p>
        </w:tc>
        <w:tc>
          <w:tcPr>
            <w:tcW w:w="0" w:type="dxa"/>
            <w:vAlign w:val="bottom"/>
          </w:tcPr>
          <w:p>
            <w:pPr>
              <w:spacing w:after="0"/>
              <w:rPr>
                <w:sz w:val="1"/>
                <w:szCs w:val="1"/>
                <w:color w:val="auto"/>
              </w:rPr>
            </w:pPr>
          </w:p>
        </w:tc>
      </w:tr>
      <w:tr>
        <w:trPr>
          <w:trHeight w:val="40"/>
        </w:trPr>
        <w:tc>
          <w:tcPr>
            <w:tcW w:w="108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4920" w:type="dxa"/>
            <w:vAlign w:val="bottom"/>
            <w:gridSpan w:val="13"/>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Agreement For the Sale and Purchase of the Towers LatAm</w:t>
              </w:r>
            </w:hyperlink>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420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Division of Telxius Telecom, S.A., dated as of January 13,</w:t>
              </w:r>
            </w:hyperlink>
          </w:p>
        </w:tc>
        <w:tc>
          <w:tcPr>
            <w:tcW w:w="460" w:type="dxa"/>
            <w:vAlign w:val="bottom"/>
            <w:gridSpan w:val="4"/>
          </w:tcPr>
          <w:p>
            <w:pPr>
              <w:jc w:val="right"/>
              <w:ind w:right="120"/>
              <w:spacing w:after="0" w:line="152" w:lineRule="exact"/>
              <w:rPr>
                <w:rFonts w:ascii="Times New Roman" w:cs="Times New Roman" w:eastAsia="Times New Roman" w:hAnsi="Times New Roman"/>
                <w:sz w:val="16"/>
                <w:szCs w:val="16"/>
                <w:color w:val="0000FF"/>
                <w:w w:val="88"/>
              </w:rPr>
            </w:pPr>
            <w:hyperlink r:id="rId199">
              <w:r>
                <w:rPr>
                  <w:rFonts w:ascii="Times New Roman" w:cs="Times New Roman" w:eastAsia="Times New Roman" w:hAnsi="Times New Roman"/>
                  <w:sz w:val="16"/>
                  <w:szCs w:val="16"/>
                  <w:color w:val="0000FF"/>
                  <w:w w:val="88"/>
                </w:rPr>
                <w:t>2021,</w:t>
              </w:r>
            </w:hyperlink>
          </w:p>
        </w:tc>
        <w:tc>
          <w:tcPr>
            <w:tcW w:w="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February 25,</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4540" w:type="dxa"/>
            <w:vAlign w:val="bottom"/>
            <w:tcBorders>
              <w:top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between Telxius Telecom, S.A. and American Tower International,</w:t>
              </w:r>
            </w:hyperlink>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4700" w:type="dxa"/>
            <w:vAlign w:val="bottom"/>
            <w:tcBorders>
              <w:top w:val="single" w:sz="8" w:color="0000FF"/>
            </w:tcBorders>
            <w:gridSpan w:val="11"/>
          </w:tcPr>
          <w:p>
            <w:pPr>
              <w:spacing w:after="0" w:line="164"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Inc.</w:t>
              </w:r>
            </w:hyperlink>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001-14195</w:t>
            </w:r>
          </w:p>
        </w:tc>
        <w:tc>
          <w:tcPr>
            <w:tcW w:w="15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4"/>
              </w:rPr>
              <w:t>2021</w:t>
            </w:r>
          </w:p>
        </w:tc>
        <w:tc>
          <w:tcPr>
            <w:tcW w:w="920" w:type="dxa"/>
            <w:vAlign w:val="bottom"/>
          </w:tcPr>
          <w:p>
            <w:pPr>
              <w:jc w:val="center"/>
              <w:ind w:left="32"/>
              <w:spacing w:after="0" w:line="164" w:lineRule="exact"/>
              <w:rPr>
                <w:sz w:val="20"/>
                <w:szCs w:val="20"/>
                <w:color w:val="auto"/>
              </w:rPr>
            </w:pPr>
            <w:r>
              <w:rPr>
                <w:rFonts w:ascii="Times New Roman" w:cs="Times New Roman" w:eastAsia="Times New Roman" w:hAnsi="Times New Roman"/>
                <w:sz w:val="18"/>
                <w:szCs w:val="18"/>
                <w:color w:val="auto"/>
                <w:w w:val="98"/>
              </w:rPr>
              <w:t>10.42</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19.1</w:t>
            </w:r>
          </w:p>
        </w:tc>
        <w:tc>
          <w:tcPr>
            <w:tcW w:w="4920" w:type="dxa"/>
            <w:vAlign w:val="bottom"/>
            <w:gridSpan w:val="1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rPr>
              <w:t>American Tower Corporation Anti-Insider Trading Policy</w:t>
            </w:r>
          </w:p>
        </w:tc>
        <w:tc>
          <w:tcPr>
            <w:tcW w:w="13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Filed</w:t>
            </w:r>
          </w:p>
        </w:tc>
        <w:tc>
          <w:tcPr>
            <w:tcW w:w="14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140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180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CCEEFF"/>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6"/>
                <w:szCs w:val="16"/>
                <w:color w:val="auto"/>
              </w:rPr>
              <w:t>herewith as</w:t>
            </w:r>
          </w:p>
        </w:tc>
        <w:tc>
          <w:tcPr>
            <w:tcW w:w="140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Exhibit 19.1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w:t>
            </w: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08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0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line="138" w:lineRule="exact"/>
              <w:rPr>
                <w:sz w:val="20"/>
                <w:szCs w:val="20"/>
                <w:color w:val="auto"/>
              </w:rPr>
            </w:pPr>
            <w:r>
              <w:rPr>
                <w:rFonts w:ascii="Times New Roman" w:cs="Times New Roman" w:eastAsia="Times New Roman" w:hAnsi="Times New Roman"/>
                <w:sz w:val="16"/>
                <w:szCs w:val="16"/>
                <w:color w:val="auto"/>
              </w:rPr>
              <w:t>herewith as</w:t>
            </w:r>
          </w:p>
        </w:tc>
        <w:tc>
          <w:tcPr>
            <w:tcW w:w="1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Exhibit 21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93"/>
        </w:trPr>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23</w:t>
            </w:r>
          </w:p>
        </w:tc>
        <w:tc>
          <w:tcPr>
            <w:tcW w:w="4920" w:type="dxa"/>
            <w:vAlign w:val="bottom"/>
            <w:gridSpan w:val="1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13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Filed</w:t>
            </w:r>
          </w:p>
        </w:tc>
        <w:tc>
          <w:tcPr>
            <w:tcW w:w="14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380" w:type="dxa"/>
            <w:vAlign w:val="bottom"/>
            <w:tcBorders>
              <w:top w:val="single" w:sz="8" w:color="0000FF"/>
            </w:tcBorders>
            <w:gridSpan w:val="8"/>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Deloitte &amp; Touche LLP</w:t>
            </w:r>
          </w:p>
        </w:tc>
        <w:tc>
          <w:tcPr>
            <w:tcW w:w="2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rPr>
              <w:t>herewith as</w:t>
            </w:r>
          </w:p>
        </w:tc>
        <w:tc>
          <w:tcPr>
            <w:tcW w:w="14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0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1400" w:type="dxa"/>
            <w:vAlign w:val="bottom"/>
            <w:tcBorders>
              <w:top w:val="single" w:sz="8" w:color="0000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Exhibit 23</w:t>
            </w:r>
          </w:p>
        </w:tc>
        <w:tc>
          <w:tcPr>
            <w:tcW w:w="1400" w:type="dxa"/>
            <w:vAlign w:val="bottom"/>
            <w:tcBorders>
              <w:top w:val="single" w:sz="8" w:color="CCEEFF"/>
            </w:tcBorders>
            <w:shd w:val="clear" w:color="auto" w:fill="CCEEFF"/>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CCEEFF"/>
            </w:tcBorders>
            <w:shd w:val="clear" w:color="auto" w:fill="CCEEFF"/>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CCEEFF"/>
            </w:tcBorders>
            <w:shd w:val="clear" w:color="auto" w:fill="CCEEFF"/>
          </w:tcPr>
          <w:p>
            <w:pPr>
              <w:jc w:val="center"/>
              <w:ind w:left="52"/>
              <w:spacing w:after="0" w:line="204"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w:t>
            </w: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4720" w:type="dxa"/>
            <w:vAlign w:val="bottom"/>
            <w:tcBorders>
              <w:top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200" w:type="dxa"/>
            <w:vAlign w:val="bottom"/>
          </w:tcPr>
          <w:p>
            <w:pPr>
              <w:spacing w:after="0"/>
              <w:rPr>
                <w:sz w:val="13"/>
                <w:szCs w:val="13"/>
                <w:color w:val="auto"/>
              </w:rPr>
            </w:pPr>
          </w:p>
        </w:tc>
        <w:tc>
          <w:tcPr>
            <w:tcW w:w="1360" w:type="dxa"/>
            <w:vAlign w:val="bottom"/>
          </w:tcPr>
          <w:p>
            <w:pPr>
              <w:jc w:val="center"/>
              <w:spacing w:after="0" w:line="152" w:lineRule="exact"/>
              <w:rPr>
                <w:sz w:val="20"/>
                <w:szCs w:val="20"/>
                <w:color w:val="auto"/>
              </w:rPr>
            </w:pPr>
            <w:r>
              <w:rPr>
                <w:rFonts w:ascii="Times New Roman" w:cs="Times New Roman" w:eastAsia="Times New Roman" w:hAnsi="Times New Roman"/>
                <w:sz w:val="16"/>
                <w:szCs w:val="16"/>
                <w:color w:val="auto"/>
              </w:rPr>
              <w:t>herewith as</w:t>
            </w:r>
          </w:p>
        </w:tc>
        <w:tc>
          <w:tcPr>
            <w:tcW w:w="1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31.1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88"/>
        </w:trPr>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31.2</w:t>
            </w:r>
          </w:p>
        </w:tc>
        <w:tc>
          <w:tcPr>
            <w:tcW w:w="4920" w:type="dxa"/>
            <w:vAlign w:val="bottom"/>
            <w:gridSpan w:val="1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w:t>
            </w:r>
          </w:p>
        </w:tc>
        <w:tc>
          <w:tcPr>
            <w:tcW w:w="13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Filed</w:t>
            </w:r>
          </w:p>
        </w:tc>
        <w:tc>
          <w:tcPr>
            <w:tcW w:w="14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080" w:type="dxa"/>
            <w:vAlign w:val="bottom"/>
            <w:tcBorders>
              <w:top w:val="single" w:sz="8" w:color="CCEEFF"/>
            </w:tcBorders>
            <w:shd w:val="clear" w:color="auto" w:fill="CCEEFF"/>
          </w:tcPr>
          <w:p>
            <w:pPr>
              <w:spacing w:after="0"/>
              <w:rPr>
                <w:sz w:val="13"/>
                <w:szCs w:val="13"/>
                <w:color w:val="auto"/>
              </w:rPr>
            </w:pPr>
          </w:p>
        </w:tc>
        <w:tc>
          <w:tcPr>
            <w:tcW w:w="4660" w:type="dxa"/>
            <w:vAlign w:val="bottom"/>
            <w:tcBorders>
              <w:top w:val="single" w:sz="8" w:color="0000FF"/>
            </w:tcBorders>
            <w:gridSpan w:val="10"/>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260" w:type="dxa"/>
            <w:vAlign w:val="bottom"/>
            <w:tcBorders>
              <w:top w:val="single" w:sz="8" w:color="CCEEFF"/>
            </w:tcBorders>
            <w:gridSpan w:val="3"/>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rPr>
              <w:t>herewith as</w:t>
            </w:r>
          </w:p>
        </w:tc>
        <w:tc>
          <w:tcPr>
            <w:tcW w:w="14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0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1400" w:type="dxa"/>
            <w:vAlign w:val="bottom"/>
            <w:tcBorders>
              <w:top w:val="single" w:sz="8" w:color="0000FF"/>
            </w:tcBorders>
            <w:shd w:val="clear" w:color="auto" w:fill="CCEEFF"/>
          </w:tcPr>
          <w:p>
            <w:pPr>
              <w:spacing w:after="0"/>
              <w:rPr>
                <w:sz w:val="17"/>
                <w:szCs w:val="17"/>
                <w:color w:val="auto"/>
              </w:rPr>
            </w:pPr>
          </w:p>
        </w:tc>
        <w:tc>
          <w:tcPr>
            <w:tcW w:w="38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jc w:val="center"/>
              <w:spacing w:after="0" w:line="204" w:lineRule="exact"/>
              <w:rPr>
                <w:sz w:val="20"/>
                <w:szCs w:val="20"/>
                <w:color w:val="auto"/>
              </w:rPr>
            </w:pPr>
            <w:r>
              <w:rPr>
                <w:rFonts w:ascii="Times New Roman" w:cs="Times New Roman" w:eastAsia="Times New Roman" w:hAnsi="Times New Roman"/>
                <w:sz w:val="18"/>
                <w:szCs w:val="18"/>
                <w:color w:val="auto"/>
                <w:w w:val="98"/>
              </w:rPr>
              <w:t>Exhibit 31.2</w:t>
            </w:r>
          </w:p>
        </w:tc>
        <w:tc>
          <w:tcPr>
            <w:tcW w:w="1400" w:type="dxa"/>
            <w:vAlign w:val="bottom"/>
            <w:tcBorders>
              <w:top w:val="single" w:sz="8" w:color="CCEEFF"/>
            </w:tcBorders>
            <w:shd w:val="clear" w:color="auto" w:fill="CCEEFF"/>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CCEEFF"/>
            </w:tcBorders>
            <w:shd w:val="clear" w:color="auto" w:fill="CCEEFF"/>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CCEEFF"/>
            </w:tcBorders>
            <w:shd w:val="clear" w:color="auto" w:fill="CCEEFF"/>
          </w:tcPr>
          <w:p>
            <w:pPr>
              <w:jc w:val="center"/>
              <w:ind w:left="52"/>
              <w:spacing w:after="0" w:line="204"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268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 of Document</w:t>
      </w:r>
    </w:p>
    <w:p>
      <w:pPr>
        <w:spacing w:after="0" w:line="43" w:lineRule="exact"/>
        <w:rPr>
          <w:sz w:val="20"/>
          <w:szCs w:val="20"/>
          <w:color w:val="auto"/>
        </w:rPr>
      </w:pPr>
    </w:p>
    <w:p>
      <w:pPr>
        <w:ind w:left="1080" w:hanging="1057"/>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filed pursuant to 18. U.S.C. Section 1350</w:t>
      </w:r>
    </w:p>
    <w:p>
      <w:pPr>
        <w:spacing w:after="0" w:line="200" w:lineRule="exact"/>
        <w:rPr>
          <w:sz w:val="20"/>
          <w:szCs w:val="20"/>
          <w:color w:val="auto"/>
        </w:rPr>
      </w:pPr>
    </w:p>
    <w:p>
      <w:pPr>
        <w:spacing w:after="0" w:line="265" w:lineRule="exact"/>
        <w:rPr>
          <w:sz w:val="20"/>
          <w:szCs w:val="20"/>
          <w:color w:val="auto"/>
        </w:rPr>
      </w:pPr>
    </w:p>
    <w:p>
      <w:pPr>
        <w:ind w:left="1080" w:hanging="1057"/>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American Tower Corporation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35495" cy="368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1">
                      <a:extLst>
                        <a:ext uri="{28A0092B-C50C-407E-A947-70E740481C1C}"/>
                      </a:extLst>
                    </a:blip>
                    <a:srcRect/>
                    <a:stretch>
                      <a:fillRect/>
                    </a:stretch>
                  </pic:blipFill>
                  <pic:spPr bwMode="auto">
                    <a:xfrm>
                      <a:off x="0" y="0"/>
                      <a:ext cx="7135495" cy="3683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080" w:right="240" w:hanging="1057"/>
        <w:spacing w:after="0" w:line="218"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American Tower Corporation’s Annual Report on Form 10-K for the year ended December 31, 2020, formatted in XBRL (Extensible Business Reporting Language):</w:t>
      </w:r>
    </w:p>
    <w:p>
      <w:pPr>
        <w:spacing w:after="0" w:line="11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101.SCH—Inline XBRL Taxonomy Extension Schema Document</w:t>
      </w:r>
    </w:p>
    <w:p>
      <w:pPr>
        <w:spacing w:after="0" w:line="79" w:lineRule="exact"/>
        <w:rPr>
          <w:rFonts w:ascii="Times New Roman" w:cs="Times New Roman" w:eastAsia="Times New Roman" w:hAnsi="Times New Roman"/>
          <w:sz w:val="18"/>
          <w:szCs w:val="18"/>
          <w:color w:val="auto"/>
        </w:rPr>
      </w:pPr>
    </w:p>
    <w:p>
      <w:pPr>
        <w:ind w:left="1080" w:right="520"/>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101.CAL—Inline XBRL Taxonomy Extension Calculation Linkbase Document</w:t>
      </w:r>
    </w:p>
    <w:p>
      <w:pPr>
        <w:spacing w:after="0" w:line="35" w:lineRule="exact"/>
        <w:rPr>
          <w:rFonts w:ascii="Times New Roman" w:cs="Times New Roman" w:eastAsia="Times New Roman" w:hAnsi="Times New Roman"/>
          <w:sz w:val="18"/>
          <w:szCs w:val="18"/>
          <w:color w:val="auto"/>
        </w:rPr>
      </w:pPr>
    </w:p>
    <w:p>
      <w:pPr>
        <w:ind w:left="1080" w:right="240"/>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101.LAB—Inline XBRL Taxonomy Extension Label Linkbase Document</w:t>
      </w:r>
    </w:p>
    <w:p>
      <w:pPr>
        <w:spacing w:after="0" w:line="36" w:lineRule="exact"/>
        <w:rPr>
          <w:rFonts w:ascii="Times New Roman" w:cs="Times New Roman" w:eastAsia="Times New Roman" w:hAnsi="Times New Roman"/>
          <w:sz w:val="18"/>
          <w:szCs w:val="18"/>
          <w:color w:val="auto"/>
        </w:rPr>
      </w:pPr>
    </w:p>
    <w:p>
      <w:pPr>
        <w:ind w:left="1080" w:right="480"/>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101.PRE—Inline XBRL Taxonomy Extension Presentation Linkbase Document</w:t>
      </w:r>
    </w:p>
    <w:p>
      <w:pPr>
        <w:spacing w:after="0" w:line="36"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101.DEF—Inline XBRL Taxonomy Extension Definition</w:t>
      </w:r>
    </w:p>
    <w:p>
      <w:pPr>
        <w:spacing w:after="0" w:line="122" w:lineRule="exact"/>
        <w:rPr>
          <w:sz w:val="20"/>
          <w:szCs w:val="20"/>
          <w:color w:val="auto"/>
        </w:rPr>
      </w:pPr>
    </w:p>
    <w:p>
      <w:pPr>
        <w:ind w:left="1080" w:right="120" w:hanging="1057"/>
        <w:spacing w:after="0" w:line="23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135495" cy="259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2">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1000"/>
              <w:spacing w:after="0" w:line="158" w:lineRule="exact"/>
              <w:rPr>
                <w:sz w:val="20"/>
                <w:szCs w:val="20"/>
                <w:color w:val="auto"/>
              </w:rPr>
            </w:pPr>
            <w:r>
              <w:rPr>
                <w:rFonts w:ascii="Times New Roman" w:cs="Times New Roman" w:eastAsia="Times New Roman" w:hAnsi="Times New Roman"/>
                <w:sz w:val="14"/>
                <w:szCs w:val="14"/>
                <w:b w:val="1"/>
                <w:bCs w:val="1"/>
                <w:color w:val="auto"/>
                <w:w w:val="95"/>
              </w:rPr>
              <w:t>Form</w:t>
            </w:r>
          </w:p>
        </w:tc>
        <w:tc>
          <w:tcPr>
            <w:tcW w:w="1340" w:type="dxa"/>
            <w:vAlign w:val="bottom"/>
            <w:tcBorders>
              <w:top w:val="single" w:sz="8" w:color="auto"/>
            </w:tcBorders>
            <w:gridSpan w:val="2"/>
          </w:tcPr>
          <w:p>
            <w:pPr>
              <w:jc w:val="center"/>
              <w:ind w:right="880"/>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 No.</w:t>
            </w:r>
          </w:p>
        </w:tc>
        <w:tc>
          <w:tcPr>
            <w:tcW w:w="1100" w:type="dxa"/>
            <w:vAlign w:val="bottom"/>
            <w:tcBorders>
              <w:top w:val="single" w:sz="8" w:color="auto"/>
            </w:tcBorders>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Date of Filing</w:t>
            </w:r>
          </w:p>
        </w:tc>
        <w:tc>
          <w:tcPr>
            <w:tcW w:w="1000" w:type="dxa"/>
            <w:vAlign w:val="bottom"/>
            <w:tcBorders>
              <w:top w:val="single" w:sz="8" w:color="auto"/>
            </w:tcBorders>
            <w:gridSpan w:val="3"/>
          </w:tcPr>
          <w:p>
            <w:pPr>
              <w:jc w:val="center"/>
              <w:ind w:left="150"/>
              <w:spacing w:after="0" w:line="158" w:lineRule="exact"/>
              <w:rPr>
                <w:sz w:val="20"/>
                <w:szCs w:val="20"/>
                <w:color w:val="auto"/>
              </w:rPr>
            </w:pPr>
            <w:r>
              <w:rPr>
                <w:rFonts w:ascii="Times New Roman" w:cs="Times New Roman" w:eastAsia="Times New Roman" w:hAnsi="Times New Roman"/>
                <w:sz w:val="14"/>
                <w:szCs w:val="14"/>
                <w:b w:val="1"/>
                <w:bCs w:val="1"/>
                <w:color w:val="auto"/>
              </w:rPr>
              <w:t>Exhibit No.</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1660" w:type="dxa"/>
            <w:vAlign w:val="bottom"/>
            <w:gridSpan w:val="3"/>
          </w:tcPr>
          <w:p>
            <w:pPr>
              <w:jc w:val="center"/>
              <w:ind w:right="660"/>
              <w:spacing w:after="0" w:line="204" w:lineRule="exact"/>
              <w:rPr>
                <w:sz w:val="20"/>
                <w:szCs w:val="20"/>
                <w:color w:val="auto"/>
              </w:rPr>
            </w:pPr>
            <w:r>
              <w:rPr>
                <w:rFonts w:ascii="Times New Roman" w:cs="Times New Roman" w:eastAsia="Times New Roman" w:hAnsi="Times New Roman"/>
                <w:sz w:val="18"/>
                <w:szCs w:val="18"/>
                <w:color w:val="auto"/>
                <w:w w:val="97"/>
              </w:rPr>
              <w:t>Filed</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1"/>
        </w:trPr>
        <w:tc>
          <w:tcPr>
            <w:tcW w:w="1660" w:type="dxa"/>
            <w:vAlign w:val="bottom"/>
            <w:gridSpan w:val="3"/>
          </w:tcPr>
          <w:p>
            <w:pPr>
              <w:jc w:val="center"/>
              <w:ind w:right="660"/>
              <w:spacing w:after="0" w:line="171" w:lineRule="exact"/>
              <w:rPr>
                <w:sz w:val="20"/>
                <w:szCs w:val="20"/>
                <w:color w:val="auto"/>
              </w:rPr>
            </w:pPr>
            <w:r>
              <w:rPr>
                <w:rFonts w:ascii="Times New Roman" w:cs="Times New Roman" w:eastAsia="Times New Roman" w:hAnsi="Times New Roman"/>
                <w:sz w:val="18"/>
                <w:szCs w:val="18"/>
                <w:color w:val="auto"/>
                <w:w w:val="96"/>
              </w:rPr>
              <w:t>herewith as</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6"/>
        </w:trPr>
        <w:tc>
          <w:tcPr>
            <w:tcW w:w="16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5"/>
              </w:rPr>
              <w:t>Exhibit 32</w:t>
            </w:r>
          </w:p>
        </w:tc>
        <w:tc>
          <w:tcPr>
            <w:tcW w:w="13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r>
      <w:tr>
        <w:trPr>
          <w:trHeight w:val="264"/>
        </w:trPr>
        <w:tc>
          <w:tcPr>
            <w:tcW w:w="16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7"/>
              </w:rPr>
              <w:t>Filed</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71"/>
        </w:trPr>
        <w:tc>
          <w:tcPr>
            <w:tcW w:w="1660" w:type="dxa"/>
            <w:vAlign w:val="bottom"/>
            <w:gridSpan w:val="3"/>
          </w:tcPr>
          <w:p>
            <w:pPr>
              <w:jc w:val="center"/>
              <w:ind w:right="660"/>
              <w:spacing w:after="0" w:line="171" w:lineRule="exact"/>
              <w:rPr>
                <w:sz w:val="20"/>
                <w:szCs w:val="20"/>
                <w:color w:val="auto"/>
              </w:rPr>
            </w:pPr>
            <w:r>
              <w:rPr>
                <w:rFonts w:ascii="Times New Roman" w:cs="Times New Roman" w:eastAsia="Times New Roman" w:hAnsi="Times New Roman"/>
                <w:sz w:val="18"/>
                <w:szCs w:val="18"/>
                <w:color w:val="auto"/>
                <w:w w:val="96"/>
              </w:rPr>
              <w:t>herewith as</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6"/>
        </w:trPr>
        <w:tc>
          <w:tcPr>
            <w:tcW w:w="16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5"/>
              </w:rPr>
              <w:t>Exhibit 97</w:t>
            </w:r>
          </w:p>
        </w:tc>
        <w:tc>
          <w:tcPr>
            <w:tcW w:w="13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2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7"/>
              </w:rPr>
              <w:t>Filed</w:t>
            </w: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71"/>
        </w:trPr>
        <w:tc>
          <w:tcPr>
            <w:tcW w:w="1280" w:type="dxa"/>
            <w:vAlign w:val="bottom"/>
          </w:tcPr>
          <w:p>
            <w:pPr>
              <w:jc w:val="center"/>
              <w:ind w:right="352"/>
              <w:spacing w:after="0" w:line="171" w:lineRule="exact"/>
              <w:rPr>
                <w:sz w:val="20"/>
                <w:szCs w:val="20"/>
                <w:color w:val="auto"/>
              </w:rPr>
            </w:pPr>
            <w:r>
              <w:rPr>
                <w:rFonts w:ascii="Times New Roman" w:cs="Times New Roman" w:eastAsia="Times New Roman" w:hAnsi="Times New Roman"/>
                <w:sz w:val="18"/>
                <w:szCs w:val="18"/>
                <w:color w:val="auto"/>
                <w:w w:val="96"/>
              </w:rPr>
              <w:t>herewith as</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36"/>
        </w:trPr>
        <w:tc>
          <w:tcPr>
            <w:tcW w:w="12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9"/>
              </w:rPr>
              <w:t>Exhibit 101</w:t>
            </w:r>
          </w:p>
        </w:tc>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w:t>
            </w:r>
          </w:p>
        </w:tc>
      </w:tr>
      <w:tr>
        <w:trPr>
          <w:trHeight w:val="501"/>
        </w:trPr>
        <w:tc>
          <w:tcPr>
            <w:tcW w:w="128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0" w:lineRule="exact"/>
        <w:rPr>
          <w:sz w:val="20"/>
          <w:szCs w:val="20"/>
          <w:color w:val="auto"/>
        </w:rPr>
      </w:pPr>
    </w:p>
    <w:p>
      <w:pPr>
        <w:sectPr>
          <w:pgSz w:w="11900" w:h="16838" w:orient="portrait"/>
          <w:cols w:equalWidth="0" w:num="2">
            <w:col w:w="5740" w:space="400"/>
            <w:col w:w="5100"/>
          </w:cols>
          <w:pgMar w:left="320" w:top="121" w:right="339" w:bottom="1440" w:gutter="0" w:footer="0" w:header="0"/>
          <w:type w:val="continuous"/>
        </w:sectPr>
      </w:pPr>
    </w:p>
    <w:p>
      <w:pPr>
        <w:spacing w:after="0" w:line="46" w:lineRule="exact"/>
        <w:rPr>
          <w:sz w:val="20"/>
          <w:szCs w:val="20"/>
          <w:color w:val="auto"/>
        </w:rPr>
      </w:pPr>
    </w:p>
    <w:p>
      <w:pPr>
        <w:ind w:left="680" w:hanging="657"/>
        <w:spacing w:after="0"/>
        <w:tabs>
          <w:tab w:leader="none" w:pos="6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contracts and compensatory plans and arrangements required to be filed as exhibits to this Form 10-K pursuant to Item 15(a)(3).</w:t>
      </w:r>
    </w:p>
    <w:p>
      <w:pPr>
        <w:spacing w:after="0" w:line="159" w:lineRule="exact"/>
        <w:rPr>
          <w:sz w:val="20"/>
          <w:szCs w:val="20"/>
          <w:color w:val="auto"/>
        </w:rPr>
      </w:pPr>
    </w:p>
    <w:p>
      <w:pPr>
        <w:ind w:left="680" w:right="420" w:hanging="657"/>
        <w:spacing w:after="0" w:line="231"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has been filed separately with the Commission pursuant to an application for confidential treatment. The confidential portions of the exhibit have been omitted and are marked by an asterisk.</w:t>
      </w:r>
    </w:p>
    <w:p>
      <w:pPr>
        <w:spacing w:after="0" w:line="258"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 on the 24th day of February, 2026.</w:t>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MERICAN</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OWER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294" w:lineRule="exact"/>
        <w:rPr>
          <w:sz w:val="20"/>
          <w:szCs w:val="20"/>
          <w:color w:val="auto"/>
        </w:rPr>
      </w:pPr>
    </w:p>
    <w:p>
      <w:pPr>
        <w:ind w:left="6900"/>
        <w:spacing w:after="0"/>
        <w:tabs>
          <w:tab w:leader="none" w:pos="8340" w:val="left"/>
          <w:tab w:leader="none" w:pos="8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3"/>
          <w:szCs w:val="13"/>
          <w:color w:val="auto"/>
        </w:rPr>
        <w:t>STEVEN O. VONDRAN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22225</wp:posOffset>
            </wp:positionV>
            <wp:extent cx="25095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4">
                      <a:extLst>
                        <a:ext uri="{28A0092B-C50C-407E-A947-70E740481C1C}"/>
                      </a:extLst>
                    </a:blip>
                    <a:srcRect/>
                    <a:stretch>
                      <a:fillRect/>
                    </a:stretch>
                  </pic:blipFill>
                  <pic:spPr bwMode="auto">
                    <a:xfrm>
                      <a:off x="0" y="0"/>
                      <a:ext cx="2509520" cy="8255"/>
                    </a:xfrm>
                    <a:prstGeom prst="rect">
                      <a:avLst/>
                    </a:prstGeom>
                    <a:noFill/>
                  </pic:spPr>
                </pic:pic>
              </a:graphicData>
            </a:graphic>
          </wp:anchor>
        </w:drawing>
      </w:r>
    </w:p>
    <w:p>
      <w:pPr>
        <w:spacing w:after="0" w:line="17"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Steven O. Vondran</w:t>
      </w:r>
    </w:p>
    <w:p>
      <w:pPr>
        <w:spacing w:after="0" w:line="2"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duly signed below by the following persons on behalf of the Registrant and in the capacities and on the dates indicated.</w:t>
      </w:r>
    </w:p>
    <w:p>
      <w:pPr>
        <w:spacing w:after="0" w:line="2" w:lineRule="exact"/>
        <w:rPr>
          <w:sz w:val="20"/>
          <w:szCs w:val="20"/>
          <w:color w:val="auto"/>
        </w:rPr>
      </w:pPr>
    </w:p>
    <w:p>
      <w:pPr>
        <w:ind w:left="2060"/>
        <w:spacing w:after="0"/>
        <w:tabs>
          <w:tab w:leader="none" w:pos="6720" w:val="left"/>
          <w:tab w:leader="none" w:pos="100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ectPr>
          <w:pgSz w:w="11900" w:h="16838" w:orient="portrait"/>
          <w:cols w:equalWidth="0" w:num="1">
            <w:col w:w="11140"/>
          </w:cols>
          <w:pgMar w:left="320" w:top="121" w:right="439" w:bottom="1440" w:gutter="0" w:footer="0" w:header="0"/>
        </w:sectPr>
      </w:pPr>
    </w:p>
    <w:p>
      <w:pPr>
        <w:spacing w:after="0" w:line="3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STEVEN O. VONDRAN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6">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Steven O. Vondran</w:t>
      </w:r>
    </w:p>
    <w:p>
      <w:pPr>
        <w:spacing w:after="0" w:line="22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7">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Rodney M. Smith</w:t>
      </w:r>
    </w:p>
    <w:p>
      <w:pPr>
        <w:spacing w:after="0" w:line="33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ROBERT J.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8">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Robert J. Meyer</w:t>
      </w:r>
    </w:p>
    <w:p>
      <w:pPr>
        <w:spacing w:after="0" w:line="33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KELLY C. CHAMBLISS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9">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Kelly C. Chambliss</w:t>
      </w:r>
    </w:p>
    <w:p>
      <w:pPr>
        <w:spacing w:after="0" w:line="2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TERESA H.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0">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Teresa H. Clarke</w:t>
      </w:r>
    </w:p>
    <w:p>
      <w:pPr>
        <w:spacing w:after="0" w:line="2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KENNETH R.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1">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Kenneth R. Frank</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ROBERT D. HORMATS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2">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Robert D. Hormats</w:t>
      </w:r>
    </w:p>
    <w:p>
      <w:pPr>
        <w:spacing w:after="0" w:line="2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RAJESH KALATHUR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3">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Rajesh Kalathur</w:t>
      </w:r>
    </w:p>
    <w:p>
      <w:pPr>
        <w:spacing w:after="0" w:line="22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GRACE D.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4">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Grace D. Lieblein</w:t>
      </w:r>
    </w:p>
    <w:p>
      <w:pPr>
        <w:spacing w:after="0" w:line="2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CRAIG MACNAB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5">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Craig Macnab</w:t>
      </w:r>
    </w:p>
    <w:p>
      <w:pPr>
        <w:spacing w:after="0" w:line="2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4"/>
          <w:szCs w:val="14"/>
          <w:color w:val="auto"/>
        </w:rPr>
        <w:t>NEVILLE R.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6">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Neville R. Ray</w:t>
      </w:r>
    </w:p>
    <w:p>
      <w:pPr>
        <w:spacing w:after="0" w:line="26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PAMELA D. A. REEVE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7">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Pamela D. A. Reeve</w:t>
      </w:r>
    </w:p>
    <w:p>
      <w:pPr>
        <w:spacing w:after="0" w:line="22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EUGENE F.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864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8">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1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Eugene F. Reilly</w:t>
      </w:r>
    </w:p>
    <w:p>
      <w:pPr>
        <w:spacing w:after="0" w:line="26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/S/  BRUCE L.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29864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9">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2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Bruce L. Tanner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8"/>
          <w:szCs w:val="18"/>
          <w:color w:val="auto"/>
        </w:rPr>
        <w:t>President and Chief Executive Officer (Principal</w:t>
      </w:r>
      <w:r>
        <w:rPr>
          <w:sz w:val="20"/>
          <w:szCs w:val="20"/>
          <w:color w:val="auto"/>
        </w:rPr>
        <w:tab/>
      </w:r>
      <w:r>
        <w:rPr>
          <w:rFonts w:ascii="Times New Roman" w:cs="Times New Roman" w:eastAsia="Times New Roman" w:hAnsi="Times New Roman"/>
          <w:sz w:val="16"/>
          <w:szCs w:val="16"/>
          <w:color w:val="auto"/>
        </w:rPr>
        <w:t>February 24, 2026</w:t>
      </w:r>
    </w:p>
    <w:p>
      <w:pPr>
        <w:spacing w:after="0"/>
        <w:rPr>
          <w:sz w:val="20"/>
          <w:szCs w:val="20"/>
          <w:color w:val="auto"/>
        </w:rPr>
      </w:pPr>
      <w:r>
        <w:rPr>
          <w:rFonts w:ascii="Times New Roman" w:cs="Times New Roman" w:eastAsia="Times New Roman" w:hAnsi="Times New Roman"/>
          <w:sz w:val="18"/>
          <w:szCs w:val="18"/>
          <w:color w:val="auto"/>
        </w:rPr>
        <w:t>Executive Officer), Director</w:t>
      </w:r>
    </w:p>
    <w:p>
      <w:pPr>
        <w:spacing w:after="0" w:line="324"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8"/>
          <w:szCs w:val="18"/>
          <w:color w:val="auto"/>
        </w:rPr>
        <w:t>Executive Vice President, Chief Financial Officer</w:t>
      </w:r>
      <w:r>
        <w:rPr>
          <w:sz w:val="20"/>
          <w:szCs w:val="20"/>
          <w:color w:val="auto"/>
        </w:rPr>
        <w:tab/>
      </w:r>
      <w:r>
        <w:rPr>
          <w:rFonts w:ascii="Times New Roman" w:cs="Times New Roman" w:eastAsia="Times New Roman" w:hAnsi="Times New Roman"/>
          <w:sz w:val="16"/>
          <w:szCs w:val="16"/>
          <w:color w:val="auto"/>
        </w:rPr>
        <w:t>February 24, 2026</w:t>
      </w:r>
    </w:p>
    <w:p>
      <w:pPr>
        <w:spacing w:after="0"/>
        <w:rPr>
          <w:sz w:val="20"/>
          <w:szCs w:val="20"/>
          <w:color w:val="auto"/>
        </w:rPr>
      </w:pPr>
      <w:r>
        <w:rPr>
          <w:rFonts w:ascii="Times New Roman" w:cs="Times New Roman" w:eastAsia="Times New Roman" w:hAnsi="Times New Roman"/>
          <w:sz w:val="18"/>
          <w:szCs w:val="18"/>
          <w:color w:val="auto"/>
        </w:rPr>
        <w:t>and Treasurer (Principal Financial Officer)</w:t>
      </w:r>
    </w:p>
    <w:p>
      <w:pPr>
        <w:spacing w:after="0" w:line="324"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8"/>
          <w:szCs w:val="18"/>
          <w:color w:val="auto"/>
        </w:rPr>
        <w:t>Senior Vice President and Chief Accounting Officer</w:t>
      </w:r>
      <w:r>
        <w:rPr>
          <w:sz w:val="20"/>
          <w:szCs w:val="20"/>
          <w:color w:val="auto"/>
        </w:rPr>
        <w:tab/>
      </w:r>
      <w:r>
        <w:rPr>
          <w:rFonts w:ascii="Times New Roman" w:cs="Times New Roman" w:eastAsia="Times New Roman" w:hAnsi="Times New Roman"/>
          <w:sz w:val="16"/>
          <w:szCs w:val="16"/>
          <w:color w:val="auto"/>
        </w:rPr>
        <w:t>February 24, 2026</w:t>
      </w: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39"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24, 2026</w:t>
      </w:r>
    </w:p>
    <w:p>
      <w:pPr>
        <w:spacing w:after="0" w:line="200" w:lineRule="exact"/>
        <w:rPr>
          <w:sz w:val="20"/>
          <w:szCs w:val="20"/>
          <w:color w:val="auto"/>
        </w:rPr>
      </w:pPr>
    </w:p>
    <w:p>
      <w:pPr>
        <w:spacing w:after="0" w:line="288"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24, 2026</w:t>
      </w:r>
    </w:p>
    <w:p>
      <w:pPr>
        <w:spacing w:after="0" w:line="200" w:lineRule="exact"/>
        <w:rPr>
          <w:sz w:val="20"/>
          <w:szCs w:val="20"/>
          <w:color w:val="auto"/>
        </w:rPr>
      </w:pPr>
    </w:p>
    <w:p>
      <w:pPr>
        <w:spacing w:after="0" w:line="288"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24, 2026</w:t>
      </w:r>
    </w:p>
    <w:p>
      <w:pPr>
        <w:spacing w:after="0" w:line="200" w:lineRule="exact"/>
        <w:rPr>
          <w:sz w:val="20"/>
          <w:szCs w:val="20"/>
          <w:color w:val="auto"/>
        </w:rPr>
      </w:pPr>
    </w:p>
    <w:p>
      <w:pPr>
        <w:spacing w:after="0" w:line="248"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24, 2026</w:t>
      </w:r>
    </w:p>
    <w:p>
      <w:pPr>
        <w:spacing w:after="0" w:line="200" w:lineRule="exact"/>
        <w:rPr>
          <w:sz w:val="20"/>
          <w:szCs w:val="20"/>
          <w:color w:val="auto"/>
        </w:rPr>
      </w:pPr>
    </w:p>
    <w:p>
      <w:pPr>
        <w:spacing w:after="0" w:line="301"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24, 2026</w:t>
      </w:r>
    </w:p>
    <w:p>
      <w:pPr>
        <w:spacing w:after="0" w:line="200" w:lineRule="exact"/>
        <w:rPr>
          <w:sz w:val="20"/>
          <w:szCs w:val="20"/>
          <w:color w:val="auto"/>
        </w:rPr>
      </w:pPr>
    </w:p>
    <w:p>
      <w:pPr>
        <w:spacing w:after="0" w:line="222"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24, 2026</w:t>
      </w:r>
    </w:p>
    <w:p>
      <w:pPr>
        <w:spacing w:after="0" w:line="200" w:lineRule="exact"/>
        <w:rPr>
          <w:sz w:val="20"/>
          <w:szCs w:val="20"/>
          <w:color w:val="auto"/>
        </w:rPr>
      </w:pPr>
    </w:p>
    <w:p>
      <w:pPr>
        <w:spacing w:after="0" w:line="248"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24, 2026</w:t>
      </w:r>
    </w:p>
    <w:p>
      <w:pPr>
        <w:spacing w:after="0" w:line="200" w:lineRule="exact"/>
        <w:rPr>
          <w:sz w:val="20"/>
          <w:szCs w:val="20"/>
          <w:color w:val="auto"/>
        </w:rPr>
      </w:pPr>
    </w:p>
    <w:p>
      <w:pPr>
        <w:spacing w:after="0" w:line="248"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24, 2026</w:t>
      </w:r>
    </w:p>
    <w:p>
      <w:pPr>
        <w:spacing w:after="0" w:line="200" w:lineRule="exact"/>
        <w:rPr>
          <w:sz w:val="20"/>
          <w:szCs w:val="20"/>
          <w:color w:val="auto"/>
        </w:rPr>
      </w:pPr>
    </w:p>
    <w:p>
      <w:pPr>
        <w:spacing w:after="0" w:line="275"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8"/>
          <w:szCs w:val="18"/>
          <w:color w:val="auto"/>
        </w:rPr>
        <w:t>Chair of the Board, Director</w:t>
      </w:r>
      <w:r>
        <w:rPr>
          <w:sz w:val="20"/>
          <w:szCs w:val="20"/>
          <w:color w:val="auto"/>
        </w:rPr>
        <w:tab/>
      </w:r>
      <w:r>
        <w:rPr>
          <w:rFonts w:ascii="Times New Roman" w:cs="Times New Roman" w:eastAsia="Times New Roman" w:hAnsi="Times New Roman"/>
          <w:sz w:val="16"/>
          <w:szCs w:val="16"/>
          <w:color w:val="auto"/>
        </w:rPr>
        <w:t>February 24, 2026</w:t>
      </w:r>
    </w:p>
    <w:p>
      <w:pPr>
        <w:spacing w:after="0" w:line="200" w:lineRule="exact"/>
        <w:rPr>
          <w:sz w:val="20"/>
          <w:szCs w:val="20"/>
          <w:color w:val="auto"/>
        </w:rPr>
      </w:pPr>
    </w:p>
    <w:p>
      <w:pPr>
        <w:spacing w:after="0" w:line="225"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24, 2026</w:t>
      </w:r>
    </w:p>
    <w:p>
      <w:pPr>
        <w:spacing w:after="0" w:line="200" w:lineRule="exact"/>
        <w:rPr>
          <w:sz w:val="20"/>
          <w:szCs w:val="20"/>
          <w:color w:val="auto"/>
        </w:rPr>
      </w:pPr>
    </w:p>
    <w:p>
      <w:pPr>
        <w:spacing w:after="0" w:line="248"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February 24, 2026</w:t>
      </w:r>
    </w:p>
    <w:p>
      <w:pPr>
        <w:spacing w:after="0" w:line="447" w:lineRule="exact"/>
        <w:rPr>
          <w:sz w:val="20"/>
          <w:szCs w:val="20"/>
          <w:color w:val="auto"/>
        </w:rPr>
      </w:pPr>
    </w:p>
    <w:p>
      <w:pPr>
        <w:sectPr>
          <w:pgSz w:w="11900" w:h="16838" w:orient="portrait"/>
          <w:cols w:equalWidth="0" w:num="2">
            <w:col w:w="4340" w:space="720"/>
            <w:col w:w="6080"/>
          </w:cols>
          <w:pgMar w:left="320" w:top="12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
        </w:trPr>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30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Consolidated Balance Sheets as of December 31, 2025 and 2024</w:t>
            </w:r>
          </w:p>
        </w:tc>
        <w:tc>
          <w:tcPr>
            <w:tcW w:w="5500" w:type="dxa"/>
            <w:vAlign w:val="bottom"/>
            <w:gridSpan w:val="5"/>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0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67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 for the Years Ended December 31, 2025, 2024 and 2023</w:t>
            </w:r>
          </w:p>
        </w:tc>
        <w:tc>
          <w:tcPr>
            <w:tcW w:w="3300" w:type="dxa"/>
            <w:vAlign w:val="bottom"/>
            <w:gridSpan w:val="3"/>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080" w:type="dxa"/>
            <w:vAlign w:val="bottom"/>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3080" w:type="dxa"/>
            <w:vAlign w:val="bottom"/>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Consolidated Statements of Equity for the Years Ended December 31, 2025, 2024 and 2023</w:t>
            </w:r>
          </w:p>
        </w:tc>
        <w:tc>
          <w:tcPr>
            <w:tcW w:w="1200" w:type="dxa"/>
            <w:vAlign w:val="bottom"/>
            <w:gridSpan w:val="3"/>
          </w:tcPr>
          <w:p>
            <w:pPr>
              <w:spacing w:after="0"/>
              <w:rPr>
                <w:sz w:val="24"/>
                <w:szCs w:val="24"/>
                <w:color w:val="auto"/>
              </w:rPr>
            </w:pPr>
          </w:p>
        </w:tc>
        <w:tc>
          <w:tcPr>
            <w:tcW w:w="2400" w:type="dxa"/>
            <w:vAlign w:val="bottom"/>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3080" w:type="dxa"/>
            <w:vAlign w:val="bottom"/>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 for the Years Ended December 31, 2025, 2024 and 2023</w:t>
            </w:r>
          </w:p>
        </w:tc>
        <w:tc>
          <w:tcPr>
            <w:tcW w:w="3240" w:type="dxa"/>
            <w:vAlign w:val="bottom"/>
            <w:gridSpan w:val="2"/>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3080" w:type="dxa"/>
            <w:vAlign w:val="bottom"/>
            <w:shd w:val="clear" w:color="auto" w:fill="0000FF"/>
          </w:tcPr>
          <w:p>
            <w:pPr>
              <w:spacing w:after="0" w:line="20" w:lineRule="exact"/>
              <w:rPr>
                <w:sz w:val="1"/>
                <w:szCs w:val="1"/>
                <w:color w:val="auto"/>
              </w:rPr>
            </w:pPr>
          </w:p>
        </w:tc>
        <w:tc>
          <w:tcPr>
            <w:tcW w:w="3720" w:type="dxa"/>
            <w:vAlign w:val="bottom"/>
            <w:gridSpan w:val="5"/>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720" w:type="dxa"/>
            <w:vAlign w:val="bottom"/>
            <w:gridSpan w:val="5"/>
          </w:tcPr>
          <w:p>
            <w:pPr>
              <w:spacing w:after="0"/>
              <w:rPr>
                <w:sz w:val="24"/>
                <w:szCs w:val="24"/>
                <w:color w:val="auto"/>
              </w:rPr>
            </w:pPr>
          </w:p>
        </w:tc>
        <w:tc>
          <w:tcPr>
            <w:tcW w:w="3240" w:type="dxa"/>
            <w:vAlign w:val="bottom"/>
            <w:gridSpan w:val="2"/>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30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580" w:firstLine="2612"/>
        <w:spacing w:after="0" w:line="40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American Tower Corporation </w:t>
      </w:r>
      <w:r>
        <w:rPr>
          <w:rFonts w:ascii="Times New Roman" w:cs="Times New Roman" w:eastAsia="Times New Roman" w:hAnsi="Times New Roman"/>
          <w:sz w:val="18"/>
          <w:szCs w:val="18"/>
          <w:b w:val="1"/>
          <w:bCs w:val="1"/>
          <w:color w:val="auto"/>
        </w:rPr>
        <w:t>Opinion on the Financial Statements</w:t>
      </w:r>
    </w:p>
    <w:p>
      <w:pPr>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American Tower Corporation and subsidiaries (the “Company”) as of December 31, 2025 and 2024, the related consolidated statements of operations, comprehensive income,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24, 2026, expressed an unqualified opinion on the Company's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51"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5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1997.</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9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count and per share data)</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7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0" w:type="dxa"/>
            <w:vAlign w:val="bottom"/>
          </w:tcPr>
          <w:p>
            <w:pPr>
              <w:spacing w:after="0"/>
              <w:rPr>
                <w:sz w:val="1"/>
                <w:szCs w:val="1"/>
                <w:color w:val="auto"/>
              </w:rPr>
            </w:pPr>
          </w:p>
        </w:tc>
      </w:tr>
      <w:tr>
        <w:trPr>
          <w:trHeight w:val="224"/>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24"/>
        </w:trPr>
        <w:tc>
          <w:tcPr>
            <w:tcW w:w="7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3,178.8</w:t>
            </w:r>
          </w:p>
        </w:tc>
        <w:tc>
          <w:tcPr>
            <w:tcW w:w="0" w:type="dxa"/>
            <w:vAlign w:val="bottom"/>
          </w:tcPr>
          <w:p>
            <w:pPr>
              <w:spacing w:after="0"/>
              <w:rPr>
                <w:sz w:val="1"/>
                <w:szCs w:val="1"/>
                <w:color w:val="auto"/>
              </w:rPr>
            </w:pPr>
          </w:p>
        </w:tc>
      </w:tr>
      <w:tr>
        <w:trPr>
          <w:trHeight w:val="217"/>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19,056.8</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11,768.1</w:t>
            </w:r>
          </w:p>
        </w:tc>
        <w:tc>
          <w:tcPr>
            <w:tcW w:w="0" w:type="dxa"/>
            <w:vAlign w:val="bottom"/>
          </w:tcPr>
          <w:p>
            <w:pPr>
              <w:spacing w:after="0"/>
              <w:rPr>
                <w:sz w:val="1"/>
                <w:szCs w:val="1"/>
                <w:color w:val="auto"/>
              </w:rPr>
            </w:pP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14,474.3</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ASSET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3,710.2</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8,089.6</w:t>
            </w:r>
          </w:p>
        </w:tc>
        <w:tc>
          <w:tcPr>
            <w:tcW w:w="0" w:type="dxa"/>
            <w:vAlign w:val="bottom"/>
          </w:tcPr>
          <w:p>
            <w:pPr>
              <w:spacing w:after="0"/>
              <w:rPr>
                <w:sz w:val="1"/>
                <w:szCs w:val="1"/>
                <w:color w:val="auto"/>
              </w:rPr>
            </w:pPr>
          </w:p>
        </w:tc>
      </w:tr>
      <w:tr>
        <w:trPr>
          <w:trHeight w:val="224"/>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NOTES RECEIVABLE AND OTHER NON-CURRENT ASSETS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0" w:type="dxa"/>
            <w:vAlign w:val="bottom"/>
          </w:tcPr>
          <w:p>
            <w:pPr>
              <w:spacing w:after="0"/>
              <w:rPr>
                <w:sz w:val="1"/>
                <w:szCs w:val="1"/>
                <w:color w:val="auto"/>
              </w:rPr>
            </w:pPr>
          </w:p>
        </w:tc>
      </w:tr>
      <w:tr>
        <w:trPr>
          <w:trHeight w:val="242"/>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61,077.4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0" w:type="dxa"/>
            <w:vAlign w:val="bottom"/>
          </w:tcPr>
          <w:p>
            <w:pPr>
              <w:spacing w:after="0"/>
              <w:rPr>
                <w:sz w:val="1"/>
                <w:szCs w:val="1"/>
                <w:color w:val="auto"/>
              </w:rPr>
            </w:pPr>
          </w:p>
        </w:tc>
      </w:tr>
      <w:tr>
        <w:trPr>
          <w:trHeight w:val="224"/>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payable</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24"/>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obligations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3,693.0</w:t>
            </w:r>
          </w:p>
        </w:tc>
        <w:tc>
          <w:tcPr>
            <w:tcW w:w="0" w:type="dxa"/>
            <w:vAlign w:val="bottom"/>
          </w:tcPr>
          <w:p>
            <w:pPr>
              <w:spacing w:after="0"/>
              <w:rPr>
                <w:sz w:val="1"/>
                <w:szCs w:val="1"/>
                <w:color w:val="auto"/>
              </w:rPr>
            </w:pPr>
          </w:p>
        </w:tc>
      </w:tr>
      <w:tr>
        <w:trPr>
          <w:trHeight w:val="224"/>
        </w:trPr>
        <w:tc>
          <w:tcPr>
            <w:tcW w:w="7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7,075.6</w:t>
            </w:r>
          </w:p>
        </w:tc>
        <w:tc>
          <w:tcPr>
            <w:tcW w:w="0" w:type="dxa"/>
            <w:vAlign w:val="bottom"/>
          </w:tcPr>
          <w:p>
            <w:pPr>
              <w:spacing w:after="0"/>
              <w:rPr>
                <w:sz w:val="1"/>
                <w:szCs w:val="1"/>
                <w:color w:val="auto"/>
              </w:rPr>
            </w:pPr>
          </w:p>
        </w:tc>
      </w:tr>
      <w:tr>
        <w:trPr>
          <w:trHeight w:val="217"/>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OBLIGATIONS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32,808.8</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6,875.6</w:t>
            </w:r>
          </w:p>
        </w:tc>
        <w:tc>
          <w:tcPr>
            <w:tcW w:w="0" w:type="dxa"/>
            <w:vAlign w:val="bottom"/>
          </w:tcPr>
          <w:p>
            <w:pPr>
              <w:spacing w:after="0"/>
              <w:rPr>
                <w:sz w:val="1"/>
                <w:szCs w:val="1"/>
                <w:color w:val="auto"/>
              </w:rPr>
            </w:pP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2,393.8</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0" w:type="dxa"/>
            <w:vAlign w:val="bottom"/>
          </w:tcPr>
          <w:p>
            <w:pPr>
              <w:spacing w:after="0"/>
              <w:rPr>
                <w:sz w:val="1"/>
                <w:szCs w:val="1"/>
                <w:color w:val="auto"/>
              </w:rPr>
            </w:pPr>
          </w:p>
        </w:tc>
      </w:tr>
      <w:tr>
        <w:trPr>
          <w:trHeight w:val="224"/>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52,835.1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51,428.7</w:t>
            </w:r>
          </w:p>
        </w:tc>
        <w:tc>
          <w:tcPr>
            <w:tcW w:w="0" w:type="dxa"/>
            <w:vAlign w:val="bottom"/>
          </w:tcPr>
          <w:p>
            <w:pPr>
              <w:spacing w:after="0"/>
              <w:rPr>
                <w:sz w:val="1"/>
                <w:szCs w:val="1"/>
                <w:color w:val="auto"/>
              </w:rPr>
            </w:pPr>
          </w:p>
        </w:tc>
      </w:tr>
      <w:tr>
        <w:trPr>
          <w:trHeight w:val="204"/>
        </w:trPr>
        <w:tc>
          <w:tcPr>
            <w:tcW w:w="70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(shares in thousands):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08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Common stock: $0.01 par value; 1,000,000 shares authorized; 479,358 and 478,388 shares</w:t>
            </w: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466,318 and 467,384 shares outstanding, respectively</w:t>
            </w: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15,057.3</w:t>
            </w:r>
          </w:p>
        </w:tc>
        <w:tc>
          <w:tcPr>
            <w:tcW w:w="0" w:type="dxa"/>
            <w:vAlign w:val="bottom"/>
          </w:tcPr>
          <w:p>
            <w:pPr>
              <w:spacing w:after="0"/>
              <w:rPr>
                <w:sz w:val="1"/>
                <w:szCs w:val="1"/>
                <w:color w:val="auto"/>
              </w:rPr>
            </w:pPr>
          </w:p>
        </w:tc>
      </w:tr>
      <w:tr>
        <w:trPr>
          <w:trHeight w:val="224"/>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in excess of earnings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(4,424.1)</w:t>
            </w:r>
          </w:p>
        </w:tc>
        <w:tc>
          <w:tcPr>
            <w:tcW w:w="0" w:type="dxa"/>
            <w:vAlign w:val="bottom"/>
          </w:tcPr>
          <w:p>
            <w:pPr>
              <w:spacing w:after="0"/>
              <w:rPr>
                <w:sz w:val="1"/>
                <w:szCs w:val="1"/>
                <w:color w:val="auto"/>
              </w:rPr>
            </w:pPr>
          </w:p>
        </w:tc>
      </w:tr>
      <w:tr>
        <w:trPr>
          <w:trHeight w:val="224"/>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(5,954.6)</w:t>
            </w:r>
          </w:p>
        </w:tc>
        <w:tc>
          <w:tcPr>
            <w:tcW w:w="0" w:type="dxa"/>
            <w:vAlign w:val="bottom"/>
          </w:tcPr>
          <w:p>
            <w:pPr>
              <w:spacing w:after="0"/>
              <w:rPr>
                <w:sz w:val="1"/>
                <w:szCs w:val="1"/>
                <w:color w:val="auto"/>
              </w:rPr>
            </w:pPr>
          </w:p>
        </w:tc>
      </w:tr>
      <w:tr>
        <w:trPr>
          <w:trHeight w:val="224"/>
        </w:trPr>
        <w:tc>
          <w:tcPr>
            <w:tcW w:w="7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Treasury stock (13,040 and 11,004 shares at cost, respectively)</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American Tower Corporation equity</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3,382.2</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6,266.5</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9,648.7</w:t>
            </w:r>
          </w:p>
        </w:tc>
        <w:tc>
          <w:tcPr>
            <w:tcW w:w="0" w:type="dxa"/>
            <w:vAlign w:val="bottom"/>
          </w:tcPr>
          <w:p>
            <w:pPr>
              <w:spacing w:after="0"/>
              <w:rPr>
                <w:sz w:val="1"/>
                <w:szCs w:val="1"/>
                <w:color w:val="auto"/>
              </w:rPr>
            </w:pPr>
          </w:p>
        </w:tc>
      </w:tr>
      <w:tr>
        <w:trPr>
          <w:trHeight w:val="217"/>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63,190.4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61,077.4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8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10,305.0</w:t>
            </w:r>
          </w:p>
        </w:tc>
        <w:tc>
          <w:tcPr>
            <w:tcW w:w="4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9,869.2</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7"/>
        </w:trPr>
        <w:tc>
          <w:tcPr>
            <w:tcW w:w="69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10,644.6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10,012.2</w:t>
            </w: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60"/>
              <w:spacing w:after="0" w:line="204" w:lineRule="exact"/>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of operations (exclusive of items shown separately below):</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Property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0" w:type="dxa"/>
            <w:vAlign w:val="bottom"/>
          </w:tcPr>
          <w:p>
            <w:pPr>
              <w:spacing w:after="0"/>
              <w:rPr>
                <w:sz w:val="1"/>
                <w:szCs w:val="1"/>
                <w:color w:val="auto"/>
              </w:rPr>
            </w:pPr>
          </w:p>
        </w:tc>
      </w:tr>
      <w:tr>
        <w:trPr>
          <w:trHeight w:val="224"/>
        </w:trPr>
        <w:tc>
          <w:tcPr>
            <w:tcW w:w="6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2,928.5</w:t>
            </w: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administrative and development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7"/>
        </w:trPr>
        <w:tc>
          <w:tcPr>
            <w:tcW w:w="69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6,886.7</w:t>
            </w:r>
          </w:p>
        </w:tc>
        <w:tc>
          <w:tcPr>
            <w:tcW w:w="0" w:type="dxa"/>
            <w:vAlign w:val="bottom"/>
          </w:tcPr>
          <w:p>
            <w:pPr>
              <w:spacing w:after="0"/>
              <w:rPr>
                <w:sz w:val="1"/>
                <w:szCs w:val="1"/>
                <w:color w:val="auto"/>
              </w:rPr>
            </w:pPr>
          </w:p>
        </w:tc>
      </w:tr>
      <w:tr>
        <w:trPr>
          <w:trHeight w:val="217"/>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3,125.5</w:t>
            </w: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0" w:type="dxa"/>
            <w:vAlign w:val="bottom"/>
          </w:tcPr>
          <w:p>
            <w:pPr>
              <w:spacing w:after="0"/>
              <w:rPr>
                <w:sz w:val="1"/>
                <w:szCs w:val="1"/>
                <w:color w:val="auto"/>
              </w:rPr>
            </w:pPr>
          </w:p>
        </w:tc>
      </w:tr>
      <w:tr>
        <w:trPr>
          <w:trHeight w:val="224"/>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retirement of long-term obligations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79"/>
        </w:trPr>
        <w:tc>
          <w:tcPr>
            <w:tcW w:w="6980" w:type="dxa"/>
            <w:vAlign w:val="bottom"/>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rPr>
              <w:t>Other (expense) income (including foreign currency (losses) gains of $(809.4), $308.3, and</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$(330.6) respectively)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17"/>
        </w:trPr>
        <w:tc>
          <w:tcPr>
            <w:tcW w:w="69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expense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0" w:type="dxa"/>
            <w:vAlign w:val="bottom"/>
          </w:tcPr>
          <w:p>
            <w:pPr>
              <w:spacing w:after="0"/>
              <w:rPr>
                <w:sz w:val="1"/>
                <w:szCs w:val="1"/>
                <w:color w:val="auto"/>
              </w:rPr>
            </w:pPr>
          </w:p>
        </w:tc>
      </w:tr>
      <w:tr>
        <w:trPr>
          <w:trHeight w:val="224"/>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0" w:type="dxa"/>
            <w:vAlign w:val="bottom"/>
          </w:tcPr>
          <w:p>
            <w:pPr>
              <w:spacing w:after="0"/>
              <w:rPr>
                <w:sz w:val="1"/>
                <w:szCs w:val="1"/>
                <w:color w:val="auto"/>
              </w:rPr>
            </w:pPr>
          </w:p>
        </w:tc>
      </w:tr>
      <w:tr>
        <w:trPr>
          <w:trHeight w:val="224"/>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w:t>
            </w:r>
          </w:p>
        </w:tc>
        <w:tc>
          <w:tcPr>
            <w:tcW w:w="0" w:type="dxa"/>
            <w:vAlign w:val="bottom"/>
          </w:tcPr>
          <w:p>
            <w:pPr>
              <w:spacing w:after="0"/>
              <w:rPr>
                <w:sz w:val="1"/>
                <w:szCs w:val="1"/>
                <w:color w:val="auto"/>
              </w:rPr>
            </w:pPr>
          </w:p>
        </w:tc>
      </w:tr>
      <w:tr>
        <w:trPr>
          <w:trHeight w:val="224"/>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159"/>
        </w:trPr>
        <w:tc>
          <w:tcPr>
            <w:tcW w:w="69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NET INCOME ATTRIBUTABLE TO AMERICAN TOWER CORPORATION COMMON</w:t>
            </w:r>
          </w:p>
        </w:tc>
        <w:tc>
          <w:tcPr>
            <w:tcW w:w="3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440" w:type="dxa"/>
            <w:vAlign w:val="bottom"/>
            <w:gridSpan w:val="3"/>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STOCKHOLDERS</w:t>
            </w:r>
          </w:p>
        </w:tc>
        <w:tc>
          <w:tcPr>
            <w:tcW w:w="3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Times New Roman" w:cs="Times New Roman" w:eastAsia="Times New Roman" w:hAnsi="Times New Roman"/>
                <w:sz w:val="18"/>
                <w:szCs w:val="18"/>
                <w:color w:val="auto"/>
              </w:rPr>
              <w:t>NET INCOME FROM CONTINUING OPERATIONS ATTRIBUTABLE TO AMERICAN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9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TOWER CORPORATION COMMON STOCKHOLDERS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4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0" w:type="dxa"/>
            <w:vAlign w:val="bottom"/>
          </w:tcPr>
          <w:p>
            <w:pPr>
              <w:spacing w:after="0"/>
              <w:rPr>
                <w:sz w:val="1"/>
                <w:szCs w:val="1"/>
                <w:color w:val="auto"/>
              </w:rPr>
            </w:pPr>
          </w:p>
        </w:tc>
      </w:tr>
      <w:tr>
        <w:trPr>
          <w:trHeight w:val="180"/>
        </w:trPr>
        <w:tc>
          <w:tcPr>
            <w:tcW w:w="69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NET LOSS FROM DISCONTINUED OPERATIONS ATTRIBUTABLE TO AMERICAN</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TOWER CORPORATION COMMON STOCKHOLDERS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AMOUNTS: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980" w:type="dxa"/>
            <w:vAlign w:val="bottom"/>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rPr>
              <w:t>Basic net income from continuing operations attributable to American Tower Corporation</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stockholders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44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179"/>
        </w:trPr>
        <w:tc>
          <w:tcPr>
            <w:tcW w:w="6980" w:type="dxa"/>
            <w:vAlign w:val="bottom"/>
          </w:tcPr>
          <w:p>
            <w:pPr>
              <w:ind w:left="340"/>
              <w:spacing w:after="0" w:line="179" w:lineRule="exact"/>
              <w:rPr>
                <w:sz w:val="20"/>
                <w:szCs w:val="20"/>
                <w:color w:val="auto"/>
              </w:rPr>
            </w:pPr>
            <w:r>
              <w:rPr>
                <w:rFonts w:ascii="Times New Roman" w:cs="Times New Roman" w:eastAsia="Times New Roman" w:hAnsi="Times New Roman"/>
                <w:sz w:val="18"/>
                <w:szCs w:val="18"/>
                <w:color w:val="auto"/>
              </w:rPr>
              <w:t>Basic net loss from discontinued operations attributable to American Tower Corporation</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common stockholders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42"/>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net income attributable to American Tower Corporation common stockholders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340"/>
              <w:spacing w:after="0" w:line="165" w:lineRule="exact"/>
              <w:rPr>
                <w:sz w:val="20"/>
                <w:szCs w:val="20"/>
                <w:color w:val="auto"/>
              </w:rPr>
            </w:pPr>
            <w:r>
              <w:rPr>
                <w:rFonts w:ascii="Times New Roman" w:cs="Times New Roman" w:eastAsia="Times New Roman" w:hAnsi="Times New Roman"/>
                <w:sz w:val="18"/>
                <w:szCs w:val="18"/>
                <w:color w:val="auto"/>
              </w:rPr>
              <w:t>Diluted net income from continuing operations attributable to American Tower Corporation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9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stockholders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4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80"/>
        </w:trPr>
        <w:tc>
          <w:tcPr>
            <w:tcW w:w="698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8"/>
                <w:szCs w:val="18"/>
                <w:color w:val="auto"/>
              </w:rPr>
              <w:t>Diluted net loss from discontinued operations attributable to American Tower Corporation</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stockholders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7"/>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net income attributable to American Tower Corporation common stockholders</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WEIGHTED AVERAGE COMMON SHARES OUTSTANDING (in thousands):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467,011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466,063</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468,120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467,162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9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4"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30480</wp:posOffset>
            </wp:positionV>
            <wp:extent cx="28441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5">
                      <a:extLst>
                        <a:ext uri="{28A0092B-C50C-407E-A947-70E740481C1C}"/>
                      </a:extLst>
                    </a:blip>
                    <a:srcRect/>
                    <a:stretch>
                      <a:fillRect/>
                    </a:stretch>
                  </pic:blipFill>
                  <pic:spPr bwMode="auto">
                    <a:xfrm>
                      <a:off x="0" y="0"/>
                      <a:ext cx="2844165" cy="8255"/>
                    </a:xfrm>
                    <a:prstGeom prst="rect">
                      <a:avLst/>
                    </a:prstGeom>
                    <a:noFill/>
                  </pic:spPr>
                </pic:pic>
              </a:graphicData>
            </a:graphic>
          </wp:anchor>
        </w:drawing>
      </w:r>
    </w:p>
    <w:p>
      <w:pPr>
        <w:spacing w:after="0" w:line="30" w:lineRule="exact"/>
        <w:rPr>
          <w:sz w:val="20"/>
          <w:szCs w:val="20"/>
          <w:color w:val="auto"/>
        </w:rPr>
      </w:pPr>
    </w:p>
    <w:p>
      <w:pPr>
        <w:jc w:val="both"/>
        <w:ind w:left="7340"/>
        <w:spacing w:after="0"/>
        <w:tabs>
          <w:tab w:leader="none" w:pos="8840" w:val="left"/>
          <w:tab w:leader="none" w:pos="103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ectPr>
          <w:pgSz w:w="11900" w:h="16838" w:orient="portrait"/>
          <w:cols w:equalWidth="0" w:num="1">
            <w:col w:w="11240"/>
          </w:cols>
          <w:pgMar w:left="320" w:top="121" w:right="339" w:bottom="1440" w:gutter="0" w:footer="0" w:header="0"/>
        </w:sectPr>
      </w:pPr>
    </w:p>
    <w:p>
      <w:pPr>
        <w:spacing w:after="0" w:line="43"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35495" cy="150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6">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comprehensive (loss) income:</w:t>
      </w:r>
    </w:p>
    <w:p>
      <w:pPr>
        <w:spacing w:after="0" w:line="17" w:lineRule="exact"/>
        <w:rPr>
          <w:sz w:val="20"/>
          <w:szCs w:val="20"/>
          <w:color w:val="auto"/>
        </w:rPr>
      </w:pPr>
    </w:p>
    <w:p>
      <w:pPr>
        <w:ind w:left="660" w:right="520"/>
        <w:spacing w:after="0" w:line="229" w:lineRule="auto"/>
        <w:rPr>
          <w:sz w:val="20"/>
          <w:szCs w:val="20"/>
          <w:color w:val="auto"/>
        </w:rPr>
      </w:pPr>
      <w:r>
        <w:rPr>
          <w:rFonts w:ascii="Times New Roman" w:cs="Times New Roman" w:eastAsia="Times New Roman" w:hAnsi="Times New Roman"/>
          <w:sz w:val="18"/>
          <w:szCs w:val="18"/>
          <w:color w:val="auto"/>
        </w:rPr>
        <w:t>Reclassification of cumulative translation adjustments associated with the sale of ATC TIPL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35495" cy="2590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7">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ind w:left="660" w:right="220"/>
        <w:spacing w:after="0" w:line="231" w:lineRule="auto"/>
        <w:rPr>
          <w:sz w:val="20"/>
          <w:szCs w:val="20"/>
          <w:color w:val="auto"/>
        </w:rPr>
      </w:pPr>
      <w:r>
        <w:rPr>
          <w:rFonts w:ascii="Times New Roman" w:cs="Times New Roman" w:eastAsia="Times New Roman" w:hAnsi="Times New Roman"/>
          <w:sz w:val="18"/>
          <w:szCs w:val="18"/>
          <w:color w:val="auto"/>
        </w:rPr>
        <w:t>Foreign currency translation adjustments, net of tax (benefit) expense of $0.5, $(0.8), and $0.3, respectively.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7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6"/>
              </w:rPr>
              <w:t>2,628.5</w:t>
            </w:r>
          </w:p>
        </w:tc>
        <w:tc>
          <w:tcPr>
            <w:tcW w:w="4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center"/>
              <w:ind w:left="232"/>
              <w:spacing w:after="0"/>
              <w:rPr>
                <w:sz w:val="20"/>
                <w:szCs w:val="20"/>
                <w:color w:val="auto"/>
              </w:rPr>
            </w:pPr>
            <w:r>
              <w:rPr>
                <w:rFonts w:ascii="Times New Roman" w:cs="Times New Roman" w:eastAsia="Times New Roman" w:hAnsi="Times New Roman"/>
                <w:sz w:val="18"/>
                <w:szCs w:val="18"/>
                <w:color w:val="auto"/>
                <w:w w:val="96"/>
              </w:rPr>
              <w:t>2,280.2</w:t>
            </w:r>
          </w:p>
        </w:tc>
        <w:tc>
          <w:tcPr>
            <w:tcW w:w="80" w:type="dxa"/>
            <w:vAlign w:val="bottom"/>
          </w:tcPr>
          <w:p>
            <w:pPr>
              <w:spacing w:after="0"/>
              <w:rPr>
                <w:sz w:val="21"/>
                <w:szCs w:val="21"/>
                <w:color w:val="auto"/>
              </w:rPr>
            </w:pPr>
          </w:p>
        </w:tc>
        <w:tc>
          <w:tcPr>
            <w:tcW w:w="4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1,367.1</w:t>
            </w:r>
          </w:p>
        </w:tc>
      </w:tr>
      <w:tr>
        <w:trPr>
          <w:trHeight w:val="627"/>
        </w:trPr>
        <w:tc>
          <w:tcPr>
            <w:tcW w:w="7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0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7"/>
        </w:trPr>
        <w:tc>
          <w:tcPr>
            <w:tcW w:w="7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6"/>
              </w:rPr>
              <w:t>1,598.8</w:t>
            </w:r>
          </w:p>
        </w:tc>
        <w:tc>
          <w:tcPr>
            <w:tcW w:w="440" w:type="dxa"/>
            <w:vAlign w:val="bottom"/>
          </w:tcPr>
          <w:p>
            <w:pPr>
              <w:spacing w:after="0"/>
              <w:rPr>
                <w:sz w:val="24"/>
                <w:szCs w:val="24"/>
                <w:color w:val="auto"/>
              </w:rPr>
            </w:pP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6"/>
              </w:rPr>
              <w:t>(1,521.5)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bl>
    <w:p>
      <w:pPr>
        <w:spacing w:after="0" w:line="1" w:lineRule="exact"/>
        <w:rPr>
          <w:sz w:val="20"/>
          <w:szCs w:val="20"/>
          <w:color w:val="auto"/>
        </w:rPr>
      </w:pPr>
    </w:p>
    <w:p>
      <w:pPr>
        <w:sectPr>
          <w:pgSz w:w="11900" w:h="16838" w:orient="portrait"/>
          <w:cols w:equalWidth="0" w:num="2">
            <w:col w:w="6860" w:space="720"/>
            <w:col w:w="36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1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w:t>
            </w:r>
          </w:p>
        </w:tc>
      </w:tr>
      <w:tr>
        <w:trPr>
          <w:trHeight w:val="22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American Tower Corporation stockholders</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1,462.1</w:t>
            </w:r>
          </w:p>
        </w:tc>
      </w:tr>
      <w:tr>
        <w:trPr>
          <w:trHeight w:val="20"/>
        </w:trPr>
        <w:tc>
          <w:tcPr>
            <w:tcW w:w="6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4" w:lineRule="exact"/>
        <w:rPr>
          <w:sz w:val="20"/>
          <w:szCs w:val="20"/>
          <w:color w:val="auto"/>
        </w:rPr>
      </w:pPr>
    </w:p>
    <w:p>
      <w:pPr>
        <w:jc w:val="right"/>
        <w:ind w:right="3200"/>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4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share counts in thousands)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JANUARY 1, 2023</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Stock-based compensation related activity</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Issuance of common stock—stock purchase plan</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Contributions from noncontrolling interest holders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Common stock distributions declared</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 (loss)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DECEMBER 31, 2023</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Stock-based compensation related activity</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Issuance of common stock—stock purchase plan</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Reclassification of cumulative translation adjustments associated with sale of</w:t>
      </w:r>
    </w:p>
    <w:p>
      <w:pPr>
        <w:ind w:left="40"/>
        <w:spacing w:after="0"/>
        <w:rPr>
          <w:sz w:val="20"/>
          <w:szCs w:val="20"/>
          <w:color w:val="auto"/>
        </w:rPr>
      </w:pPr>
      <w:r>
        <w:rPr>
          <w:rFonts w:ascii="Times New Roman" w:cs="Times New Roman" w:eastAsia="Times New Roman" w:hAnsi="Times New Roman"/>
          <w:sz w:val="14"/>
          <w:szCs w:val="14"/>
          <w:color w:val="auto"/>
        </w:rPr>
        <w:t>ATC TIPL</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Contributions from noncontrolling interest holders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Common stock distributions declared</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2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0" w:type="dxa"/>
            <w:vAlign w:val="bottom"/>
            <w:vMerge w:val="restart"/>
          </w:tcPr>
          <w:p>
            <w:pPr>
              <w:spacing w:after="0"/>
              <w:rPr>
                <w:sz w:val="12"/>
                <w:szCs w:val="12"/>
                <w:color w:val="auto"/>
              </w:rPr>
            </w:pPr>
          </w:p>
        </w:tc>
        <w:tc>
          <w:tcPr>
            <w:tcW w:w="136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760" w:type="dxa"/>
            <w:vAlign w:val="bottom"/>
            <w:vMerge w:val="restart"/>
          </w:tcPr>
          <w:p>
            <w:pPr>
              <w:jc w:val="right"/>
              <w:ind w:right="11"/>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200" w:type="dxa"/>
            <w:vAlign w:val="bottom"/>
            <w:tcBorders>
              <w:bottom w:val="single" w:sz="8" w:color="auto"/>
            </w:tcBorders>
            <w:gridSpan w:val="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60" w:type="dxa"/>
            <w:vAlign w:val="bottom"/>
            <w:tcBorders>
              <w:bottom w:val="single" w:sz="8" w:color="auto"/>
            </w:tcBorders>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jc w:val="center"/>
              <w:ind w:right="131"/>
              <w:spacing w:after="0" w:line="92" w:lineRule="exact"/>
              <w:rPr>
                <w:sz w:val="20"/>
                <w:szCs w:val="20"/>
                <w:color w:val="auto"/>
              </w:rPr>
            </w:pPr>
            <w:r>
              <w:rPr>
                <w:rFonts w:ascii="Times New Roman" w:cs="Times New Roman" w:eastAsia="Times New Roman" w:hAnsi="Times New Roman"/>
                <w:sz w:val="10"/>
                <w:szCs w:val="10"/>
                <w:b w:val="1"/>
                <w:bCs w:val="1"/>
                <w:color w:val="auto"/>
              </w:rPr>
              <w:t>Other</w:t>
            </w:r>
          </w:p>
        </w:tc>
        <w:tc>
          <w:tcPr>
            <w:tcW w:w="8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40" w:type="dxa"/>
            <w:vAlign w:val="bottom"/>
          </w:tcPr>
          <w:p>
            <w:pPr>
              <w:jc w:val="right"/>
              <w:ind w:right="91"/>
              <w:spacing w:after="0" w:line="132" w:lineRule="exact"/>
              <w:rPr>
                <w:sz w:val="20"/>
                <w:szCs w:val="20"/>
                <w:color w:val="auto"/>
              </w:rPr>
            </w:pPr>
            <w:r>
              <w:rPr>
                <w:rFonts w:ascii="Times New Roman" w:cs="Times New Roman" w:eastAsia="Times New Roman" w:hAnsi="Times New Roman"/>
                <w:sz w:val="12"/>
                <w:szCs w:val="12"/>
                <w:b w:val="1"/>
                <w:bCs w:val="1"/>
                <w:color w:val="auto"/>
              </w:rPr>
              <w:t>Issued</w:t>
            </w:r>
          </w:p>
        </w:tc>
        <w:tc>
          <w:tcPr>
            <w:tcW w:w="6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vMerge w:val="restart"/>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60" w:type="dxa"/>
            <w:vAlign w:val="bottom"/>
          </w:tcPr>
          <w:p>
            <w:pPr>
              <w:jc w:val="right"/>
              <w:ind w:right="91"/>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20" w:type="dxa"/>
            <w:vAlign w:val="bottom"/>
            <w:gridSpan w:val="2"/>
          </w:tcPr>
          <w:p>
            <w:pPr>
              <w:jc w:val="right"/>
              <w:ind w:right="30"/>
              <w:spacing w:after="0" w:line="132" w:lineRule="exact"/>
              <w:rPr>
                <w:sz w:val="20"/>
                <w:szCs w:val="20"/>
                <w:color w:val="auto"/>
              </w:rPr>
            </w:pPr>
            <w:r>
              <w:rPr>
                <w:rFonts w:ascii="Times New Roman" w:cs="Times New Roman" w:eastAsia="Times New Roman" w:hAnsi="Times New Roman"/>
                <w:sz w:val="12"/>
                <w:szCs w:val="12"/>
                <w:b w:val="1"/>
                <w:bCs w:val="1"/>
                <w:color w:val="auto"/>
              </w:rPr>
              <w:t>in Excess of</w:t>
            </w:r>
          </w:p>
        </w:tc>
        <w:tc>
          <w:tcPr>
            <w:tcW w:w="9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680" w:type="dxa"/>
            <w:vAlign w:val="bottom"/>
          </w:tcPr>
          <w:p>
            <w:pPr>
              <w:jc w:val="right"/>
              <w:ind w:right="111"/>
              <w:spacing w:after="0" w:line="132"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6"/>
        </w:trPr>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2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2"/>
                <w:szCs w:val="12"/>
                <w:b w:val="1"/>
                <w:bCs w:val="1"/>
                <w:color w:val="auto"/>
              </w:rPr>
              <w:t>Loss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89"/>
        </w:trPr>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476,623</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(11,004)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(1,301.2)</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$ 14,689.0</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(5,718.3)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6,836.1</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$ 12,408.5</w:t>
            </w:r>
          </w:p>
        </w:tc>
        <w:tc>
          <w:tcPr>
            <w:tcW w:w="0" w:type="dxa"/>
            <w:vAlign w:val="bottom"/>
          </w:tcPr>
          <w:p>
            <w:pPr>
              <w:spacing w:after="0"/>
              <w:rPr>
                <w:sz w:val="1"/>
                <w:szCs w:val="1"/>
                <w:color w:val="auto"/>
              </w:rPr>
            </w:pPr>
          </w:p>
        </w:tc>
      </w:tr>
      <w:tr>
        <w:trPr>
          <w:trHeight w:val="183"/>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586</w:t>
            </w:r>
          </w:p>
        </w:tc>
        <w:tc>
          <w:tcPr>
            <w:tcW w:w="240" w:type="dxa"/>
            <w:vAlign w:val="bottom"/>
          </w:tcPr>
          <w:p>
            <w:pPr>
              <w:spacing w:after="0"/>
              <w:rPr>
                <w:sz w:val="15"/>
                <w:szCs w:val="15"/>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169.6</w:t>
            </w:r>
          </w:p>
        </w:tc>
        <w:tc>
          <w:tcPr>
            <w:tcW w:w="22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0" w:type="dxa"/>
            <w:vAlign w:val="bottom"/>
          </w:tcPr>
          <w:p>
            <w:pPr>
              <w:spacing w:after="0"/>
              <w:rPr>
                <w:sz w:val="1"/>
                <w:szCs w:val="1"/>
                <w:color w:val="auto"/>
              </w:rPr>
            </w:pPr>
          </w:p>
        </w:tc>
      </w:tr>
      <w:tr>
        <w:trPr>
          <w:trHeight w:val="18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tcPr>
          <w:p>
            <w:pPr>
              <w:spacing w:after="0"/>
              <w:rPr>
                <w:sz w:val="16"/>
                <w:szCs w:val="16"/>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spacing w:after="0"/>
              <w:rPr>
                <w:sz w:val="16"/>
                <w:szCs w:val="16"/>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14.3</w:t>
            </w:r>
          </w:p>
        </w:tc>
        <w:tc>
          <w:tcPr>
            <w:tcW w:w="22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9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6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81.4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9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12.7</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(146.8)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0" w:type="dxa"/>
            <w:vAlign w:val="bottom"/>
          </w:tcPr>
          <w:p>
            <w:pPr>
              <w:spacing w:after="0"/>
              <w:rPr>
                <w:sz w:val="1"/>
                <w:szCs w:val="1"/>
                <w:color w:val="auto"/>
              </w:rPr>
            </w:pPr>
          </w:p>
        </w:tc>
      </w:tr>
      <w:tr>
        <w:trPr>
          <w:trHeight w:val="19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(3,020.2)</w:t>
            </w:r>
          </w:p>
        </w:tc>
        <w:tc>
          <w:tcPr>
            <w:tcW w:w="180" w:type="dxa"/>
            <w:vAlign w:val="bottom"/>
          </w:tcPr>
          <w:p>
            <w:pPr>
              <w:spacing w:after="0"/>
              <w:rPr>
                <w:sz w:val="17"/>
                <w:szCs w:val="17"/>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(3,020.2)</w:t>
            </w:r>
          </w:p>
        </w:tc>
        <w:tc>
          <w:tcPr>
            <w:tcW w:w="0" w:type="dxa"/>
            <w:vAlign w:val="bottom"/>
          </w:tcPr>
          <w:p>
            <w:pPr>
              <w:spacing w:after="0"/>
              <w:rPr>
                <w:sz w:val="1"/>
                <w:szCs w:val="1"/>
                <w:color w:val="auto"/>
              </w:rPr>
            </w:pPr>
          </w:p>
        </w:tc>
      </w:tr>
      <w:tr>
        <w:trPr>
          <w:trHeight w:val="19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1,483.3</w:t>
            </w:r>
          </w:p>
        </w:tc>
        <w:tc>
          <w:tcPr>
            <w:tcW w:w="180" w:type="dxa"/>
            <w:vAlign w:val="bottom"/>
          </w:tcPr>
          <w:p>
            <w:pPr>
              <w:spacing w:after="0"/>
              <w:rPr>
                <w:sz w:val="17"/>
                <w:szCs w:val="17"/>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(116.2)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1,367.1</w:t>
            </w:r>
          </w:p>
        </w:tc>
        <w:tc>
          <w:tcPr>
            <w:tcW w:w="0" w:type="dxa"/>
            <w:vAlign w:val="bottom"/>
          </w:tcPr>
          <w:p>
            <w:pPr>
              <w:spacing w:after="0"/>
              <w:rPr>
                <w:sz w:val="1"/>
                <w:szCs w:val="1"/>
                <w:color w:val="auto"/>
              </w:rPr>
            </w:pPr>
          </w:p>
        </w:tc>
      </w:tr>
      <w:tr>
        <w:trPr>
          <w:trHeight w:val="24"/>
        </w:trPr>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477,300</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(11,004)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(1,301.2)</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$ 14,872.9</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(5,739.5)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(3,638.8)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6,667.2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$ 10,865.4</w:t>
            </w:r>
          </w:p>
        </w:tc>
        <w:tc>
          <w:tcPr>
            <w:tcW w:w="0" w:type="dxa"/>
            <w:vAlign w:val="bottom"/>
          </w:tcPr>
          <w:p>
            <w:pPr>
              <w:spacing w:after="0"/>
              <w:rPr>
                <w:sz w:val="1"/>
                <w:szCs w:val="1"/>
                <w:color w:val="auto"/>
              </w:rPr>
            </w:pPr>
          </w:p>
        </w:tc>
      </w:tr>
      <w:tr>
        <w:trPr>
          <w:trHeight w:val="183"/>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998</w:t>
            </w:r>
          </w:p>
        </w:tc>
        <w:tc>
          <w:tcPr>
            <w:tcW w:w="240" w:type="dxa"/>
            <w:vAlign w:val="bottom"/>
          </w:tcPr>
          <w:p>
            <w:pPr>
              <w:spacing w:after="0"/>
              <w:rPr>
                <w:sz w:val="15"/>
                <w:szCs w:val="15"/>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169.3</w:t>
            </w:r>
          </w:p>
        </w:tc>
        <w:tc>
          <w:tcPr>
            <w:tcW w:w="220" w:type="dxa"/>
            <w:vAlign w:val="bottom"/>
          </w:tcPr>
          <w:p>
            <w:pPr>
              <w:spacing w:after="0"/>
              <w:rPr>
                <w:sz w:val="15"/>
                <w:szCs w:val="15"/>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18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tcPr>
          <w:p>
            <w:pPr>
              <w:spacing w:after="0"/>
              <w:rPr>
                <w:sz w:val="16"/>
                <w:szCs w:val="16"/>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spacing w:after="0"/>
              <w:rPr>
                <w:sz w:val="16"/>
                <w:szCs w:val="16"/>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(1,287.4)</w:t>
            </w:r>
          </w:p>
        </w:tc>
        <w:tc>
          <w:tcPr>
            <w:tcW w:w="16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(234.1)</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(1,521.5)</w:t>
            </w:r>
          </w:p>
        </w:tc>
        <w:tc>
          <w:tcPr>
            <w:tcW w:w="0" w:type="dxa"/>
            <w:vAlign w:val="bottom"/>
          </w:tcPr>
          <w:p>
            <w:pPr>
              <w:spacing w:after="0"/>
              <w:rPr>
                <w:sz w:val="1"/>
                <w:szCs w:val="1"/>
                <w:color w:val="auto"/>
              </w:rPr>
            </w:pPr>
          </w:p>
        </w:tc>
      </w:tr>
      <w:tr>
        <w:trPr>
          <w:trHeight w:val="329"/>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1,072.3</w:t>
            </w:r>
          </w:p>
        </w:tc>
        <w:tc>
          <w:tcPr>
            <w:tcW w:w="16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1,072.3</w:t>
            </w:r>
          </w:p>
        </w:tc>
        <w:tc>
          <w:tcPr>
            <w:tcW w:w="0" w:type="dxa"/>
            <w:vAlign w:val="bottom"/>
          </w:tcPr>
          <w:p>
            <w:pPr>
              <w:spacing w:after="0"/>
              <w:rPr>
                <w:sz w:val="1"/>
                <w:szCs w:val="1"/>
                <w:color w:val="auto"/>
              </w:rPr>
            </w:pPr>
          </w:p>
        </w:tc>
      </w:tr>
      <w:tr>
        <w:trPr>
          <w:trHeight w:val="19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154.6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0" w:type="dxa"/>
            <w:vAlign w:val="bottom"/>
          </w:tcPr>
          <w:p>
            <w:pPr>
              <w:spacing w:after="0"/>
              <w:rPr>
                <w:sz w:val="1"/>
                <w:szCs w:val="1"/>
                <w:color w:val="auto"/>
              </w:rPr>
            </w:pPr>
          </w:p>
        </w:tc>
      </w:tr>
      <w:tr>
        <w:trPr>
          <w:trHeight w:val="19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(346.4)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0" w:type="dxa"/>
            <w:vAlign w:val="bottom"/>
          </w:tcPr>
          <w:p>
            <w:pPr>
              <w:spacing w:after="0"/>
              <w:rPr>
                <w:sz w:val="1"/>
                <w:szCs w:val="1"/>
                <w:color w:val="auto"/>
              </w:rPr>
            </w:pPr>
          </w:p>
        </w:tc>
      </w:tr>
      <w:tr>
        <w:trPr>
          <w:trHeight w:val="19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(3,040.3)</w:t>
            </w:r>
          </w:p>
        </w:tc>
        <w:tc>
          <w:tcPr>
            <w:tcW w:w="180" w:type="dxa"/>
            <w:vAlign w:val="bottom"/>
          </w:tcPr>
          <w:p>
            <w:pPr>
              <w:spacing w:after="0"/>
              <w:rPr>
                <w:sz w:val="17"/>
                <w:szCs w:val="17"/>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(3,040.3)</w:t>
            </w:r>
          </w:p>
        </w:tc>
        <w:tc>
          <w:tcPr>
            <w:tcW w:w="0" w:type="dxa"/>
            <w:vAlign w:val="bottom"/>
          </w:tcPr>
          <w:p>
            <w:pPr>
              <w:spacing w:after="0"/>
              <w:rPr>
                <w:sz w:val="1"/>
                <w:szCs w:val="1"/>
                <w:color w:val="auto"/>
              </w:rPr>
            </w:pPr>
          </w:p>
        </w:tc>
      </w:tr>
      <w:tr>
        <w:trPr>
          <w:trHeight w:val="198"/>
        </w:trPr>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2,255.0</w:t>
            </w:r>
          </w:p>
        </w:tc>
        <w:tc>
          <w:tcPr>
            <w:tcW w:w="180" w:type="dxa"/>
            <w:vAlign w:val="bottom"/>
          </w:tcPr>
          <w:p>
            <w:pPr>
              <w:spacing w:after="0"/>
              <w:rPr>
                <w:sz w:val="17"/>
                <w:szCs w:val="17"/>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25.2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-2234565</wp:posOffset>
            </wp:positionV>
            <wp:extent cx="7118985" cy="133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9">
                      <a:extLst>
                        <a:ext uri="{28A0092B-C50C-407E-A947-70E740481C1C}"/>
                      </a:extLst>
                    </a:blip>
                    <a:srcRect/>
                    <a:stretch>
                      <a:fillRect/>
                    </a:stretch>
                  </pic:blipFill>
                  <pic:spPr bwMode="auto">
                    <a:xfrm>
                      <a:off x="0" y="0"/>
                      <a:ext cx="7118985" cy="13398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-1966595</wp:posOffset>
            </wp:positionV>
            <wp:extent cx="7118985" cy="1257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0">
                      <a:extLst>
                        <a:ext uri="{28A0092B-C50C-407E-A947-70E740481C1C}"/>
                      </a:extLst>
                    </a:blip>
                    <a:srcRect/>
                    <a:stretch>
                      <a:fillRect/>
                    </a:stretch>
                  </pic:blipFill>
                  <pic:spPr bwMode="auto">
                    <a:xfrm>
                      <a:off x="0" y="0"/>
                      <a:ext cx="7118985" cy="12573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-1715770</wp:posOffset>
            </wp:positionV>
            <wp:extent cx="7118985" cy="1257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1">
                      <a:extLst>
                        <a:ext uri="{28A0092B-C50C-407E-A947-70E740481C1C}"/>
                      </a:extLst>
                    </a:blip>
                    <a:srcRect/>
                    <a:stretch>
                      <a:fillRect/>
                    </a:stretch>
                  </pic:blipFill>
                  <pic:spPr bwMode="auto">
                    <a:xfrm>
                      <a:off x="0" y="0"/>
                      <a:ext cx="7118985" cy="12573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-1464945</wp:posOffset>
            </wp:positionV>
            <wp:extent cx="7118985" cy="1257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2">
                      <a:extLst>
                        <a:ext uri="{28A0092B-C50C-407E-A947-70E740481C1C}"/>
                      </a:extLst>
                    </a:blip>
                    <a:srcRect/>
                    <a:stretch>
                      <a:fillRect/>
                    </a:stretch>
                  </pic:blipFill>
                  <pic:spPr bwMode="auto">
                    <a:xfrm>
                      <a:off x="0" y="0"/>
                      <a:ext cx="7118985" cy="12573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-1214120</wp:posOffset>
            </wp:positionV>
            <wp:extent cx="7118985" cy="133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3">
                      <a:extLst>
                        <a:ext uri="{28A0092B-C50C-407E-A947-70E740481C1C}"/>
                      </a:extLst>
                    </a:blip>
                    <a:srcRect/>
                    <a:stretch>
                      <a:fillRect/>
                    </a:stretch>
                  </pic:blipFill>
                  <pic:spPr bwMode="auto">
                    <a:xfrm>
                      <a:off x="0" y="0"/>
                      <a:ext cx="7118985" cy="13398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-946150</wp:posOffset>
            </wp:positionV>
            <wp:extent cx="7118985" cy="1257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4">
                      <a:extLst>
                        <a:ext uri="{28A0092B-C50C-407E-A947-70E740481C1C}"/>
                      </a:extLst>
                    </a:blip>
                    <a:srcRect/>
                    <a:stretch>
                      <a:fillRect/>
                    </a:stretch>
                  </pic:blipFill>
                  <pic:spPr bwMode="auto">
                    <a:xfrm>
                      <a:off x="0" y="0"/>
                      <a:ext cx="7118985" cy="12573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-695325</wp:posOffset>
            </wp:positionV>
            <wp:extent cx="7118985" cy="2089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5">
                      <a:extLst>
                        <a:ext uri="{28A0092B-C50C-407E-A947-70E740481C1C}"/>
                      </a:extLst>
                    </a:blip>
                    <a:srcRect/>
                    <a:stretch>
                      <a:fillRect/>
                    </a:stretch>
                  </pic:blipFill>
                  <pic:spPr bwMode="auto">
                    <a:xfrm>
                      <a:off x="0" y="0"/>
                      <a:ext cx="7118985" cy="20891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-360680</wp:posOffset>
            </wp:positionV>
            <wp:extent cx="7118985" cy="1257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6">
                      <a:extLst>
                        <a:ext uri="{28A0092B-C50C-407E-A947-70E740481C1C}"/>
                      </a:extLst>
                    </a:blip>
                    <a:srcRect/>
                    <a:stretch>
                      <a:fillRect/>
                    </a:stretch>
                  </pic:blipFill>
                  <pic:spPr bwMode="auto">
                    <a:xfrm>
                      <a:off x="0" y="0"/>
                      <a:ext cx="7118985" cy="12573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-109855</wp:posOffset>
            </wp:positionV>
            <wp:extent cx="7118985" cy="1257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7">
                      <a:extLst>
                        <a:ext uri="{28A0092B-C50C-407E-A947-70E740481C1C}"/>
                      </a:extLst>
                    </a:blip>
                    <a:srcRect/>
                    <a:stretch>
                      <a:fillRect/>
                    </a:stretch>
                  </pic:blipFill>
                  <pic:spPr bwMode="auto">
                    <a:xfrm>
                      <a:off x="0" y="0"/>
                      <a:ext cx="7118985" cy="12573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4380" w:space="100"/>
            <w:col w:w="674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478,388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4.8</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(11,004)</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 (1,301.2)</w:t>
            </w: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$ 15,057.3</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(5,954.6)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(4,424.1)</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6,266.5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9,648.7</w:t>
            </w:r>
          </w:p>
        </w:tc>
      </w:tr>
      <w:tr>
        <w:trPr>
          <w:trHeight w:val="19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related activity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r>
      <w:tr>
        <w:trPr>
          <w:trHeight w:val="19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stock—stock purchase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20" w:type="dxa"/>
            <w:vAlign w:val="bottom"/>
          </w:tcPr>
          <w:p>
            <w:pPr>
              <w:spacing w:after="0"/>
              <w:rPr>
                <w:sz w:val="16"/>
                <w:szCs w:val="16"/>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0.0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20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activity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w:t>
            </w:r>
          </w:p>
        </w:tc>
      </w:tr>
      <w:tr>
        <w:trPr>
          <w:trHeight w:val="19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1,138.8</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1,598.8</w:t>
            </w:r>
          </w:p>
        </w:tc>
      </w:tr>
      <w:tr>
        <w:trPr>
          <w:trHeight w:val="20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 holders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r>
      <w:tr>
        <w:trPr>
          <w:trHeight w:val="19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w:t>
            </w:r>
          </w:p>
        </w:tc>
      </w:tr>
      <w:tr>
        <w:trPr>
          <w:trHeight w:val="20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distributions declared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(3,191.4)</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(3,191.4)</w:t>
            </w:r>
          </w:p>
        </w:tc>
      </w:tr>
      <w:tr>
        <w:trPr>
          <w:trHeight w:val="191"/>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2,529.5</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2,628.5</w:t>
            </w:r>
          </w:p>
        </w:tc>
      </w:tr>
      <w:tr>
        <w:trPr>
          <w:trHeight w:val="19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2025</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479,358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4.8</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(13,040)</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 (1,665.8)</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$ 15,215.3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6,702.8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10,355.3</w:t>
            </w: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3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7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0"/>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2,280.2</w:t>
            </w:r>
          </w:p>
        </w:tc>
        <w:tc>
          <w:tcPr>
            <w:tcW w:w="12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1,367.1</w:t>
            </w:r>
          </w:p>
        </w:tc>
      </w:tr>
      <w:tr>
        <w:trPr>
          <w:trHeight w:val="205"/>
        </w:trPr>
        <w:tc>
          <w:tcPr>
            <w:tcW w:w="7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cash provided by operating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3,086.5</w:t>
            </w:r>
          </w:p>
        </w:tc>
      </w:tr>
      <w:tr>
        <w:trPr>
          <w:trHeight w:val="205"/>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w:t>
            </w:r>
          </w:p>
        </w:tc>
      </w:tr>
      <w:tr>
        <w:trPr>
          <w:trHeight w:val="19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Loss (gain) on investments, unrealized foreign currency loss (gain) and other non-cash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w:t>
            </w:r>
          </w:p>
        </w:tc>
      </w:tr>
      <w:tr>
        <w:trPr>
          <w:trHeight w:val="205"/>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Impairments, net loss on sale of long-lived assets, non-cash restructuring and merger related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739.9</w:t>
            </w:r>
          </w:p>
        </w:tc>
      </w:tr>
      <w:tr>
        <w:trPr>
          <w:trHeight w:val="19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Loss on early retirement of long-term obligations</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05"/>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Loss on sale of ATC TIPL</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Amortization of deferred financing costs, debt discounts and premiums and other non-cash interest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r>
      <w:tr>
        <w:trPr>
          <w:trHeight w:val="205"/>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r>
      <w:tr>
        <w:trPr>
          <w:trHeight w:val="190"/>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5"/>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r>
      <w:tr>
        <w:trPr>
          <w:trHeight w:val="19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Prepaid and other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w:t>
            </w:r>
          </w:p>
        </w:tc>
      </w:tr>
      <w:tr>
        <w:trPr>
          <w:trHeight w:val="205"/>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Deferred rent asset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w:t>
            </w:r>
          </w:p>
        </w:tc>
      </w:tr>
      <w:tr>
        <w:trPr>
          <w:trHeight w:val="19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Right-of-use asset and Operating lease liability, net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r>
      <w:tr>
        <w:trPr>
          <w:trHeight w:val="205"/>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0"/>
        </w:trPr>
        <w:tc>
          <w:tcPr>
            <w:tcW w:w="72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Accrued interest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r>
      <w:tr>
        <w:trPr>
          <w:trHeight w:val="205"/>
        </w:trPr>
        <w:tc>
          <w:tcPr>
            <w:tcW w:w="7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Unearned revenue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191"/>
        </w:trPr>
        <w:tc>
          <w:tcPr>
            <w:tcW w:w="72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198"/>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4,722.4</w:t>
            </w:r>
          </w:p>
        </w:tc>
      </w:tr>
      <w:tr>
        <w:trPr>
          <w:trHeight w:val="17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5"/>
        </w:trPr>
        <w:tc>
          <w:tcPr>
            <w:tcW w:w="7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for purchase of property and equipment and construction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(1,798.1)</w:t>
            </w:r>
          </w:p>
        </w:tc>
      </w:tr>
      <w:tr>
        <w:trPr>
          <w:trHeight w:val="190"/>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Payments for acquisitions, net of cash acquired</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r>
      <w:tr>
        <w:trPr>
          <w:trHeight w:val="205"/>
        </w:trPr>
        <w:tc>
          <w:tcPr>
            <w:tcW w:w="7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sales of short-term investments and other non-current assets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90"/>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Proceeds from the sale of ATC TIPL</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Deposits and other</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w:t>
            </w:r>
          </w:p>
        </w:tc>
      </w:tr>
      <w:tr>
        <w:trPr>
          <w:trHeight w:val="184"/>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(used for) provided by investing activities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(1,859.8)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(1,695.5)</w:t>
            </w:r>
          </w:p>
        </w:tc>
      </w:tr>
      <w:tr>
        <w:trPr>
          <w:trHeight w:val="184"/>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0"/>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Proceeds from short-term borrowings, net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w:t>
            </w:r>
          </w:p>
        </w:tc>
      </w:tr>
      <w:tr>
        <w:trPr>
          <w:trHeight w:val="205"/>
        </w:trPr>
        <w:tc>
          <w:tcPr>
            <w:tcW w:w="7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Borrowings under credit facilities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6,120.0</w:t>
            </w:r>
          </w:p>
        </w:tc>
      </w:tr>
      <w:tr>
        <w:trPr>
          <w:trHeight w:val="190"/>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Proceeds from issuance of senior notes, net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5,678.3</w:t>
            </w:r>
          </w:p>
        </w:tc>
      </w:tr>
      <w:tr>
        <w:trPr>
          <w:trHeight w:val="205"/>
        </w:trPr>
        <w:tc>
          <w:tcPr>
            <w:tcW w:w="7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securities in securitization transaction</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w:t>
            </w:r>
          </w:p>
        </w:tc>
      </w:tr>
      <w:tr>
        <w:trPr>
          <w:trHeight w:val="190"/>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Repayments of notes payable, credit facilities, senior notes, secured debt, term loans and finance leases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(13,230.3)</w:t>
            </w:r>
          </w:p>
        </w:tc>
      </w:tr>
      <w:tr>
        <w:trPr>
          <w:trHeight w:val="205"/>
        </w:trPr>
        <w:tc>
          <w:tcPr>
            <w:tcW w:w="7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Contributions from noncontrolling interest holders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0"/>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205"/>
        </w:trPr>
        <w:tc>
          <w:tcPr>
            <w:tcW w:w="7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Proceeds from stock options and employee stock purchase plan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205"/>
        </w:trPr>
        <w:tc>
          <w:tcPr>
            <w:tcW w:w="7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Distributions paid on common stock</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(2,949.3)</w:t>
            </w:r>
          </w:p>
        </w:tc>
      </w:tr>
      <w:tr>
        <w:trPr>
          <w:trHeight w:val="191"/>
        </w:trPr>
        <w:tc>
          <w:tcPr>
            <w:tcW w:w="72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Deferred financing costs and other financing activities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r>
      <w:tr>
        <w:trPr>
          <w:trHeight w:val="198"/>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used for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(3,097.4)</w:t>
            </w:r>
          </w:p>
        </w:tc>
      </w:tr>
      <w:tr>
        <w:trPr>
          <w:trHeight w:val="184"/>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effect of changes in foreign currency exchange rates on cash and cash equivalents, and restricted cash</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98"/>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91"/>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YEAR</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2,108.2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2,140.7</w:t>
            </w:r>
          </w:p>
        </w:tc>
      </w:tr>
      <w:tr>
        <w:trPr>
          <w:trHeight w:val="21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YEAR</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3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BUSINESS AND SUMMARY OF SIGNIFICANT ACCOUNTING POLICIES</w:t>
      </w:r>
    </w:p>
    <w:p>
      <w:pPr>
        <w:spacing w:after="0" w:line="17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—American Tower Corporation (together with its subsidiaries, “ATC” or the “Company”) is one of the largest global real estate investment trusts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leading independent owner, operator and developer of multitenant communications real estate. The Company’s primary business is the leasing of space on communications sites to wireless service providers, radio and television broadcast companies, wireless data providers, government agencies and municipalities and tenants in a number of other industries. The Company refers to this business, inclusive of its data center business discussed below, as its property operations. Additionally, the Company offers tower-related services in the United States, which the Company refers to as its services operations. These services include site application, zoning and permitting (“AZP”), structural and mount analyses, and construction management services, together with program management offerings that support customer deployment needs from project scoping through construction. The Company’s services operations primarily support the Company’s site leasing business, including through the addition of new tenants and equipment on its sites. The Company’s customers include its tenants, licensees and other payers.</w:t>
      </w:r>
    </w:p>
    <w:p>
      <w:pPr>
        <w:spacing w:after="0" w:line="127"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8"/>
          <w:szCs w:val="18"/>
          <w:color w:val="auto"/>
        </w:rPr>
        <w:t>The Company’s portfolio primarily consists of towers that it owns and towers that it operates pursuant to long-term lease arrangements, as well as distributed antenna system (“DAS”) networks, which provide seamless coverage solutions in certain in-building and outdoor wireless environments. In addition to the communications sites in its portfolio, the Company manages rooftop and tower sites for property owners under various contractual arrangements. The Company also holds other telecommunications infrastructure, fiber and property interests that it leases primarily to communications service providers and third-party tower operators and holds a portfolio of highly interconnected data center facilities and related assets in the United States that the Company provides for the leasing of space primarily to enterprises, network operators, cloud providers and supporting service providers.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American Tower Corporation is a holding company that conducts its operations through its directly and indirectly owned subsidiaries and joint ventures. ATC’s principal domestic operating subsidiaries are American Towers LLC and SpectraSite Communications, LLC. ATC conducts its international operations primarily through its subsidiary, American Tower International, Inc., which in turn conducts operations through its various international holding and operating subsidiaries and joint ventures.</w:t>
      </w:r>
    </w:p>
    <w:p>
      <w:pPr>
        <w:spacing w:after="0" w:line="10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Company operates as a real estate investment trust for U.S. federal income tax purposes (“REIT”). Accordingly, the Company generally is not required to pay U.S. federal income taxes on income generated by its REIT operations, including the income derived from leasing space on its towers and in its data centers, as it receives a dividends paid deduction for distributions to stockholders that offsets its REIT taxable income and gains. However, the Company remains obligated to pay U.S. federal income taxes on earnings from its domestic taxable REIT subsidiaries (“TRSs”). In addition, the Company’s international assets and operations, regardless of their classification for U.S. tax purposes, continue to be subject to taxation in the jurisdictions where those assets are held or those operations are conducted.</w:t>
      </w:r>
    </w:p>
    <w:p>
      <w:pPr>
        <w:spacing w:after="0" w:line="121" w:lineRule="exact"/>
        <w:rPr>
          <w:sz w:val="20"/>
          <w:szCs w:val="20"/>
          <w:color w:val="auto"/>
        </w:rPr>
      </w:pPr>
    </w:p>
    <w:p>
      <w:pPr>
        <w:jc w:val="both"/>
        <w:ind w:right="280"/>
        <w:spacing w:after="0" w:line="294" w:lineRule="auto"/>
        <w:rPr>
          <w:sz w:val="20"/>
          <w:szCs w:val="20"/>
          <w:color w:val="auto"/>
        </w:rPr>
      </w:pPr>
      <w:r>
        <w:rPr>
          <w:rFonts w:ascii="Times New Roman" w:cs="Times New Roman" w:eastAsia="Times New Roman" w:hAnsi="Times New Roman"/>
          <w:sz w:val="16"/>
          <w:szCs w:val="16"/>
          <w:color w:val="auto"/>
        </w:rPr>
        <w:t>The use of TRSs enables the Company to continue to engage in certain businesses and jurisdictions while complying with REIT qualification requirements. The Company may, from time to time, change the election of previously designated TRSs to be included as part of the REIT. As of December 31, 2025, the Company’s REIT-qualified businesses included its U.S. tower leasing business, a majority of its U.S. DAS networks business, its Services and Data Centers segments, as well as most of its operations in Canada, Costa Rica, France, Germany, Ghana, Kenya, Mexico, Nigeria, South Africa, Spain and Uganda.</w:t>
      </w:r>
    </w:p>
    <w:p>
      <w:pPr>
        <w:spacing w:after="0" w:line="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r>
        <w:rPr>
          <w:rFonts w:ascii="Times New Roman" w:cs="Times New Roman" w:eastAsia="Times New Roman" w:hAnsi="Times New Roman"/>
          <w:sz w:val="18"/>
          <w:szCs w:val="18"/>
          <w:color w:val="auto"/>
        </w:rPr>
        <w:t>—The accompanying consolidated financial statements include the accounts of the Company and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in which it has a controlling interest. Investments in entities that the Company does not control are accounted for using the equity method or as investments in equity securities, depending upon the Company’s ability to exercise significant influence over operating and financial policies. All intercompany accounts and transactions have been eliminated.</w:t>
      </w:r>
    </w:p>
    <w:p>
      <w:pPr>
        <w:spacing w:after="0" w:line="10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As of December 31, 2025, the Company holds (i) a 52% controlling interest in subsidiaries whose holdings consist of the Company’s operations in France, Germany and Spain (such subsidiaries collectively, “ATC Europe”) (Allianz and La Caisse (each as defined in note 14) hold the noncontrolling interests), (ii) a 51% controlling interest in a joint venture whose holdings consist of the Company’s operations in Bangladesh (Confidence Tower Holdings Ltd. (“Confidence Group”) holds the noncontrolling interest) and (iii) a controlling common equity interest of approximately 71% in the Company’s U.S. data center business (Stonepeak (as defined and further discussed in note 14) holds approximately 29% of the outstanding common equity and 100% of the outstanding mandatorily convertible preferred equity). As of December 31, 2025, ATC Europe holds an 87% and an 83% controlling interest in subsidiaries that consist of the Company’s operations in Germany and Spain, respectively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18"/>
          <w:szCs w:val="18"/>
          <w:color w:val="auto"/>
        </w:rPr>
        <w:t>(PGGM holds the noncontrolling interests). See note 14 for a discussion of changes to the Company’s noncontrolling interests during the years ended December 31, 2025 and 2024.</w:t>
      </w:r>
    </w:p>
    <w:p>
      <w:pPr>
        <w:spacing w:after="0" w:line="10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6"/>
          <w:szCs w:val="16"/>
          <w:i w:val="1"/>
          <w:iCs w:val="1"/>
          <w:color w:val="auto"/>
        </w:rPr>
        <w:t>Sale of South Africa Fiber</w:t>
      </w:r>
      <w:r>
        <w:rPr>
          <w:rFonts w:ascii="Times New Roman" w:cs="Times New Roman" w:eastAsia="Times New Roman" w:hAnsi="Times New Roman"/>
          <w:sz w:val="16"/>
          <w:szCs w:val="16"/>
          <w:color w:val="auto"/>
        </w:rPr>
        <w:t>—On March 6, 2025, the Company, through its subsidiary ATC South Africa Wireless Infrastructure Proprietary Limited, completed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sale of its fiber assets in South Africa (“South Africa Fiber”) for total consideration of 2.5 billion South African Rand (“ZAR”) (approximately</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$137.7 million at the date of closing), resulting in a gain on the sale of approximately $53.6 million, which is included in Other operating income in the accompanying consolidated statements of operations. As a result of the transaction, the Company disposed of $6.1 million of goodwill based on the relative fair value of South Africa Fiber and the portion of the applicable goodwill reporting unit that was expected to be retained. Prior to the divestiture, South Africa Fiber’s operating results were included within the Africa &amp; APAC property 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received at closing</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2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at closing</w:t>
            </w:r>
          </w:p>
        </w:tc>
        <w:tc>
          <w:tcPr>
            <w:tcW w:w="10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42"/>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 on sale included in Other operating expenses (1)</w:t>
            </w: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348.7 million ZAR (approximately $19.2 million at the date of closing) of taxes.</w:t>
      </w:r>
    </w:p>
    <w:p>
      <w:pPr>
        <w:spacing w:after="0" w:line="129"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Reportable Segments—</w:t>
      </w:r>
      <w:r>
        <w:rPr>
          <w:rFonts w:ascii="Times New Roman" w:cs="Times New Roman" w:eastAsia="Times New Roman" w:hAnsi="Times New Roman"/>
          <w:sz w:val="18"/>
          <w:szCs w:val="18"/>
          <w:color w:val="auto"/>
        </w:rPr>
        <w:t>The Company reports its results in six segments: U.S. &amp; Canada property (which includes all assets in the United States and 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the Company’s data center facilities and related assets), Africa &amp; Asia-Pacific (“APAC”) property, Europe property, Latin America property, Data Centers and Services, which are discussed further in note 19.</w:t>
      </w:r>
    </w:p>
    <w:p>
      <w:pPr>
        <w:spacing w:after="0" w:line="11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6"/>
          <w:szCs w:val="16"/>
          <w:i w:val="1"/>
          <w:iCs w:val="1"/>
          <w:color w:val="auto"/>
        </w:rPr>
        <w:t>Significant Accounting Policies and Use of Estimates</w:t>
      </w:r>
      <w:r>
        <w:rPr>
          <w:rFonts w:ascii="Times New Roman" w:cs="Times New Roman" w:eastAsia="Times New Roman" w:hAnsi="Times New Roman"/>
          <w:sz w:val="16"/>
          <w:szCs w:val="16"/>
          <w:color w:val="auto"/>
        </w:rPr>
        <w:t>—The preparation of financial statements in conformity with accounting principles generally accepted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United States (“GAAP”) requires management to make estimates and assumptions that affect the amounts reported in the consolidated financial statements and accompanying notes. Actual results may differ from those estimates, and such differences could be material to the accompanying consolidated financial statements. The significant estimates in the accompanying consolidated financial statements include impairment of long-lived assets (including goodwill), revenue recognition, rent expense and lease accounting and income taxes. The Company considers events or transactions that occur after the balance sheet date but before the financial statements are issued as additional evidence for certain estimates or to identify matters that require additional disclosure.</w:t>
      </w:r>
    </w:p>
    <w:p>
      <w:pPr>
        <w:spacing w:after="0" w:line="7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Accounts Receivable and Deferred Rent Asset</w:t>
      </w:r>
      <w:r>
        <w:rPr>
          <w:rFonts w:ascii="Times New Roman" w:cs="Times New Roman" w:eastAsia="Times New Roman" w:hAnsi="Times New Roman"/>
          <w:sz w:val="18"/>
          <w:szCs w:val="18"/>
          <w:color w:val="auto"/>
        </w:rPr>
        <w:t>—The Company derives the largest portion of its revenues, corresponding trade receivables and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rent asset from a relatively small number of customers in the telecommunications industry, and 59% of its current-year revenues were derived from four customers.</w:t>
      </w:r>
    </w:p>
    <w:p>
      <w:pPr>
        <w:spacing w:after="0" w:line="112"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The Company’s deferred rent asset is associated with non-cancellable tenant leases that contain fixed escalation clauses over the terms of the applicable lease for which revenue is recognized on a straight-line basis over the lease term.</w:t>
      </w:r>
    </w:p>
    <w:p>
      <w:pPr>
        <w:spacing w:after="0" w:line="63"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8"/>
          <w:szCs w:val="18"/>
          <w:color w:val="auto"/>
        </w:rPr>
        <w:t>The Company mitigates its concentrations of credit risk with respect to trade receivables and the related deferred rent assets by actively monitoring the creditworthiness of its customers. In recognizing customer revenue, the Company assesses the collectibility of both the amounts billed and the portion recognized in advance of billing on a straight-line basis. This assessment takes customer credit risk and business and industry conditions into consideration to ultimately determine the collectibility of the amounts billed. To the extent the amounts, based on management’s estimates, may not be collectible, revenue recognition is deferred until such point as the uncertainty is resolved. Any amounts that were previously recognized as revenue and are subsequently determined to present a risk of collection are reserved as bad debt expense included in Selling, general, administrative and development expense in the accompanying consolidated statements of operations.</w:t>
      </w:r>
    </w:p>
    <w:p>
      <w:pPr>
        <w:spacing w:after="0" w:line="84"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color w:val="auto"/>
        </w:rPr>
        <w:t>Accounts receivable is reported net of allowances for doubtful accounts related to estimated losses resulting from a customer’s inability to make required payments and allowances for amounts invoiced whose collectibility is not reasonably assured. These allowances are generally estimated based on payment patterns, days past due and collection history, and incorporate changes in economic conditions that may not be reflected in historical trends, such as customers in bankruptcy, liquidation or reorganization. Receivables are written-off against the allowances or reserves when they are determined to be uncollectible. Such determination includes analysis and consideration of the particular conditions of the account. Changes in the allowances were as follows: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gridSpan w:val="6"/>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60" w:type="dxa"/>
            <w:vAlign w:val="bottom"/>
          </w:tcPr>
          <w:p>
            <w:pPr>
              <w:spacing w:after="0"/>
              <w:rPr>
                <w:sz w:val="16"/>
                <w:szCs w:val="16"/>
                <w:color w:val="auto"/>
              </w:rPr>
            </w:pPr>
          </w:p>
        </w:tc>
      </w:tr>
      <w:tr>
        <w:trPr>
          <w:trHeight w:val="24"/>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color w:val="auto"/>
                <w:w w:val="98"/>
              </w:rPr>
              <w:t>404.1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increases</w:t>
            </w:r>
          </w:p>
        </w:tc>
        <w:tc>
          <w:tcPr>
            <w:tcW w:w="300" w:type="dxa"/>
            <w:vAlign w:val="bottom"/>
          </w:tcPr>
          <w:p>
            <w:pPr>
              <w:spacing w:after="0"/>
              <w:rPr>
                <w:sz w:val="19"/>
                <w:szCs w:val="19"/>
                <w:color w:val="auto"/>
              </w:rPr>
            </w:pPr>
          </w:p>
        </w:tc>
        <w:tc>
          <w:tcPr>
            <w:tcW w:w="900" w:type="dxa"/>
            <w:vAlign w:val="bottom"/>
          </w:tcPr>
          <w:p>
            <w:pPr>
              <w:jc w:val="center"/>
              <w:ind w:left="416"/>
              <w:spacing w:after="0"/>
              <w:rPr>
                <w:sz w:val="20"/>
                <w:szCs w:val="20"/>
                <w:color w:val="auto"/>
              </w:rPr>
            </w:pPr>
            <w:r>
              <w:rPr>
                <w:rFonts w:ascii="Times New Roman" w:cs="Times New Roman" w:eastAsia="Times New Roman" w:hAnsi="Times New Roman"/>
                <w:sz w:val="18"/>
                <w:szCs w:val="18"/>
                <w:color w:val="auto"/>
                <w:w w:val="98"/>
              </w:rPr>
              <w:t>160.4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recoveries and other (1)</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center"/>
              <w:ind w:left="316"/>
              <w:spacing w:after="0"/>
              <w:rPr>
                <w:sz w:val="20"/>
                <w:szCs w:val="20"/>
                <w:color w:val="auto"/>
              </w:rPr>
            </w:pPr>
            <w:r>
              <w:rPr>
                <w:rFonts w:ascii="Times New Roman" w:cs="Times New Roman" w:eastAsia="Times New Roman" w:hAnsi="Times New Roman"/>
                <w:sz w:val="18"/>
                <w:szCs w:val="18"/>
                <w:color w:val="auto"/>
                <w:w w:val="98"/>
              </w:rPr>
              <w:t>(134.1)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8"/>
                <w:szCs w:val="18"/>
                <w:color w:val="auto"/>
                <w:w w:val="98"/>
              </w:rPr>
              <w:t>430.4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3" w:lineRule="exact"/>
        <w:rPr>
          <w:sz w:val="20"/>
          <w:szCs w:val="20"/>
          <w:color w:val="auto"/>
        </w:rPr>
      </w:pPr>
    </w:p>
    <w:p>
      <w:pPr>
        <w:ind w:left="320" w:hanging="315"/>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primarily relates to balances in the Company’s Latin America property segment.</w:t>
      </w:r>
    </w:p>
    <w:p>
      <w:pPr>
        <w:spacing w:after="0" w:line="14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i w:val="1"/>
          <w:iCs w:val="1"/>
          <w:color w:val="auto"/>
        </w:rPr>
        <w:t>Functional Currency</w:t>
      </w:r>
      <w:r>
        <w:rPr>
          <w:rFonts w:ascii="Times New Roman" w:cs="Times New Roman" w:eastAsia="Times New Roman" w:hAnsi="Times New Roman"/>
          <w:sz w:val="16"/>
          <w:szCs w:val="16"/>
          <w:color w:val="auto"/>
        </w:rPr>
        <w:t>—The functional currency of each of the Company’s foreign operating subsidiaries is normally the respective local currency, except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Argentina, Costa Rica, Ghana and Nigeria, where the functional currency is the U.S. Dollar. All foreign currency assets and liabilities held by the subsidiaries are translated into U.S. Dollars at the exchange rate in effect at the end of the applicable fiscal reporting period and all foreign currency revenues and expenses are translated at the average monthly exchange rates. Translation adjustments are reflected in equity as a component of Accumulated other comprehensive loss (“AOCL”) in the consolidated balance sheets and included as a component of Comprehensive income in the consolidated statements of comprehensive income.</w:t>
      </w:r>
    </w:p>
    <w:p>
      <w:pPr>
        <w:spacing w:after="0" w:line="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Gains and losses on foreign currency transactions are reflected in Other expense in the consolidated statements of operations. However, the effect from fluctuations in foreign currency exchange rates on intercompany debt for which repayment is not anticipated in the foreseeable future is reflected in AOCL as well as Euro (“EUR”) dominated debt designated as a net investment hedge, in the consolidated balance sheets and included as a component of Comprehensive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the following net foreign currency (gains) losses: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6"/>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60" w:type="dxa"/>
            <w:vAlign w:val="bottom"/>
          </w:tcPr>
          <w:p>
            <w:pPr>
              <w:spacing w:after="0"/>
              <w:rPr>
                <w:sz w:val="16"/>
                <w:szCs w:val="16"/>
                <w:color w:val="auto"/>
              </w:rPr>
            </w:pPr>
          </w:p>
        </w:tc>
      </w:tr>
      <w:tr>
        <w:trPr>
          <w:trHeight w:val="24"/>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(gains) losses recorded in AOCL</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8"/>
                <w:szCs w:val="18"/>
                <w:color w:val="auto"/>
                <w:w w:val="98"/>
              </w:rPr>
              <w:t>(523.4)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8"/>
              </w:rPr>
              <w:t>660.8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w w:val="98"/>
              </w:rPr>
              <w:t>(103.9)</w:t>
            </w:r>
          </w:p>
        </w:tc>
      </w:tr>
      <w:tr>
        <w:trPr>
          <w:trHeight w:val="224"/>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losses (gains) recorded in Other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8"/>
                <w:szCs w:val="18"/>
                <w:color w:val="auto"/>
                <w:w w:val="98"/>
              </w:rPr>
              <w:t>809.4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8"/>
                <w:szCs w:val="18"/>
                <w:color w:val="auto"/>
                <w:w w:val="95"/>
              </w:rPr>
              <w:t>(308.3)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57"/>
              <w:spacing w:after="0"/>
              <w:rPr>
                <w:sz w:val="20"/>
                <w:szCs w:val="20"/>
                <w:color w:val="auto"/>
              </w:rPr>
            </w:pPr>
            <w:r>
              <w:rPr>
                <w:rFonts w:ascii="Times New Roman" w:cs="Times New Roman" w:eastAsia="Times New Roman" w:hAnsi="Times New Roman"/>
                <w:sz w:val="18"/>
                <w:szCs w:val="18"/>
                <w:color w:val="auto"/>
                <w:w w:val="98"/>
              </w:rPr>
              <w:t>330.6</w:t>
            </w:r>
          </w:p>
        </w:tc>
      </w:tr>
      <w:tr>
        <w:trPr>
          <w:trHeight w:val="24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foreign currency losses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w w:val="98"/>
              </w:rPr>
              <w:t>286.0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8"/>
              </w:rPr>
              <w:t>352.5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8"/>
              </w:rPr>
              <w:t>226.7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—Cash and cash equivalents include cash on hand, demand deposits and short-term investments with original maturities of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or less. The Company maintains its deposits at high-quality financial institutions and monitors the credit ratings of those institutions.</w:t>
      </w:r>
    </w:p>
    <w:p>
      <w:pPr>
        <w:spacing w:after="0" w:line="86"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Restricted cash includes cash pledged as collateral to secure obligations and all cash whose use is otherwise limited by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w:t>
      </w:r>
    </w:p>
    <w:p>
      <w:pPr>
        <w:spacing w:after="0" w:line="10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The reconciliation of cash and cash equivalents and restricted cash reported within the applicable balance sheet that sum to the total of the same such amounts shown in the statements of cash flows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20" w:type="dxa"/>
            <w:vAlign w:val="bottom"/>
            <w:gridSpan w:val="6"/>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60" w:type="dxa"/>
            <w:vAlign w:val="bottom"/>
          </w:tcPr>
          <w:p>
            <w:pPr>
              <w:spacing w:after="0"/>
              <w:rPr>
                <w:sz w:val="16"/>
                <w:szCs w:val="16"/>
                <w:color w:val="auto"/>
              </w:rPr>
            </w:pPr>
          </w:p>
        </w:tc>
      </w:tr>
      <w:tr>
        <w:trPr>
          <w:trHeight w:val="24"/>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7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w:t>
            </w:r>
          </w:p>
        </w:tc>
      </w:tr>
      <w:tr>
        <w:trPr>
          <w:trHeight w:val="22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4"/>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included in assets of discontinued operations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2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assets of discontinued operations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2"/>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—Property and equipment is recorded at cost or, in the case of acquired properties, at estimated fair value on the date acquired. Cost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self-constructed sites includes direct materials and labor and certain indirect costs associated with construction of the site, such as transportation costs, employee benefits and payroll taxes. The Company begins the capitalization of costs during the pre-construction period, which is the period during which costs are incurred to evaluate the site, and continues to capitalize costs until the site is substantially completed and ready for occupancy by a customer. Labor and related costs capitalized for the years ended December 31, 2025, 2024 and 2023 were $70.4 million, $67.4 million and $62.1 million,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18"/>
          <w:szCs w:val="18"/>
          <w:color w:val="auto"/>
        </w:rPr>
        <w:t>Expenditures for repairs and maintenance are expensed as incurred. Augmentation and improvements that extend an asset’s useful life or enhance capacity are capitalized.</w:t>
      </w:r>
    </w:p>
    <w:p>
      <w:pPr>
        <w:spacing w:after="0" w:line="102"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Depreciation expense is recorded using the straight-line method over the assets’ estimated useful lives. The Company estimates that the useful life of its tower assets is thirty years, before taking into account residual value. Additionally, certain of the Company’s intangible assets are amortized on a similar basis to its tower assets, as the estimated useful lives of such intangible assets correlate to the useful life of the towers.</w:t>
      </w:r>
    </w:p>
    <w:p>
      <w:pPr>
        <w:spacing w:after="0" w:line="1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Towers or assets acquired through finance leases are recorded net at the present value of future minimum lease payments or the fair value of the leased asset at the inception of the lease. Property and equipment and assets held under finance leases are amortized over the shorter of the applicable lease term or the estimated useful life of the respective assets for periods generally not exceeding thirty years.</w:t>
      </w:r>
    </w:p>
    <w:p>
      <w:pPr>
        <w:spacing w:after="0" w:line="11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Company reviews its asset portfolio for indicators of impairment on an individual site basis. Impairments primarily result from a site not having current tenant leases or from having expenses in excess of revenues. The Company reviews other long-lived assets for impairment at least annually or whenever events, changes in circumstances or other evidence indicate that the carrying amount of the Company’s assets may not be recoverable. The Company records impairment charges, which are discussed in note 15, in Other operating expenses in the consolidated statements of operations in the period in which the Company identifies such impairment.</w:t>
      </w:r>
    </w:p>
    <w:p>
      <w:pPr>
        <w:spacing w:after="0" w:line="119"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—The Company reviews goodwill for impairment at least annually (as of December 31) or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the carrying value of an asset may not be recoverable.</w:t>
      </w:r>
    </w:p>
    <w:p>
      <w:pPr>
        <w:spacing w:after="0" w:line="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Goodwill is recorded in the applicable segment and assessed for impairment at the reporting unit level. The Company employs a discounted cash flow analysis when testing goodwill for impairment. The key assumptions utilized in the discounted cash flow analysis include current operating performance, terminal revenue growth rate, management’s expectations of future operating results and cash requirements, the current weighted average cost of capital and an expected tax rate. The Company compares the fair value of the reporting unit, as calculated under an income approach using future discounted cash flows, to the carrying amount of the applicable reporting unit. If the carrying amount exceeds the fair value, an impairment loss would be recognized for the amount of the excess. The loss recognized is limited to the total amount of goodwill allocated to that reporting unit.</w:t>
      </w:r>
    </w:p>
    <w:p>
      <w:pPr>
        <w:spacing w:after="0" w:line="12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2023, the Company concluded that a triggering event occurred with respect to its India reporting unit. As a result, the Company performed a goodwill impairment test based on information observed during its review of strategic alternatives for this reporting unit. The result of the Company’s goodwill impairment test indicated that the carrying amount of the Company's India reporting unit exceeded its estimated fair value. As a result, the Company recorded a goodwill impairment charge of $322.0 million during the quarter ended September 30, 2023, which is recorded in Loss from discontinued operations in the accompanying consolidated statements of operations for the year ended December 31, 2023.</w:t>
      </w:r>
    </w:p>
    <w:p>
      <w:pPr>
        <w:spacing w:after="0" w:line="121" w:lineRule="exact"/>
        <w:rPr>
          <w:sz w:val="20"/>
          <w:szCs w:val="20"/>
          <w:color w:val="auto"/>
        </w:rPr>
      </w:pPr>
    </w:p>
    <w:p>
      <w:pPr>
        <w:ind w:right="180"/>
        <w:spacing w:after="0" w:line="303" w:lineRule="auto"/>
        <w:rPr>
          <w:sz w:val="20"/>
          <w:szCs w:val="20"/>
          <w:color w:val="auto"/>
        </w:rPr>
      </w:pPr>
      <w:r>
        <w:rPr>
          <w:rFonts w:ascii="Times New Roman" w:cs="Times New Roman" w:eastAsia="Times New Roman" w:hAnsi="Times New Roman"/>
          <w:sz w:val="16"/>
          <w:szCs w:val="16"/>
          <w:color w:val="auto"/>
        </w:rPr>
        <w:t>The results of the annual goodwill impairment test as of December 31, 2023 indicated that the carrying amount of the Company’s Spain reporting unit exceeded its estimated fair value. As a result, the Company recorded a goodwill impairment charge of $80.0 million. The goodwill impairment charge for the Spain reporting unit is recorded in Goodwill impairment in the accompanying consolidated statements of operations for the year ended December 31, 2023.</w:t>
      </w:r>
    </w:p>
    <w:p>
      <w:pPr>
        <w:spacing w:after="0" w:line="6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2025, the Company estimated the fair value of the Bangladesh reporting unit using, among other things, indications of value received from third parties in connection with the Company’s review of various strategic alternatives for its Bangladesh operations. As a result, the Company recorded a goodwill impairment charge of $6.5 million. The goodwill impairment charge for the Bangladesh reporting unit is recorded in Other operating expense in the accompanying consolidated statements of operations for the year ended December 31, 2025.</w:t>
      </w:r>
    </w:p>
    <w:p>
      <w:pPr>
        <w:spacing w:after="0" w:line="11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During the years ended December 31, 2025, 2024 and 2023, no other goodwill impairment was identified, as the fair value of each of the reporting units was in excess of its carrying amount.</w:t>
      </w:r>
    </w:p>
    <w:p>
      <w:pPr>
        <w:spacing w:after="0" w:line="102"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18"/>
          <w:szCs w:val="18"/>
          <w:color w:val="auto"/>
        </w:rPr>
        <w:t>Intangible assets that are separable from goodwill and are deemed to have a definite life are amortized over their useful lives, generally ranging from two to thirty years and are evaluated separately for impairment at least annually or whenever events or circumstances indicate that the carrying amount of an asset may not be recoverable.</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reviews its network location intangible assets for indicators of impairment on an individual tower basis. Impairments primarily result from a site not having current tenant leases or from having expenses in excess of revenues. The Company monitors its tenant-related intangible assets on a tenant by tenant basis for indicators of impairment, such as high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color w:val="auto"/>
        </w:rPr>
        <w:t>levels of turnover or attrition, the customer’s ability to meet its contractual obligations, non-renewal of a significant number of contracts or the cancellation or termination of a relationship. The Company assesses recoverability by determining whether the carrying amount of the related assets will be recovered primarily through projected undiscounted future cash flows. If the Company determines that the carrying amount of an asset may not be recoverable, the Company measures any impairment loss based on the projected future discounted cash flows to be provided from the asset or available market information relative to the asset’s fair value, as compared to the asset’s carrying amount. The Company records impairment charges, which are discussed in note 15, in Other operating expenses in the consolidated statements of operations in the period in which the Company identifies such impairment.</w:t>
      </w:r>
    </w:p>
    <w:p>
      <w:pPr>
        <w:spacing w:after="0" w:line="92"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—The Company determines the fair value of its financial instruments based on the fair value hierarchy, which requires an entity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maximize the use of observable inputs and minimize the use of unobservable inputs when measuring fair value.</w:t>
      </w:r>
    </w:p>
    <w:p>
      <w:pPr>
        <w:spacing w:after="0" w:line="8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—When required, the Company recognizes the fair value of obligations to remove its assets and remediate the leased space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certain of its assets are located. Generally, the associated retirement costs are capitalized as part of the carrying amount of the related assets and depreciated over their estimated useful lives and the liability is accreted through the obligation’s estimated settlement date. Fair value estimates of asset retirement obligations generally involve discounting of estimated future cash flows associated with remediation costs. Periodic accretion of such liabilities due to the passage of time is included in Depreciation, amortization and accretion expense in the consolidated statements of operations. Adjustments are also made to the asset retirement obligation liability to reflect changes in the estimates of timing and amount of expected cash flows, with an offsetting adjustment made to the related long-lived tangible asset. The significant assumptions used in estimating the Company’s aggregate asset retirement obligation are: timing of asset removals; cost of asset removals; timing and number of site lease renewals; expected inflation rates; and credit-adjusted, risk-free interest rates that approximate the Company’s incremental borrowing rate.</w:t>
      </w:r>
    </w:p>
    <w:p>
      <w:pPr>
        <w:spacing w:after="0" w:line="12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—As a REIT, the Company generally is not subject to U.S. federal income taxes on income generated by its REIT operations as it receives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deduction for distributions to stockholders that generally offsets its REIT income and gains. However, the Company remains obligated to pay U.S. federal income taxes on certain earnings and continues to be subject to taxation in its foreign jurisdictions. Accordingly, 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carryforwards are expected to be recovered or settled. The effect on deferred tax assets and liabilities as a result of a change in tax rates is recognized in income in the period that includes the enactment date.</w:t>
      </w:r>
    </w:p>
    <w:p>
      <w:pPr>
        <w:spacing w:after="0" w:line="12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Company periodically reviews its deferred tax assets, and provides valuation allowances if, based on the available evidence, it is more likely than not that some or all of the deferred tax assets will not be realized. Management assesses the available positive and negative evidence to estimate if sufficient future taxable income will be generated to use the existing deferred tax assets. Valuation allowances would be reversed as a reduction to the provision for income taxes if related deferred tax assets are deemed realizable based on changes in facts and circumstances relevant to the assets’ recoverability.</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estimates the liabilities from uncertain tax positions, which are recorded in Other non-current liabilities in the consolidated balance sheet, unless expected to be paid within one year. The Company reports penalties and tax-related interest expense and interest income from tax refunds as a component of the income tax provision in the consolidated statements of operations.</w:t>
      </w:r>
    </w:p>
    <w:p>
      <w:pPr>
        <w:spacing w:after="0" w:line="113"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16"/>
          <w:szCs w:val="16"/>
          <w:i w:val="1"/>
          <w:iCs w:val="1"/>
          <w:color w:val="auto"/>
        </w:rPr>
        <w:t>Other Comprehensive Income (Loss)</w:t>
      </w:r>
      <w:r>
        <w:rPr>
          <w:rFonts w:ascii="Times New Roman" w:cs="Times New Roman" w:eastAsia="Times New Roman" w:hAnsi="Times New Roman"/>
          <w:sz w:val="16"/>
          <w:szCs w:val="16"/>
          <w:color w:val="auto"/>
        </w:rPr>
        <w:t>—Other comprehensive income (loss) refers to items excluded from net income that are recorded as an adjustment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net of tax. The Company’s other comprehensive income (loss) primarily consisted of changes in fair value of effective derivative cash flow hedges, foreign currency translation adjustments, reclassification of unrealized losses on effective derivative cash flow hedges and other items. The AOCL balance included accumulated foreign currency translation losses of $4.8 billion, $6.0 billion and $5.7 billion as of December 31, 2025, 2024 and 2023, respectively.</w:t>
      </w:r>
    </w:p>
    <w:p>
      <w:pPr>
        <w:spacing w:after="0" w:line="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deduction for distributed earnings and excluding any net capital gain). Generally, the Company has distributed, and expects to continue to distribute, all or substantially all of its REIT taxable income after taking into consideration its utilization of net operating losses (“NOLs”).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amount, timing and frequency of future distributions will be at the sole discretion of the Board of Directors and will depend upon various factors, a number of which may be beyond the Company’s control, including the Company’s financial condition and operating cash flows, the amount required to maintain its qualification for taxation as a REIT and reduce any income and excise taxes that the Company otherwise would be required to pay, limitations on distributions in the Company’s existing and future debt and preferred equity instruments, the Company’s ability to utilize NOLs to offset the Company’s distribution requirements, limitations on its ability to fund distributions using cash generated through its TRSs and other factors that the Board of Directors may deem relevant.</w:t>
      </w:r>
    </w:p>
    <w:p>
      <w:pPr>
        <w:spacing w:after="0" w:line="11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—For acquisitions that meet the definition of a business combination, the Company applies the acquisition method of accounting where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and liabilities assumed are recorded at fair value at the date of each acquisition, and the results of operations are included with those of the Company from the dates of the respective acquisitions. Any excess of the purchase price paid by the Company over the amounts recognized for assets acquired and liabilities assumed is recorded as goodwill.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 All other acquisitions are accounted for as asset acquisitions and the purchase price is allocated to the net assets acquired with no recognition of goodwill. The purchase price is not subsequently adjusted.</w:t>
      </w:r>
    </w:p>
    <w:p>
      <w:pPr>
        <w:spacing w:after="0" w:line="11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taking into consideration such factors as age, condition and the economic useful life and productive capacity of the asset. When determining the fair value of intangible assets acquired and liabilities assumed, the Company must estimate the timing and amount of future cash flows, including rate and terms of renewal and attrition, and apply the applicable discount rate.</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Net Investment Hedge</w:t>
      </w:r>
      <w:r>
        <w:rPr>
          <w:rFonts w:ascii="Times New Roman" w:cs="Times New Roman" w:eastAsia="Times New Roman" w:hAnsi="Times New Roman"/>
          <w:sz w:val="18"/>
          <w:szCs w:val="18"/>
          <w:color w:val="auto"/>
        </w:rPr>
        <w:t>—The Company is exposed to the impact of foreign currency exchange rate fluctuations on the value of investments in its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whose functional currencies are other than the USD. The Company has designated a portion of its EUR denominated senior unsecured notes as a non-derivative net investment hedge on the Company’s net investments in its European subsidiaries, whose functional currency is the EUR, to mitigate against the effect of exchange rate fluctuations on the translation of foreign currency balances to the USD.</w:t>
      </w:r>
    </w:p>
    <w:p>
      <w:pPr>
        <w:spacing w:after="0" w:line="1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For the portion of the EUR denominated senior unsecured notes that are designated as a net investment hedge and meet effectiveness requirements, the changes in carrying value of the notes attributable to the change in foreign currency spot rates are recorded as foreign currency translation adjustments in Accumulated other comprehensive loss, where they offset foreign currency translation gains and losses recorded on the Company’s net investments in its European subsidiaries. To the extent foreign currency-denominated notes designated as net investment hedges are ineffective, changes in carrying value attributable to the change in spot rates would be recorded in earnings. Changes in carrying value attributable to the change in spot rates for the portion of EUR denominated senior unsecured notes not designated as part of the net investment hedge are recorded in earnings.</w:t>
      </w:r>
    </w:p>
    <w:p>
      <w:pPr>
        <w:spacing w:after="0" w:line="10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—The Company’s revenue is derived from leasing the right to use its communications sites, the land on which the sites are located, the land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customers’ sites and the space in its data center facilities (the “lease component”) and from the reimbursement of costs incurred by the Company in operating the communications sites and data center facilities and supporting its customers’ equipment as well as other services and contractual rights (the “non-lease component”). Most of the Company’s revenue is derived from leasing arrangements and is accounted for as lease revenue unless the timing and pattern of revenue recognition of the non-lease component differs from the lease component. If the timing and pattern of the non-lease component revenue recognition differs from that of the lease component, the Company separately determines the stand-alone selling prices and pattern of revenue recognition for each performance obligation. Revenue related to DAS networks and fiber and other related assets results from agreements with customers that are generally not accounted for as leases.</w:t>
      </w:r>
    </w:p>
    <w:p>
      <w:pPr>
        <w:spacing w:after="0" w:line="122"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6"/>
          <w:szCs w:val="16"/>
          <w:color w:val="auto"/>
        </w:rPr>
        <w:t>The Company’s revenue from leasing arrangements, including fixed escalation clauses present in non-cancellable lease arrangements, is reported on a straight-line basis over the term of the respective leases when collectibility is probable. Escalation clauses tied to a consumer price index (“CPI”), or other inflation-based indices, and other variable incentives present in lease agreements with the Company’s tenants, are excluded from the straight-line calculation. Total property straight-line revenues for the years ended December 31, 2025, 2024 and 2023 were $101.0 million, $277.6 million and $465.4 million, respectively.</w:t>
      </w:r>
    </w:p>
    <w:p>
      <w:pPr>
        <w:spacing w:after="0" w:line="85"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i w:val="1"/>
          <w:iCs w:val="1"/>
          <w:color w:val="auto"/>
        </w:rPr>
        <w:t>Non-lease property revenue—</w:t>
      </w:r>
      <w:r>
        <w:rPr>
          <w:rFonts w:ascii="Times New Roman" w:cs="Times New Roman" w:eastAsia="Times New Roman" w:hAnsi="Times New Roman"/>
          <w:sz w:val="18"/>
          <w:szCs w:val="18"/>
          <w:color w:val="auto"/>
        </w:rPr>
        <w:t>Non-lease property revenue consists primarily of revenue generated from DAS networks, fiber and other property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DAS networks and fiber arrangements generally require that the Company provide the tenant the right to use available capacity on the applicable communications infrastructure. Performance obligations are satisfied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over time for the duration of the arrangements. Non-lease property revenue also includes revenue generated from interconnection offerings in the Company’s data center facilities. Interconnection offerings are generally contracted on a month-to-month basis and are cancellable by the Company or the data center customer at any time. Performance obligations are satisfied over time for the duration of the arrangements. Other property related revenue streams, which include site inspections, are not material on either an individual or consolidated basis.</w:t>
      </w:r>
    </w:p>
    <w:p>
      <w:pPr>
        <w:spacing w:after="0" w:line="11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i w:val="1"/>
          <w:iCs w:val="1"/>
          <w:color w:val="auto"/>
        </w:rPr>
        <w:t>Services revenue—</w:t>
      </w:r>
      <w:r>
        <w:rPr>
          <w:rFonts w:ascii="Times New Roman" w:cs="Times New Roman" w:eastAsia="Times New Roman" w:hAnsi="Times New Roman"/>
          <w:sz w:val="18"/>
          <w:szCs w:val="18"/>
          <w:color w:val="auto"/>
        </w:rPr>
        <w:t>The Company offers tower-related services in the United States. These services include AZP, structural and mount analyses,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management services, together with program management offerings that support customer deployment needs from project scoping through construction. There is a single performance obligation related to AZP and construction management, and revenue is recognized over time based on milestones achieved, which are determined based on costs expected to be incurred. Structural and mount analyses services may have more than one performance obligation, contingent upon the number of contracted services. Revenue is recognized at the point in time the services are completed.</w:t>
      </w:r>
    </w:p>
    <w:p>
      <w:pPr>
        <w:spacing w:after="0" w:line="105" w:lineRule="exact"/>
        <w:rPr>
          <w:sz w:val="20"/>
          <w:szCs w:val="20"/>
          <w:color w:val="auto"/>
        </w:rPr>
      </w:pPr>
    </w:p>
    <w:p>
      <w:pPr>
        <w:jc w:val="both"/>
        <w:ind w:right="240"/>
        <w:spacing w:after="0" w:line="332" w:lineRule="auto"/>
        <w:rPr>
          <w:sz w:val="20"/>
          <w:szCs w:val="20"/>
          <w:color w:val="auto"/>
        </w:rPr>
      </w:pPr>
      <w:r>
        <w:rPr>
          <w:rFonts w:ascii="Times New Roman" w:cs="Times New Roman" w:eastAsia="Times New Roman" w:hAnsi="Times New Roman"/>
          <w:sz w:val="16"/>
          <w:szCs w:val="16"/>
          <w:color w:val="auto"/>
        </w:rPr>
        <w:t>Some of the Company’s contracts with customers contain multiple performance obligations. For these arrangements, the Company allocates revenue to each performance obligation based on its relative standalone selling price, which is typically based on the price charged to customers in a stand-alone transaction.</w:t>
      </w:r>
    </w:p>
    <w:p>
      <w:pPr>
        <w:spacing w:after="0" w:line="57"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Since most of the Company’s contracts are leases, costs to enter into lease arrangements are capitalized under the applicable lease accounting guidance. Costs incurred to obtain non-lease contracts that are capitalized primarily relate to DAS networks and are not material to the consolidated financial statements. The Company has excluded sales tax, value added tax and similar taxes from non-lease revenue.</w:t>
      </w:r>
    </w:p>
    <w:p>
      <w:pPr>
        <w:spacing w:after="0" w:line="115"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8"/>
          <w:szCs w:val="18"/>
          <w:color w:val="auto"/>
        </w:rPr>
        <w:t>Revenue is disaggregated by geography in a manner consistent with the Company’s business segments, which are discussed further in note 19. A summary of revenue disaggregated by source and geography is as follows:</w:t>
      </w:r>
    </w:p>
    <w:tbl>
      <w:tblPr>
        <w:tblLayout w:type="fixed"/>
        <w:tblInd w:w="0" w:type="dxa"/>
        <w:tblCellMar>
          <w:top w:w="0" w:type="dxa"/>
          <w:left w:w="0" w:type="dxa"/>
          <w:bottom w:w="0" w:type="dxa"/>
          <w:right w:w="0" w:type="dxa"/>
        </w:tblCellMar>
      </w:tblPr>
      <w:tr>
        <w:trPr>
          <w:trHeight w:val="144"/>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0" w:type="dxa"/>
            <w:vAlign w:val="bottom"/>
          </w:tcPr>
          <w:p>
            <w:pPr>
              <w:spacing w:after="0"/>
              <w:rPr>
                <w:sz w:val="12"/>
                <w:szCs w:val="12"/>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Africa &amp; APAC</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Latin</w:t>
            </w:r>
          </w:p>
        </w:tc>
        <w:tc>
          <w:tcPr>
            <w:tcW w:w="2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America</w:t>
            </w:r>
          </w:p>
        </w:tc>
        <w:tc>
          <w:tcPr>
            <w:tcW w:w="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Non-lease property revenue</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revenue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17"/>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non-lease revenue</w:t>
            </w:r>
          </w:p>
        </w:tc>
        <w:tc>
          <w:tcPr>
            <w:tcW w:w="26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Property lease revenue</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9,708.7</w:t>
            </w:r>
          </w:p>
        </w:tc>
        <w:tc>
          <w:tcPr>
            <w:tcW w:w="0" w:type="dxa"/>
            <w:vAlign w:val="bottom"/>
          </w:tcPr>
          <w:p>
            <w:pPr>
              <w:spacing w:after="0"/>
              <w:rPr>
                <w:sz w:val="1"/>
                <w:szCs w:val="1"/>
                <w:color w:val="auto"/>
              </w:rPr>
            </w:pPr>
          </w:p>
        </w:tc>
      </w:tr>
      <w:tr>
        <w:trPr>
          <w:trHeight w:val="282"/>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5,588.3</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10,644.6</w:t>
            </w:r>
          </w:p>
        </w:tc>
        <w:tc>
          <w:tcPr>
            <w:tcW w:w="0" w:type="dxa"/>
            <w:vAlign w:val="bottom"/>
          </w:tcPr>
          <w:p>
            <w:pPr>
              <w:spacing w:after="0"/>
              <w:rPr>
                <w:sz w:val="1"/>
                <w:szCs w:val="1"/>
                <w:color w:val="auto"/>
              </w:rPr>
            </w:pPr>
          </w:p>
        </w:tc>
      </w:tr>
      <w:tr>
        <w:trPr>
          <w:trHeight w:val="449"/>
        </w:trPr>
        <w:tc>
          <w:tcPr>
            <w:tcW w:w="470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20" w:type="dxa"/>
            <w:vAlign w:val="bottom"/>
            <w:tcBorders>
              <w:top w:val="single" w:sz="8" w:color="CCEEFF"/>
            </w:tcBorders>
            <w:gridSpan w:val="2"/>
            <w:vMerge w:val="restart"/>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Africa &amp; APAC</w:t>
            </w: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0" w:type="dxa"/>
            <w:vAlign w:val="bottom"/>
            <w:tcBorders>
              <w:top w:val="single" w:sz="8" w:color="CCEEFF"/>
            </w:tcBorders>
            <w:gridSpan w:val="2"/>
            <w:vMerge w:val="restart"/>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Latin</w:t>
            </w: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6"/>
              </w:rPr>
              <w:t>Data Centers</w:t>
            </w:r>
          </w:p>
        </w:tc>
        <w:tc>
          <w:tcPr>
            <w:tcW w:w="100" w:type="dxa"/>
            <w:vAlign w:val="bottom"/>
            <w:tcBorders>
              <w:top w:val="single" w:sz="8" w:color="CCEEFF"/>
            </w:tcBorders>
            <w:vMerge w:val="restart"/>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7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Non-lease property revenue</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revenue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17"/>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non-lease revenue</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Property lease revenue</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9,352.6</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Excludes the operating results of ATC TIPL, which are reported as discontinued operations. See note 21 for further discussion.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Africa &amp; APAC</w:t>
            </w:r>
          </w:p>
        </w:tc>
        <w:tc>
          <w:tcPr>
            <w:tcW w:w="18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8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Latin</w:t>
            </w:r>
          </w:p>
        </w:tc>
        <w:tc>
          <w:tcPr>
            <w:tcW w:w="12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200" w:type="dxa"/>
            <w:vAlign w:val="bottom"/>
          </w:tcPr>
          <w:p>
            <w:pPr>
              <w:spacing w:after="0"/>
              <w:rPr>
                <w:sz w:val="13"/>
                <w:szCs w:val="13"/>
                <w:color w:val="auto"/>
              </w:rPr>
            </w:pPr>
          </w:p>
        </w:tc>
        <w:tc>
          <w:tcPr>
            <w:tcW w:w="7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72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Non-lease property revenue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0" w:type="dxa"/>
            <w:vAlign w:val="bottom"/>
          </w:tcPr>
          <w:p>
            <w:pPr>
              <w:spacing w:after="0"/>
              <w:rPr>
                <w:sz w:val="1"/>
                <w:szCs w:val="1"/>
                <w:color w:val="auto"/>
              </w:rPr>
            </w:pPr>
          </w:p>
        </w:tc>
      </w:tr>
      <w:tr>
        <w:trPr>
          <w:trHeight w:val="224"/>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revenue</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7"/>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non-lease revenue</w:t>
            </w: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24"/>
        </w:trPr>
        <w:tc>
          <w:tcPr>
            <w:tcW w:w="4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Property lease revenue</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9,264.9</w:t>
            </w:r>
          </w:p>
        </w:tc>
        <w:tc>
          <w:tcPr>
            <w:tcW w:w="0" w:type="dxa"/>
            <w:vAlign w:val="bottom"/>
          </w:tcPr>
          <w:p>
            <w:pPr>
              <w:spacing w:after="0"/>
              <w:rPr>
                <w:sz w:val="1"/>
                <w:szCs w:val="1"/>
                <w:color w:val="auto"/>
              </w:rPr>
            </w:pPr>
          </w:p>
        </w:tc>
      </w:tr>
      <w:tr>
        <w:trPr>
          <w:trHeight w:val="242"/>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Excludes the operating results of ATC TIPL, which are reported as discontinued operations. See note 21 for further discussion.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non-lease receivables, contract assets and contract liabilities from contracts with customers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6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and other non-current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 (1)</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24"/>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 (1)</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Includes capital contributions related to DAS networks.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records unearned revenue when payments are received from customers in advance of the completion of the Company’s performance obligations.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unearned revenue is included in Other non-current liabilities.</w:t>
      </w:r>
    </w:p>
    <w:p>
      <w:pPr>
        <w:spacing w:after="0" w:line="13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$133.1 million of revenue that was previously included in the contract liabilities balances, primarily arising from balances as of December 31, 2024.</w:t>
      </w:r>
    </w:p>
    <w:p>
      <w:pPr>
        <w:spacing w:after="0" w:line="1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records unbilled receivables, which are included in Prepaids and other current assets, when it has completed a performance obligation prior to its ability to bill under the customer arrangement. Other contract assets are included in Notes receivable and other non-current assets. The Company recorded an immaterial change in unbilled receivables attributable to non-lease property revenue recognized during each of the years ended December 31, 2025 and 2024. The changes in contract assets attributable to revenue recognized during the years ended December 31, 2025 and 2024 were immaterial.</w:t>
      </w:r>
    </w:p>
    <w:p>
      <w:pPr>
        <w:spacing w:after="0" w:line="10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agreements (i) with an original expected length of one year or less or (ii) for which it recognizes revenue at the amount to which it has the right to invoice for services performed.</w:t>
      </w:r>
    </w:p>
    <w:p>
      <w:pPr>
        <w:spacing w:after="0" w:line="1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Lease Accounting and Rent Expense</w:t>
      </w:r>
      <w:r>
        <w:rPr>
          <w:rFonts w:ascii="Times New Roman" w:cs="Times New Roman" w:eastAsia="Times New Roman" w:hAnsi="Times New Roman"/>
          <w:sz w:val="18"/>
          <w:szCs w:val="18"/>
          <w:color w:val="auto"/>
        </w:rPr>
        <w:t>—The Company accounts for leases using a right-of-use model, which recognizes that, at the date of commencement,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lessee has a financial obligation to make lease payments to the lessor for the right to use the underlying asset during the lease term. The lessee also recognizes a corresponding right-of-use asset related to this right.</w:t>
      </w:r>
    </w:p>
    <w:p>
      <w:pPr>
        <w:spacing w:after="0" w:line="112" w:lineRule="exact"/>
        <w:rPr>
          <w:sz w:val="20"/>
          <w:szCs w:val="20"/>
          <w:color w:val="auto"/>
        </w:rPr>
      </w:pPr>
    </w:p>
    <w:p>
      <w:pPr>
        <w:ind w:right="360"/>
        <w:spacing w:after="0" w:line="248" w:lineRule="auto"/>
        <w:rPr>
          <w:sz w:val="20"/>
          <w:szCs w:val="20"/>
          <w:color w:val="auto"/>
        </w:rPr>
      </w:pPr>
      <w:r>
        <w:rPr>
          <w:rFonts w:ascii="Times New Roman" w:cs="Times New Roman" w:eastAsia="Times New Roman" w:hAnsi="Times New Roman"/>
          <w:sz w:val="18"/>
          <w:szCs w:val="18"/>
          <w:color w:val="auto"/>
        </w:rPr>
        <w:t>The Company recognizes a right-of-use lease asset and lease liability for operating and finance leases. The right-of-use asset is measured as the sum of the lease liability, prepaid or accrued lease payments, any initial direct costs incurred and any other applicable amounts. The Company reviews its right-of-use assets for impairment whenever events, changes in circumstances or other evidence indicate that the carrying amount of the Company’s assets may not be recoverable. The Company reviews its right-of-use assets for indicators of impairment at the lowest level of identifiable cash flows, as part of its asset portfolio. Impairments primarily result from a site not having current tenant leases or from having expenses in excess of revenues. The Company records impairment charges, which are discussed in note 15, in Other operating expenses in the consolidated statements of operations in the period in which the Company identifies such impairment.</w:t>
      </w:r>
    </w:p>
    <w:p>
      <w:pPr>
        <w:spacing w:after="0" w:line="11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calculation of the lease liability requires the Company to make certain assumptions for each lease, including lease term and discount rate implicit in each lease, which could significantly impact the gross lease obligation, the duration and the present value of the lease liability. When calculating the lease term, the Company considers the renewal, cancellation and termination rights available to the Company and the lessor. The Company determines the discount rate by calculating the incremental borrowing rate on a collateralized basis at the commencement of a lease or upon a change in the lease term.</w:t>
      </w:r>
    </w:p>
    <w:p>
      <w:pPr>
        <w:spacing w:after="0" w:line="11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Many of the leases underlying the Company’s sites have fixed rent escalations, which provide for periodic increases in the amount of ground rent payable by the Company over time. In addition, certain of the Company’s tenant leases require the Company to exercise available renewal options pursuant to the underlying ground lease if the tenant exercises its renewal option. The Company’s calculation of the lease liability includes the term of the underlying ground lease plus all periods, if any, for which failure to renew the lease imposes an economic penalty to the Company such that renewal appears to be reasonably assured.</w:t>
      </w:r>
    </w:p>
    <w:p>
      <w:pPr>
        <w:spacing w:after="0" w:line="121"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18"/>
          <w:szCs w:val="18"/>
          <w:color w:val="auto"/>
        </w:rPr>
        <w:t>The straight-line component of ground rent expense for the years ended December 31, 2025, 2024 and 2023 was $36.2 million, $46.8 million and $24.4 million, respectively.</w:t>
      </w:r>
    </w:p>
    <w:p>
      <w:pPr>
        <w:spacing w:after="0" w:line="8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i w:val="1"/>
          <w:iCs w:val="1"/>
          <w:color w:val="auto"/>
        </w:rPr>
        <w:t>Selling, General, Administrative and Development Expense</w:t>
      </w:r>
      <w:r>
        <w:rPr>
          <w:rFonts w:ascii="Times New Roman" w:cs="Times New Roman" w:eastAsia="Times New Roman" w:hAnsi="Times New Roman"/>
          <w:sz w:val="18"/>
          <w:szCs w:val="18"/>
          <w:color w:val="auto"/>
        </w:rPr>
        <w:t>—Selling, general and administrative expense consists of overhead expenses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property and services operations and corporate overhead costs not specifically allocable to any of the Company’s individual business operations. Development expense consists of costs related to the Company’s acquisition efforts, costs associated with new business initiatives and project cancellation costs.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—Stock-based compensation expense is measured at the accounting measurement date based on the fair value of the award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recognized as an expense over the service period, which typically represents the vesting period. The Company provides for accelerated vesting and extended exercise periods of stock options and restricted stock units upon an employee’s death or permanent disability, or upon an employee’s qualified retirement, provided certain eligibility criteria are met. Accordingly, the Company recognizes compensation expense for stock options and time-based restricted stock units (“RSUs”) over the shorter of (i) the vesting period or (ii) the period from the date of grant to the date the employee becomes eligible for such benefits due to death, disability or qualified retirement, which may occur upon grant. The expense recognized includes the impact of forfeitures as they occur. Equity awards typically vest ratably. Awards of RSUs and stock options granted prior to March 10, 2023 generally vest over four years. In December 2022, the Company’s Compensation and Human Capital Committee (the “Compensation Committee”) changed the terms of its awards to generally vest over three years. The change in vesting terms is applicable for new awards granted beginning on March 10, 2023 and does not change the vesting terms applicable to grants awarded prior to March 10, 2023.</w:t>
      </w:r>
    </w:p>
    <w:p>
      <w:pPr>
        <w:spacing w:after="0" w:line="1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(“PSUs”) to its executive officers. Threshold, target and maximum parameters are established for a three-year performance period at the time of grant. The metrics are used to calculate the number of shares that will be issuable when the awards vest, which may range from zero to 200% of the target amounts. The Company recognizes compensation expense for PSUs over the three-year vesting period, subject to adjustment based on the date the employee becomes eligible for retirement benefits as well as performance relative to grant parameters. The Company’s PSUs granted in 2024 and certain of the PSUs granted in 2025 also include a market condition component.</w:t>
      </w:r>
    </w:p>
    <w:p>
      <w:pPr>
        <w:spacing w:after="0" w:line="10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fair value of stock options is determined using the Black-Scholes option-pricing model and the fair value of RSUs and PSUs is based on the fair value of the Company’s common stock on the date of grant. For the component of the PSUs subject to a market condition, fair value is determined using a Monte Carlo simulation model, which uses multiple input variables to determine the probability of satisfying the market condition requirements. The Company recognizes all stock-based compensation expense in Selling, general, administrative and development expense.</w:t>
      </w:r>
    </w:p>
    <w:p>
      <w:pPr>
        <w:spacing w:after="0" w:line="11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6"/>
          <w:szCs w:val="16"/>
          <w:color w:val="auto"/>
        </w:rPr>
        <w:t>In connection with the vesting of restricted stock units, the Company withholds from issuance a number of shares of common stock to satisfy certain employee tax withholding obligations arising from such vesting. The shares withheld are considered constructively retired. The Company recognizes the fair value of the shares withheld in Additional paid-in capital on the consolidated balance sheets. As of December 31, 2025, the Company has withheld from issuance an aggregate of 3.6 million shares, including 0.3 million shares related to the vesting of restricted stock units during the year ended December 31, 2025.</w:t>
      </w:r>
    </w:p>
    <w:p>
      <w:pPr>
        <w:spacing w:after="0" w:line="8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i w:val="1"/>
          <w:iCs w:val="1"/>
          <w:color w:val="auto"/>
        </w:rPr>
        <w:t>Litigation Costs</w:t>
      </w:r>
      <w:r>
        <w:rPr>
          <w:rFonts w:ascii="Times New Roman" w:cs="Times New Roman" w:eastAsia="Times New Roman" w:hAnsi="Times New Roman"/>
          <w:sz w:val="18"/>
          <w:szCs w:val="18"/>
          <w:color w:val="auto"/>
        </w:rPr>
        <w:t>—The Company periodically becomes involved in various claims and lawsuits that are incidental to its business. The Company regularly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monitors the status of pending legal actions to evaluate both the magnitude and likelihood of any potential loss. The Company accrues for these potential losses when it is probable that a liability has been incurred and the amount of loss, or possible range of loss, can be reasonably estimated. Should the ultimate losses on contingencies or litigation vary from estimates, adjustments to those liabilities may be required. The Company also incurs legal costs in connection with these matters and records estimates of these expenses, which are reflected in Selling, general, administrative and development expense in the accompanying consolidated statements of operations.</w:t>
      </w:r>
    </w:p>
    <w:p>
      <w:pPr>
        <w:spacing w:after="0" w:line="10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i w:val="1"/>
          <w:iCs w:val="1"/>
          <w:color w:val="auto"/>
        </w:rPr>
        <w:t>Earnings Per Common Share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Basic and Diluted</w:t>
      </w:r>
      <w:r>
        <w:rPr>
          <w:rFonts w:ascii="Times New Roman" w:cs="Times New Roman" w:eastAsia="Times New Roman" w:hAnsi="Times New Roman"/>
          <w:sz w:val="18"/>
          <w:szCs w:val="18"/>
          <w:color w:val="auto"/>
        </w:rPr>
        <w:t>—Basic net income per common share represents net income attributable to American Tower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stockholders divided by the weighted average number of common shares outstanding during the period. Diluted net income per common share represents net income attributable to American Tower Corporation common stockholders divided by the weighted average number of common shares outstanding during the period and any dilutive common share equivalents, including (A) shares issuable upon the vesting of RSUs and exercise of stock options and (B) shares expected to be earned upon the achievement of the parameters established for PSUs, each to the extent not anti-dilutive. The Company uses the treasury stock method to calculate the effect of its outstanding RSUs, PSUs and stock options.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Retirement Plan</w:t>
      </w:r>
      <w:r>
        <w:rPr>
          <w:rFonts w:ascii="Times New Roman" w:cs="Times New Roman" w:eastAsia="Times New Roman" w:hAnsi="Times New Roman"/>
          <w:sz w:val="18"/>
          <w:szCs w:val="18"/>
          <w:color w:val="auto"/>
        </w:rPr>
        <w:t>—The Company has a 401(k) plan covering nearly all eligible employees who meet certain age and employment requirements.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 2024 and 2023, the Company matched 100% of the first 5% of a participant's contributions. For the years ended December 31, 2025, 2024 and 2023, the Company contributed $15.6 million, $15.0 million and $15.6 million to the plan,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Stonepeak Development Partnership— </w:t>
      </w:r>
      <w:r>
        <w:rPr>
          <w:rFonts w:ascii="Times New Roman" w:cs="Times New Roman" w:eastAsia="Times New Roman" w:hAnsi="Times New Roman"/>
          <w:sz w:val="16"/>
          <w:szCs w:val="16"/>
          <w:color w:val="auto"/>
        </w:rPr>
        <w:t>During the year ended December 31, 2024, the Company entered into an agreement with Stonepeak (as defined in note</w:t>
      </w:r>
    </w:p>
    <w:p>
      <w:pPr>
        <w:spacing w:after="0" w:line="46" w:lineRule="exact"/>
        <w:rPr>
          <w:sz w:val="20"/>
          <w:szCs w:val="20"/>
          <w:color w:val="auto"/>
        </w:rPr>
      </w:pPr>
    </w:p>
    <w:p>
      <w:pPr>
        <w:ind w:right="60" w:firstLine="5"/>
        <w:spacing w:after="0" w:line="245" w:lineRule="auto"/>
        <w:tabs>
          <w:tab w:leader="none" w:pos="2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form a joint venture to construct a new data center in Denver, CO (the “Stonepeak Development Partnership”). At formation, the Company contributed assets with a value of $14.6 million to the Stonepeak Development Partnership and acquired a minority ownership interest (Stonepeak holds the controlling interests). The Company accounts for the Stonepeak Development Partnership as an equity method investment. Under this method, investments are recorded at cost, and are adjusted for the Company’s share of the entities’ income or loss and for distributions and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18"/>
          <w:szCs w:val="18"/>
          <w:color w:val="auto"/>
        </w:rPr>
        <w:t>contributions. As of December 31, 2025, the carrying value of the investment was $33.7 million which is included in Other non-current assets in the consolidated balance sheets.</w:t>
      </w:r>
    </w:p>
    <w:p>
      <w:pPr>
        <w:spacing w:after="0" w:line="100"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6"/>
          <w:szCs w:val="16"/>
          <w:i w:val="1"/>
          <w:iCs w:val="1"/>
          <w:color w:val="auto"/>
        </w:rPr>
        <w:t>Discontinued Operations</w:t>
      </w:r>
      <w:r>
        <w:rPr>
          <w:rFonts w:ascii="Times New Roman" w:cs="Times New Roman" w:eastAsia="Times New Roman" w:hAnsi="Times New Roman"/>
          <w:sz w:val="16"/>
          <w:szCs w:val="16"/>
          <w:color w:val="auto"/>
        </w:rPr>
        <w:t>—The Company classifies the results of operations related to a disposal of assets and liabilities (“the disposal group”) in discontinued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operations in the consolidated statements of operations if all of the following criteria are met: (a) the operations and cash flows of the disposal group can be clearly distinguished from the rest of the Company, (b) the disposal group meets the criteria to be classified as held for sale or has been sold or disposed of by other means and (c) the disposal represents a strategic shift that has or will have a major effect on the Company’s operations and financial results.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operations classified as discontinued operations are reported in Loss from discontinued operations, net of taxes in the accompanying consolidated statements of operations for all periods presented. Historical financial information included in the notes to the consolidated financial statements is adjusted to reflect the classification of results of operations as discontinued operations.</w:t>
      </w:r>
    </w:p>
    <w:p>
      <w:pPr>
        <w:spacing w:after="0" w:line="11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i w:val="1"/>
          <w:iCs w:val="1"/>
          <w:color w:val="auto"/>
        </w:rPr>
        <w:t>Accounting Standards Updates</w:t>
      </w:r>
      <w:r>
        <w:rPr>
          <w:rFonts w:ascii="Times New Roman" w:cs="Times New Roman" w:eastAsia="Times New Roman" w:hAnsi="Times New Roman"/>
          <w:sz w:val="18"/>
          <w:szCs w:val="18"/>
          <w:color w:val="auto"/>
        </w:rPr>
        <w:t>—In December 2023, the FASB issued guidance which requires public entities to provide enhanced income tax disclosures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annual basis. The new guidance requires an expanded rate reconciliation and the disaggregation of cash taxes paid by U.S. federal, U.S. state and foreign jurisdictions. The Company adopted this guidance on a retrospective basis for the fiscal year ended December 31, 2025. The adoption of this guidance did not have a material impact on the Company’s financial statements and related disclosures.</w:t>
      </w:r>
    </w:p>
    <w:p>
      <w:pPr>
        <w:spacing w:after="0" w:line="11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guidance which is intended to improve the disclosures about a public business entity’s expenses, primarily through additional disclosures about the types of expenses (including purchases of inventory, employee compensation, depreciation, amortization, and depletion) included in each relevant expense caption presented on the face of the income statement within continuing operations. The guidance is effective on a prospective basis, with the option for retrospective application, for annual periods beginning after December 15, 2026 and interim reporting periods beginning after December 15, 2027, with early adoption permitted. The Company is currently evaluating the impact of this guidance on its consolidated financial statements and related disclosures.</w:t>
      </w:r>
    </w:p>
    <w:p>
      <w:pPr>
        <w:spacing w:after="0" w:line="10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November 2025, the FASB issued guidance which is intended to more closely align hedge accounting with the economics of an entity’s risk management activities. The amendments are intended to better reflect those strategies in financial reporting by enabling entities to achieve and maintain hedge accounting for highly effective economic hedges of forecasted transactions. The guidance is effective on a prospective basis for annual periods beginning after December 15, 2026, and interim reporting periods within those annual reporting periods. The Company is currently evaluating the impact of this guidance on its consolidated financial statements and related disclosures.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PREPAID AND OTHER CURRENT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6"/>
                <w:szCs w:val="16"/>
                <w:color w:val="auto"/>
              </w:rPr>
            </w:pPr>
          </w:p>
        </w:tc>
      </w:tr>
      <w:tr>
        <w:trPr>
          <w:trHeight w:val="24"/>
        </w:trPr>
        <w:tc>
          <w:tcPr>
            <w:tcW w:w="46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5"/>
        </w:trPr>
        <w:tc>
          <w:tcPr>
            <w:tcW w:w="46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15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assets</w:t>
            </w:r>
          </w:p>
        </w:tc>
        <w:tc>
          <w:tcPr>
            <w:tcW w:w="30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income tax</w:t>
            </w:r>
          </w:p>
        </w:tc>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2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tax and other consumption tax receivables</w:t>
            </w:r>
          </w:p>
        </w:tc>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miscellaneous current assets</w:t>
            </w:r>
          </w:p>
        </w:tc>
        <w:tc>
          <w:tcPr>
            <w:tcW w:w="30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1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0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w:t>
            </w:r>
          </w:p>
        </w:tc>
      </w:tr>
      <w:tr>
        <w:trPr>
          <w:trHeight w:val="20"/>
        </w:trPr>
        <w:tc>
          <w:tcPr>
            <w:tcW w:w="4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75"/>
        </w:trPr>
        <w:tc>
          <w:tcPr>
            <w:tcW w:w="4680" w:type="dxa"/>
            <w:vAlign w:val="bottom"/>
          </w:tcPr>
          <w:p>
            <w:pPr>
              <w:spacing w:after="0"/>
              <w:rPr>
                <w:sz w:val="24"/>
                <w:szCs w:val="24"/>
                <w:color w:val="auto"/>
              </w:rPr>
            </w:pPr>
          </w:p>
        </w:tc>
        <w:tc>
          <w:tcPr>
            <w:tcW w:w="3260" w:type="dxa"/>
            <w:vAlign w:val="bottom"/>
            <w:gridSpan w:val="2"/>
          </w:tcPr>
          <w:p>
            <w:pPr>
              <w:jc w:val="right"/>
              <w:ind w:right="2072"/>
              <w:spacing w:after="0"/>
              <w:rPr>
                <w:sz w:val="20"/>
                <w:szCs w:val="20"/>
                <w:color w:val="auto"/>
              </w:rPr>
            </w:pPr>
            <w:r>
              <w:rPr>
                <w:rFonts w:ascii="Times New Roman" w:cs="Times New Roman" w:eastAsia="Times New Roman" w:hAnsi="Times New Roman"/>
                <w:sz w:val="18"/>
                <w:szCs w:val="18"/>
                <w:color w:val="auto"/>
              </w:rPr>
              <w:t>F-17</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2"/>
        </w:trPr>
        <w:tc>
          <w:tcPr>
            <w:tcW w:w="468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PROPERTY AND EQUIPMENT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(including assets held under finance leases) consisted of the following: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3460" w:type="dxa"/>
            <w:vAlign w:val="bottom"/>
            <w:vMerge w:val="restart"/>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6"/>
                <w:szCs w:val="16"/>
                <w:color w:val="auto"/>
              </w:rPr>
            </w:pPr>
          </w:p>
        </w:tc>
        <w:tc>
          <w:tcPr>
            <w:tcW w:w="18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3460" w:type="dxa"/>
            <w:vAlign w:val="bottom"/>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3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2"/>
                <w:szCs w:val="2"/>
                <w:color w:val="auto"/>
              </w:rPr>
            </w:pPr>
          </w:p>
        </w:tc>
        <w:tc>
          <w:tcPr>
            <w:tcW w:w="150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line="20" w:lineRule="exact"/>
              <w:rPr>
                <w:sz w:val="1"/>
                <w:szCs w:val="1"/>
                <w:color w:val="auto"/>
              </w:rPr>
            </w:pPr>
          </w:p>
        </w:tc>
      </w:tr>
      <w:tr>
        <w:trPr>
          <w:trHeight w:val="191"/>
        </w:trPr>
        <w:tc>
          <w:tcPr>
            <w:tcW w:w="4280" w:type="dxa"/>
            <w:vAlign w:val="bottom"/>
          </w:tcPr>
          <w:p>
            <w:pPr>
              <w:spacing w:after="0"/>
              <w:rPr>
                <w:sz w:val="16"/>
                <w:szCs w:val="16"/>
                <w:color w:val="auto"/>
              </w:rPr>
            </w:pPr>
          </w:p>
        </w:tc>
        <w:tc>
          <w:tcPr>
            <w:tcW w:w="34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Useful Lives (years)</w:t>
            </w: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Towers (1)</w:t>
            </w:r>
          </w:p>
        </w:tc>
        <w:tc>
          <w:tcPr>
            <w:tcW w:w="3460" w:type="dxa"/>
            <w:vAlign w:val="bottom"/>
            <w:tcBorders>
              <w:top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Up to 30</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15,745.0</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(2)</w:t>
            </w:r>
          </w:p>
        </w:tc>
        <w:tc>
          <w:tcPr>
            <w:tcW w:w="3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3 - 20</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4,921.8</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Up to 40</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 (3)</w:t>
            </w:r>
          </w:p>
        </w:tc>
        <w:tc>
          <w:tcPr>
            <w:tcW w:w="3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Up to 30</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4,311.0</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3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0" w:type="dxa"/>
            <w:vAlign w:val="bottom"/>
          </w:tcPr>
          <w:p>
            <w:pPr>
              <w:spacing w:after="0"/>
              <w:rPr>
                <w:sz w:val="1"/>
                <w:szCs w:val="1"/>
                <w:color w:val="auto"/>
              </w:rPr>
            </w:pPr>
          </w:p>
        </w:tc>
      </w:tr>
      <w:tr>
        <w:trPr>
          <w:trHeight w:val="217"/>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30,062.5</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(11,005.7)</w:t>
            </w:r>
          </w:p>
        </w:tc>
        <w:tc>
          <w:tcPr>
            <w:tcW w:w="0" w:type="dxa"/>
            <w:vAlign w:val="bottom"/>
          </w:tcPr>
          <w:p>
            <w:pPr>
              <w:spacing w:after="0"/>
              <w:rPr>
                <w:sz w:val="1"/>
                <w:szCs w:val="1"/>
                <w:color w:val="auto"/>
              </w:rPr>
            </w:pPr>
          </w:p>
        </w:tc>
      </w:tr>
      <w:tr>
        <w:trPr>
          <w:trHeight w:val="21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20,356.3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19,056.8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300" w:hanging="295"/>
        <w:spacing w:after="0"/>
        <w:tabs>
          <w:tab w:leader="none" w:pos="3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Towers are amortized over the remaining estimated useful life of the tower, taking into account residual value, generally up to 30 years.</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fiber, DAS and data center related assets.</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useful lives apply to improvements only.</w:t>
      </w:r>
    </w:p>
    <w:p>
      <w:pPr>
        <w:spacing w:after="0" w:line="134" w:lineRule="exact"/>
        <w:rPr>
          <w:sz w:val="20"/>
          <w:szCs w:val="20"/>
          <w:color w:val="auto"/>
        </w:rPr>
      </w:pPr>
    </w:p>
    <w:p>
      <w:pPr>
        <w:jc w:val="both"/>
        <w:ind w:right="280"/>
        <w:spacing w:after="0" w:line="256" w:lineRule="auto"/>
        <w:rPr>
          <w:sz w:val="20"/>
          <w:szCs w:val="20"/>
          <w:color w:val="auto"/>
        </w:rPr>
      </w:pPr>
      <w:r>
        <w:rPr>
          <w:rFonts w:ascii="Times New Roman" w:cs="Times New Roman" w:eastAsia="Times New Roman" w:hAnsi="Times New Roman"/>
          <w:sz w:val="18"/>
          <w:szCs w:val="18"/>
          <w:color w:val="auto"/>
        </w:rPr>
        <w:t>Total depreciation expense for the years ended December 31, 2025, 2024 and 2023 was $1.1 billion, $1.1 billion and $1.4 billion, respectively. Depreciation expense includes amounts related to finance lease assets for the years ended December 31, 2025, 2024 and 2023 of $86.7 million, $86.5 million and $138.5 million,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finance lease-related balances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6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00" w:type="dxa"/>
            <w:vAlign w:val="bottom"/>
            <w:gridSpan w:val="2"/>
            <w:vMerge w:val="continue"/>
          </w:tcPr>
          <w:p>
            <w:pPr>
              <w:spacing w:after="0"/>
              <w:rPr>
                <w:sz w:val="16"/>
                <w:szCs w:val="16"/>
                <w:color w:val="auto"/>
              </w:rPr>
            </w:pPr>
          </w:p>
        </w:tc>
        <w:tc>
          <w:tcPr>
            <w:tcW w:w="34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37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Towers</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2,793.0</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2,786.9</w:t>
            </w:r>
          </w:p>
        </w:tc>
        <w:tc>
          <w:tcPr>
            <w:tcW w:w="0" w:type="dxa"/>
            <w:vAlign w:val="bottom"/>
          </w:tcPr>
          <w:p>
            <w:pPr>
              <w:spacing w:after="0"/>
              <w:rPr>
                <w:sz w:val="1"/>
                <w:szCs w:val="1"/>
                <w:color w:val="auto"/>
              </w:rPr>
            </w:pPr>
          </w:p>
        </w:tc>
      </w:tr>
      <w:tr>
        <w:trPr>
          <w:trHeight w:val="224"/>
        </w:trPr>
        <w:tc>
          <w:tcPr>
            <w:tcW w:w="3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0" w:type="dxa"/>
            <w:vAlign w:val="bottom"/>
          </w:tcPr>
          <w:p>
            <w:pPr>
              <w:spacing w:after="0"/>
              <w:rPr>
                <w:sz w:val="1"/>
                <w:szCs w:val="1"/>
                <w:color w:val="auto"/>
              </w:rPr>
            </w:pPr>
          </w:p>
        </w:tc>
      </w:tr>
      <w:tr>
        <w:trPr>
          <w:trHeight w:val="242"/>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Buildings and improvements</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24"/>
        </w:trPr>
        <w:tc>
          <w:tcPr>
            <w:tcW w:w="3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42"/>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Land</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24"/>
        </w:trPr>
        <w:tc>
          <w:tcPr>
            <w:tcW w:w="3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2"/>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Equipment</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4"/>
        </w:trPr>
        <w:tc>
          <w:tcPr>
            <w:tcW w:w="3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2"/>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7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at the inception of the agreement. The Company considers an arrangement to be a lease if it conveys the right to control the use of the communications infrastructure or ground space underneath communications infrastructure for a period of time in exchange for consideration. The Company is both a lessor and a lessee.</w:t>
      </w:r>
    </w:p>
    <w:p>
      <w:pPr>
        <w:spacing w:after="0" w:line="113"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Lessor</w:t>
      </w:r>
      <w:r>
        <w:rPr>
          <w:rFonts w:ascii="Times New Roman" w:cs="Times New Roman" w:eastAsia="Times New Roman" w:hAnsi="Times New Roman"/>
          <w:sz w:val="18"/>
          <w:szCs w:val="18"/>
          <w:color w:val="auto"/>
        </w:rPr>
        <w:t>—The Company is a lessor in most of its revenue arrangements, as property revenue is derived from tenant leases of specifically-identified, physically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space on or in the Company’s communications real estate assets. The Company’s lease arrangements with its tenants for its communications sites vary depending upon the region and the industry of the tenant and generally have initial non-cancellable terms of five to ten years with multiple renewal terms. The leases also contain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089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provisions that periodically increase the rent due, typically annually, based on a fixed escalation percentage or an inflationary index, or a combination of both. The Company structures its leases to include financial penalties if a tenant terminates the lease, which serve to disincentivize tenants from terminating the lease prior to the expiration of the lease term.</w:t>
      </w:r>
    </w:p>
    <w:p>
      <w:pPr>
        <w:spacing w:after="0" w:line="11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Company’s leasing arrangements outside of the United States may require that the Company provide power to the communications site through an electrical grid connection, diesel fuel generators or other sources and permit the Company to pass through the costs of, or otherwise charge for, these services. Many arrangements require that the communications site has power for a specified percentage of time. In most cases, if delivery of power falls below the specified service level, a corresponding reduction in revenue is recorded. The Company has determined that this performance obligation is satisfied over time for the duration of the lease. In addition, the Company provides power to its data center customers, which is passed through, or otherwise charged, to customers pursuant to the terms of the customer power arrangement. Customer power arrangements are coterminous with such customer’s underlying lease and have the same pattern of transfer over the lease term. This performance obligation is generally satisfied over time for the duration of the lease. Fixed power revenue is recognized each month over the term of the lease. For variable power arrangements, the Company recognizes revenue each month as the uncertainty related to the consideration is resolved.</w:t>
      </w:r>
    </w:p>
    <w:p>
      <w:pPr>
        <w:spacing w:after="0" w:line="1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typically has more than one tenant on a site and, by performing ordinary course repair and maintenance work, can often lease a site, either through renewing existing agreements or leasing to new tenants, for periods beyond the existing tenant lease term. Accordingly, the Company has minimal risk with respect to the residual value of its leased assets. Communications infrastructure assets are depreciated over their estimated useful lives, which generally do not exceed thirty years.</w:t>
      </w:r>
    </w:p>
    <w:p>
      <w:pPr>
        <w:spacing w:after="0" w:line="119"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As of December 31, 2025, the Company does not have any material related party leases as a lessor. To the extent there are any intercompany leases, these are eliminated in consolidation.</w:t>
      </w:r>
    </w:p>
    <w:p>
      <w:pPr>
        <w:spacing w:after="0" w:line="10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Historically, the Company has been able to successfully renew its applicable leases as needed to ensure continuation of its revenue. Accordingly, the Company assumes that it will have access to the communications infrastructure or ground space underlying its sites when calculating future minimum rental receipts through the end of the respective terms. Future minimum rental receipts expected under non-cancellable operating lease agreements as of December 31, 2025,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15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Amount (1) (2)</w:t>
            </w:r>
          </w:p>
        </w:tc>
      </w:tr>
      <w:tr>
        <w:trPr>
          <w:trHeight w:val="24"/>
        </w:trPr>
        <w:tc>
          <w:tcPr>
            <w:tcW w:w="9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8,693.2</w:t>
            </w:r>
          </w:p>
        </w:tc>
      </w:tr>
      <w:tr>
        <w:trPr>
          <w:trHeight w:val="22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8,529.6</w:t>
            </w:r>
          </w:p>
        </w:tc>
      </w:tr>
      <w:tr>
        <w:trPr>
          <w:trHeight w:val="224"/>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7,145.9</w:t>
            </w:r>
          </w:p>
        </w:tc>
      </w:tr>
      <w:tr>
        <w:trPr>
          <w:trHeight w:val="22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6,750.5</w:t>
            </w:r>
          </w:p>
        </w:tc>
      </w:tr>
      <w:tr>
        <w:trPr>
          <w:trHeight w:val="224"/>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5,412.6</w:t>
            </w:r>
          </w:p>
        </w:tc>
      </w:tr>
      <w:tr>
        <w:trPr>
          <w:trHeight w:val="224"/>
        </w:trPr>
        <w:tc>
          <w:tcPr>
            <w:tcW w:w="9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17,474.1</w:t>
            </w:r>
          </w:p>
        </w:tc>
      </w:tr>
      <w:tr>
        <w:trPr>
          <w:trHeight w:val="242"/>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54,005.9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300" w:hanging="295"/>
        <w:spacing w:after="0"/>
        <w:tabs>
          <w:tab w:leader="none" w:pos="3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are translated at the applicable period-end exchange rate, which may impact comparability between periods.</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represent contractual amounts owed with no adjustments made for expected collectibility.</w:t>
      </w:r>
    </w:p>
    <w:p>
      <w:pPr>
        <w:spacing w:after="0" w:line="24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6"/>
          <w:szCs w:val="16"/>
          <w:color w:val="auto"/>
        </w:rPr>
        <w:t>The Company generally does not enter into sales-type leases or direct financing leases. If incentives are present in the Company’s leases, they are evaluated to determine proper treatment and, to the extent present, are recorded in Other current assets and Other non-current assets in the consolidated balance sheets and amortized on a straight line basis over the corresponding lease term as a non-cash reduction to revenue. As of December 31, 2025, the remaining weighted average amortization period of the Company’s lease incentives was 9 years. As of December 31, 2025, Other current assets and Other non-current assets include $47.7 million and $350.4 million, respectively, for lease incentives. In addition, the Company’s leases do not include any lessee purchase options.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i w:val="1"/>
          <w:iCs w:val="1"/>
          <w:color w:val="auto"/>
        </w:rPr>
        <w:t>Lessee</w:t>
      </w:r>
      <w:r>
        <w:rPr>
          <w:rFonts w:ascii="Times New Roman" w:cs="Times New Roman" w:eastAsia="Times New Roman" w:hAnsi="Times New Roman"/>
          <w:sz w:val="18"/>
          <w:szCs w:val="18"/>
          <w:color w:val="auto"/>
        </w:rPr>
        <w:t>—The Company enters into arrangements as a lessee primarily for ground space underneath its communications sites. These arrangements are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lease agreements with initial non-cancellable terms of approximately five to ten years with one or more automatic or exercisable renewal periods and specified increases in lease payments upon renewal. The Company typically exercises its ground lease renewal options in order to utilize the assets used and provide ongoing tenant space on or in its communications sites through the end of the tenant lease term. Escalation clauses present in operating leases, excluding those tied to CPI or other inflation-based indices, are recognized on a straight-line basis over the estimated lease term of the applicable lease as a component of rent expense. Additionally, the escalations tied to CPI or another inflation-based index are considered variable lease payments. In certain circumstances, the Company enters into revenue sharing arrangements with the ground space owner, which results in variability in lease payments. In most markets outside of the United States, in the event there are no tenants on the communications site, the Company generally has unilateral termination rights and in certain situations, the lease is structured to allow for termination by the Company with minimal or no penalties. Ground lease arrangements usually include annual escalations and do not contain any residual value guarantees or restrictions on dividends, other financial obligations or other similar terms. The Company has entered into certain transactions whereby at the end of a lease, sublease or similar arrangement, the Company has the option to purchase the corresponding communications sites. These transactions are further described in note 17.</w:t>
      </w:r>
    </w:p>
    <w:p>
      <w:pPr>
        <w:spacing w:after="0" w:line="13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Company’s lease liability is the present value of the remaining minimum rental payments to be made over the remaining lease term, including renewal options reasonably certain to be exercised. The Company also considers termination options and factors those into the determination of lease payments when appropriate. To determine the lease term, the Company considers all renewal periods that are reasonably certain to be exercised, taking into consideration all economic factors, including the communications site’s estimated economic life (generally thirty years) and the respective lease terms of the Company’s tenants under the existing lease arrangements on such site.</w:t>
      </w:r>
    </w:p>
    <w:p>
      <w:pPr>
        <w:spacing w:after="0" w:line="108"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The Company assesses its right-of-use asset and other lease-related assets for impairment, as described in note 1. During the years ended December 31, 2025, 2024 and 2023, the Company recorded $7.9 million, $0.8 million and $6.7 million, respectively, of impairment expense related to these assets.</w:t>
      </w:r>
    </w:p>
    <w:p>
      <w:pPr>
        <w:spacing w:after="0" w:line="102"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8"/>
          <w:szCs w:val="18"/>
          <w:color w:val="auto"/>
        </w:rPr>
        <w:t>As of December 31, 2025, the Company does not have any material related party leases or finance leases as a lessee. The Company does not have any sale-leaseback arrangements as lessee and typically does not enter into leveraged leases.</w:t>
      </w:r>
    </w:p>
    <w:p>
      <w:pPr>
        <w:spacing w:after="0" w:line="102"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18"/>
          <w:szCs w:val="18"/>
          <w:color w:val="auto"/>
        </w:rPr>
        <w:t>The Company leases certain land, buildings, equipment and office space under operating leases and land and improvements, towers, equipment and vehicles under finance leases. As of December 31, 2025, operating lease assets were included in Right-of-use asset and finance lease assets were included in Property and equipment, net in the consolidated balance sheet.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other lease-related balances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8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40" w:type="dxa"/>
            <w:vAlign w:val="bottom"/>
          </w:tcPr>
          <w:p>
            <w:pPr>
              <w:spacing w:after="0"/>
              <w:rPr>
                <w:sz w:val="16"/>
                <w:szCs w:val="16"/>
                <w:color w:val="auto"/>
              </w:rPr>
            </w:pPr>
          </w:p>
        </w:tc>
      </w:tr>
      <w:tr>
        <w:trPr>
          <w:trHeight w:val="24"/>
        </w:trPr>
        <w:tc>
          <w:tcPr>
            <w:tcW w:w="63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185"/>
        </w:trPr>
        <w:tc>
          <w:tcPr>
            <w:tcW w:w="63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4"/>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w:t>
            </w:r>
          </w:p>
        </w:tc>
        <w:tc>
          <w:tcPr>
            <w:tcW w:w="1800" w:type="dxa"/>
            <w:vAlign w:val="bottom"/>
          </w:tcPr>
          <w:p>
            <w:pPr>
              <w:jc w:val="right"/>
              <w:ind w:right="159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8,426.5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8,089.6</w:t>
            </w:r>
          </w:p>
        </w:tc>
      </w:tr>
      <w:tr>
        <w:trPr>
          <w:trHeight w:val="250"/>
        </w:trPr>
        <w:tc>
          <w:tcPr>
            <w:tcW w:w="63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r>
      <w:tr>
        <w:trPr>
          <w:trHeight w:val="224"/>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800" w:type="dxa"/>
            <w:vAlign w:val="bottom"/>
          </w:tcPr>
          <w:p>
            <w:pPr>
              <w:jc w:val="right"/>
              <w:ind w:right="159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r>
      <w:tr>
        <w:trPr>
          <w:trHeight w:val="224"/>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18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7,158.7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6,875.6</w:t>
            </w:r>
          </w:p>
        </w:tc>
      </w:tr>
      <w:tr>
        <w:trPr>
          <w:trHeight w:val="21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800" w:type="dxa"/>
            <w:vAlign w:val="bottom"/>
            <w:tcBorders>
              <w:bottom w:val="single" w:sz="8" w:color="auto"/>
            </w:tcBorders>
          </w:tcPr>
          <w:p>
            <w:pPr>
              <w:jc w:val="right"/>
              <w:ind w:right="159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7,743.6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7,452.3</w:t>
            </w:r>
          </w:p>
        </w:tc>
      </w:tr>
      <w:tr>
        <w:trPr>
          <w:trHeight w:val="20"/>
        </w:trPr>
        <w:tc>
          <w:tcPr>
            <w:tcW w:w="6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As most of the Company’s leases do not specifically state an implicit rate, the Company uses a market-specific incremental borrowing rate consistent with the lease term as of the lease commencement date or upon a remeasurement event when calculating the present value of the remaining lease payments. The incremental borrowing rate reflects the cost to borrow on a securitized basis in each market. The remaining lease term does not reflect all renewal options available to the Company, only those renewal options that the Company has assessed as reasonably certain of being exercised taking into consideration the economic and other factors noted above.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lease terms and incremental borrowing rates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20" w:type="dxa"/>
            <w:vAlign w:val="bottom"/>
          </w:tcPr>
          <w:p>
            <w:pPr>
              <w:spacing w:after="0"/>
              <w:rPr>
                <w:sz w:val="16"/>
                <w:szCs w:val="16"/>
                <w:color w:val="auto"/>
              </w:rPr>
            </w:pPr>
          </w:p>
        </w:tc>
        <w:tc>
          <w:tcPr>
            <w:tcW w:w="2320" w:type="dxa"/>
            <w:vAlign w:val="bottom"/>
            <w:gridSpan w:val="3"/>
          </w:tcPr>
          <w:p>
            <w:pPr>
              <w:ind w:left="18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700" w:type="dxa"/>
            <w:vAlign w:val="bottom"/>
          </w:tcPr>
          <w:p>
            <w:pPr>
              <w:spacing w:after="0"/>
              <w:rPr>
                <w:sz w:val="16"/>
                <w:szCs w:val="16"/>
                <w:color w:val="auto"/>
              </w:rPr>
            </w:pPr>
          </w:p>
        </w:tc>
      </w:tr>
      <w:tr>
        <w:trPr>
          <w:trHeight w:val="24"/>
        </w:trPr>
        <w:tc>
          <w:tcPr>
            <w:tcW w:w="7220" w:type="dxa"/>
            <w:vAlign w:val="bottom"/>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5"/>
        </w:trPr>
        <w:tc>
          <w:tcPr>
            <w:tcW w:w="7220" w:type="dxa"/>
            <w:vAlign w:val="bottom"/>
          </w:tcPr>
          <w:p>
            <w:pPr>
              <w:spacing w:after="0"/>
              <w:rPr>
                <w:sz w:val="16"/>
                <w:szCs w:val="16"/>
                <w:color w:val="auto"/>
              </w:rPr>
            </w:pPr>
          </w:p>
        </w:tc>
        <w:tc>
          <w:tcPr>
            <w:tcW w:w="23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7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2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lease cost for the years ended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55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w:t>
            </w:r>
          </w:p>
        </w:tc>
      </w:tr>
      <w:tr>
        <w:trPr>
          <w:trHeight w:val="22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 not included in lease liability (1)</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Primarily includes property tax paid on behalf of the landlord.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is as follows for the years ended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5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55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8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8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(1,264.8)</w:t>
            </w:r>
          </w:p>
        </w:tc>
      </w:tr>
      <w:tr>
        <w:trPr>
          <w:trHeight w:val="250"/>
        </w:trPr>
        <w:tc>
          <w:tcPr>
            <w:tcW w:w="5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operating leases (1)</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2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modifications and reassessments (2)</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8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8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2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Reduction of operating lease liability due to the ATC TIPL Transaction</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300" w:hanging="295"/>
        <w:spacing w:after="0"/>
        <w:tabs>
          <w:tab w:leader="none" w:pos="3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new operating leases and leases acquired in connection with acquisitions.</w:t>
      </w:r>
    </w:p>
    <w:p>
      <w:pPr>
        <w:spacing w:after="0" w:line="10" w:lineRule="exact"/>
        <w:rPr>
          <w:rFonts w:ascii="Times New Roman" w:cs="Times New Roman" w:eastAsia="Times New Roman" w:hAnsi="Times New Roman"/>
          <w:sz w:val="14"/>
          <w:szCs w:val="14"/>
          <w:color w:val="auto"/>
        </w:rPr>
      </w:pPr>
    </w:p>
    <w:p>
      <w:pPr>
        <w:ind w:left="320" w:right="200" w:hanging="315"/>
        <w:spacing w:after="0" w:line="270" w:lineRule="auto"/>
        <w:tabs>
          <w:tab w:leader="none" w:pos="308"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reflects a $515 million increase as a result of the Company’s change in estimated useful lives on January 1, 2024, as additional renewal options may be included.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does not have material operating or financing leases that have not yet commenced.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16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Operating Lease (1)</w:t>
            </w:r>
          </w:p>
        </w:tc>
      </w:tr>
      <w:tr>
        <w:trPr>
          <w:trHeight w:val="24"/>
        </w:trPr>
        <w:tc>
          <w:tcPr>
            <w:tcW w:w="9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r>
      <w:tr>
        <w:trPr>
          <w:trHeight w:val="22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r>
      <w:tr>
        <w:trPr>
          <w:trHeight w:val="224"/>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r>
      <w:tr>
        <w:trPr>
          <w:trHeight w:val="22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r>
      <w:tr>
        <w:trPr>
          <w:trHeight w:val="224"/>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w:t>
            </w:r>
          </w:p>
        </w:tc>
      </w:tr>
      <w:tr>
        <w:trPr>
          <w:trHeight w:val="224"/>
        </w:trPr>
        <w:tc>
          <w:tcPr>
            <w:tcW w:w="9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7,201.7</w:t>
            </w:r>
          </w:p>
        </w:tc>
      </w:tr>
      <w:tr>
        <w:trPr>
          <w:trHeight w:val="217"/>
        </w:trPr>
        <w:tc>
          <w:tcPr>
            <w:tcW w:w="9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11,976.6</w:t>
            </w:r>
          </w:p>
        </w:tc>
      </w:tr>
      <w:tr>
        <w:trPr>
          <w:trHeight w:val="224"/>
        </w:trPr>
        <w:tc>
          <w:tcPr>
            <w:tcW w:w="9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(4,233.0)</w:t>
            </w:r>
          </w:p>
        </w:tc>
      </w:tr>
      <w:tr>
        <w:trPr>
          <w:trHeight w:val="217"/>
        </w:trPr>
        <w:tc>
          <w:tcPr>
            <w:tcW w:w="9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7,743.6</w:t>
            </w:r>
          </w:p>
        </w:tc>
      </w:tr>
      <w:tr>
        <w:trPr>
          <w:trHeight w:val="224"/>
        </w:trPr>
        <w:tc>
          <w:tcPr>
            <w:tcW w:w="9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w:t>
            </w:r>
          </w:p>
        </w:tc>
      </w:tr>
      <w:tr>
        <w:trPr>
          <w:trHeight w:val="242"/>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7,158.7</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Balances are translated at the applicable period-end exchange rate, which may impact comparability between periods.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GOODWILL AND OTHER INTANGIBLE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for each of the Company’s business segments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U.S. &amp;</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Africa &amp;</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7"/>
              </w:rPr>
              <w:t>Latin</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4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3"/>
                <w:szCs w:val="13"/>
                <w:color w:val="auto"/>
              </w:rPr>
            </w:pPr>
          </w:p>
        </w:tc>
        <w:tc>
          <w:tcPr>
            <w:tcW w:w="7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APAC (1)</w:t>
            </w: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12,083.5</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17"/>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11,768.1</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(2)</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 (3)</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2"/>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00" w:hanging="295"/>
        <w:spacing w:after="0"/>
        <w:tabs>
          <w:tab w:leader="none" w:pos="3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goodwill associated with the India reporting unit, which is reported as discontinued operations. See note 21 for further discussion.</w:t>
      </w:r>
    </w:p>
    <w:p>
      <w:pPr>
        <w:spacing w:after="0" w:line="7"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the goodwill associated with the sale of South Africa Fiber, which was sold during the year ended December 31, 2025.</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$6.5 million of goodwill impairments associated with the Bangladesh reporting unit.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15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The Company reviews goodwill for impairment annually (as of December 31) or whenever events or circumstances indicate the carrying amount of an asset may not be recoverable, as further discussed in note 1.</w:t>
      </w:r>
    </w:p>
    <w:p>
      <w:pPr>
        <w:spacing w:after="0" w:line="8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2025, the Company estimated the fair value of the Bangladesh reporting unit using, among other things, indications of value received from third parties in connection with the Company’s review of various strategic alternatives for its Bangladesh operations. As a result, the Company recorded a goodwill impairment charge of $6.5 million. The goodwill impairment charge is recorded in Other operating expense in the consolidated statements of operations for the year ended December 31,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intangible assets subject to amortization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00" w:type="dxa"/>
            <w:vAlign w:val="bottom"/>
            <w:gridSpan w:val="6"/>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00" w:type="dxa"/>
            <w:vAlign w:val="bottom"/>
            <w:gridSpan w:val="6"/>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82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Estimated Useful</w:t>
            </w:r>
          </w:p>
        </w:tc>
        <w:tc>
          <w:tcPr>
            <w:tcW w:w="220" w:type="dxa"/>
            <w:vAlign w:val="bottom"/>
          </w:tcPr>
          <w:p>
            <w:pPr>
              <w:spacing w:after="0"/>
              <w:rPr>
                <w:sz w:val="11"/>
                <w:szCs w:val="11"/>
                <w:color w:val="auto"/>
              </w:rPr>
            </w:pPr>
          </w:p>
        </w:tc>
        <w:tc>
          <w:tcPr>
            <w:tcW w:w="940" w:type="dxa"/>
            <w:vAlign w:val="bottom"/>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20" w:type="dxa"/>
            <w:vAlign w:val="bottom"/>
          </w:tcPr>
          <w:p>
            <w:pPr>
              <w:spacing w:after="0"/>
              <w:rPr>
                <w:sz w:val="11"/>
                <w:szCs w:val="11"/>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20" w:type="dxa"/>
            <w:vAlign w:val="bottom"/>
          </w:tcPr>
          <w:p>
            <w:pPr>
              <w:spacing w:after="0"/>
              <w:rPr>
                <w:sz w:val="11"/>
                <w:szCs w:val="11"/>
                <w:color w:val="auto"/>
              </w:rPr>
            </w:pPr>
          </w:p>
        </w:tc>
        <w:tc>
          <w:tcPr>
            <w:tcW w:w="960" w:type="dxa"/>
            <w:vAlign w:val="bottom"/>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00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3"/>
        </w:trPr>
        <w:tc>
          <w:tcPr>
            <w:tcW w:w="18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220" w:type="dxa"/>
            <w:vAlign w:val="bottom"/>
          </w:tcPr>
          <w:p>
            <w:pPr>
              <w:spacing w:after="0"/>
              <w:rPr>
                <w:sz w:val="16"/>
                <w:szCs w:val="16"/>
                <w:color w:val="auto"/>
              </w:rPr>
            </w:pPr>
          </w:p>
        </w:tc>
        <w:tc>
          <w:tcPr>
            <w:tcW w:w="9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9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20" w:type="dxa"/>
            <w:vAlign w:val="bottom"/>
          </w:tcPr>
          <w:p>
            <w:pPr>
              <w:spacing w:after="0"/>
              <w:rPr>
                <w:sz w:val="16"/>
                <w:szCs w:val="16"/>
                <w:color w:val="auto"/>
              </w:rPr>
            </w:pPr>
          </w:p>
        </w:tc>
        <w:tc>
          <w:tcPr>
            <w:tcW w:w="100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7"/>
        </w:trPr>
        <w:tc>
          <w:tcPr>
            <w:tcW w:w="182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Acquired network</w:t>
            </w: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 intangibles (1)</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Up to 30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5,365.4</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0" w:type="dxa"/>
            <w:vAlign w:val="bottom"/>
          </w:tcPr>
          <w:p>
            <w:pPr>
              <w:spacing w:after="0"/>
              <w:rPr>
                <w:sz w:val="1"/>
                <w:szCs w:val="1"/>
                <w:color w:val="auto"/>
              </w:rPr>
            </w:pPr>
          </w:p>
        </w:tc>
      </w:tr>
      <w:tr>
        <w:trPr>
          <w:trHeight w:val="171"/>
        </w:trPr>
        <w:tc>
          <w:tcPr>
            <w:tcW w:w="18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Acquired tenant-related</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Up to 30</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17,666.0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10,842.3</w:t>
            </w:r>
          </w:p>
        </w:tc>
        <w:tc>
          <w:tcPr>
            <w:tcW w:w="0" w:type="dxa"/>
            <w:vAlign w:val="bottom"/>
          </w:tcPr>
          <w:p>
            <w:pPr>
              <w:spacing w:after="0"/>
              <w:rPr>
                <w:sz w:val="1"/>
                <w:szCs w:val="1"/>
                <w:color w:val="auto"/>
              </w:rPr>
            </w:pPr>
          </w:p>
        </w:tc>
      </w:tr>
      <w:tr>
        <w:trPr>
          <w:trHeight w:val="172"/>
        </w:trPr>
        <w:tc>
          <w:tcPr>
            <w:tcW w:w="18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Acquired licenses and</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w:t>
            </w:r>
          </w:p>
        </w:tc>
        <w:tc>
          <w:tcPr>
            <w:tcW w:w="0" w:type="dxa"/>
            <w:vAlign w:val="bottom"/>
          </w:tcPr>
          <w:p>
            <w:pPr>
              <w:spacing w:after="0"/>
              <w:rPr>
                <w:sz w:val="1"/>
                <w:szCs w:val="1"/>
                <w:color w:val="auto"/>
              </w:rPr>
            </w:pPr>
          </w:p>
        </w:tc>
      </w:tr>
      <w:tr>
        <w:trPr>
          <w:trHeight w:val="151"/>
        </w:trPr>
        <w:tc>
          <w:tcPr>
            <w:tcW w:w="182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Total other intangible</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25,480.9</w:t>
            </w:r>
          </w:p>
        </w:tc>
        <w:tc>
          <w:tcPr>
            <w:tcW w:w="3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(10,950.2)</w:t>
            </w:r>
          </w:p>
        </w:tc>
        <w:tc>
          <w:tcPr>
            <w:tcW w:w="100" w:type="dxa"/>
            <w:vAlign w:val="bottom"/>
          </w:tcPr>
          <w:p>
            <w:pPr>
              <w:spacing w:after="0"/>
              <w:rPr>
                <w:sz w:val="13"/>
                <w:szCs w:val="13"/>
                <w:color w:val="auto"/>
              </w:rPr>
            </w:pPr>
          </w:p>
        </w:tc>
        <w:tc>
          <w:tcPr>
            <w:tcW w:w="2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14,530.7</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24,438.2</w:t>
            </w:r>
          </w:p>
        </w:tc>
        <w:tc>
          <w:tcPr>
            <w:tcW w:w="3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(9,963.9)</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14,474.3</w:t>
            </w:r>
          </w:p>
        </w:tc>
        <w:tc>
          <w:tcPr>
            <w:tcW w:w="0" w:type="dxa"/>
            <w:vAlign w:val="bottom"/>
          </w:tcPr>
          <w:p>
            <w:pPr>
              <w:spacing w:after="0"/>
              <w:rPr>
                <w:sz w:val="1"/>
                <w:szCs w:val="1"/>
                <w:color w:val="auto"/>
              </w:rPr>
            </w:pPr>
          </w:p>
        </w:tc>
      </w:tr>
      <w:tr>
        <w:trPr>
          <w:trHeight w:val="211"/>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right="80" w:hanging="315"/>
        <w:spacing w:after="0" w:line="264" w:lineRule="auto"/>
        <w:tabs>
          <w:tab w:leader="none" w:pos="3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network location intangibles are amortized over the remaining estimated useful life of the tower, taking into account residual value, generally up to 30 years, as the Company considers these intangibles to be directly related to the tower assets.</w:t>
      </w:r>
    </w:p>
    <w:p>
      <w:pPr>
        <w:spacing w:after="0" w:line="21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The acquired network location intangibles represent the value to the Company of the incremental revenue growth that could potentially be obtained from leasing the excess capacity on acquired tower communications infrastructure. The acquired tenant-related intangibles typically represent the value to the Company of tenant contracts and relationships in place at the time of an acquisition or similar transaction, including assumptions regarding estimated renewals. Other intangibles represent the value of acquired licenses, trade name and in place leases. In place lease value represents the fair value of costs avoided in securing data center customers, including vacancy periods, legal costs and commissions. In place lease value also includes assumptions on similar costs avoided upon the renewal or extension of existing leases on a basis consistent with occupancy assumptions used in the fair value of other assets.</w:t>
      </w:r>
    </w:p>
    <w:p>
      <w:pPr>
        <w:spacing w:after="0" w:line="81"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18"/>
          <w:szCs w:val="18"/>
          <w:color w:val="auto"/>
        </w:rPr>
        <w:t>The Company amortizes its acquired intangible assets on a straight-line basis over their estimated useful lives. As of December 31, 2025, the remaining weighted average amortization period of the Company’s intangible assets was 20 years.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for the years ended December 31, 2025, 2024 and 2023 was $879.7 million, $892.0 million and $1.4 billion,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current exchange rates, the Company expects to record amortization expense as follows over the next five years: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9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
        </w:trPr>
        <w:tc>
          <w:tcPr>
            <w:tcW w:w="9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r>
      <w:tr>
        <w:trPr>
          <w:trHeight w:val="224"/>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r>
      <w:tr>
        <w:trPr>
          <w:trHeight w:val="224"/>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r>
      <w:tr>
        <w:trPr>
          <w:trHeight w:val="224"/>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w:t>
            </w:r>
          </w:p>
        </w:tc>
      </w:tr>
      <w:tr>
        <w:trPr>
          <w:trHeight w:val="224"/>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w:t>
            </w:r>
          </w:p>
        </w:tc>
      </w:tr>
    </w:tbl>
    <w:p>
      <w:pPr>
        <w:spacing w:after="0" w:line="24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ACQUISITIONS</w:t>
      </w:r>
    </w:p>
    <w:p>
      <w:pPr>
        <w:spacing w:after="0" w:line="17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Company evaluates each of its acquisitions under the accounting guidance framework to determine whether to treat an acquisition as an asset acquisition or a business combination. For those transactions treated as asset acquisitions, the purchase price is allocated to the assets or rights acquired and liabilities assumed, with no recognition of goodwill. For those transactions treated as business combinations, the estimates of the fair value of the assets or rights acquired and liabilities assumed at the date of the applicable acquisition are subject to adjustment during the measurement period (up to one year from the particular acquisition date), and may include an allocation to goodwill.</w:t>
      </w:r>
    </w:p>
    <w:p>
      <w:pPr>
        <w:spacing w:after="0" w:line="12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The fair value of these net assets acquired are based on management’s estimates and assumptions, as well as other information compiled by management, including valuations that utilize customary valuation procedures and techniques. While the Company believes that such preliminary estimates provide a reasonable basis for estimating the fair value of assets acquired and liabilities assumed, it evaluates any necessary information prior to finalization of the fair value. During the measurement period for those acquisitions accounted for as business combinations, the Company will adjust assets or liabilities if new information is obtained about facts and circumstances that existed as of the acquisition date that, if known, would have resulted in the revised estimated values of those assets or liabilities as of that date.</w:t>
      </w:r>
    </w:p>
    <w:p>
      <w:pPr>
        <w:spacing w:after="0" w:line="10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i w:val="1"/>
          <w:iCs w:val="1"/>
          <w:color w:val="auto"/>
        </w:rPr>
        <w:t>Impact of current year acquisitions</w:t>
      </w:r>
      <w:r>
        <w:rPr>
          <w:rFonts w:ascii="Times New Roman" w:cs="Times New Roman" w:eastAsia="Times New Roman" w:hAnsi="Times New Roman"/>
          <w:sz w:val="18"/>
          <w:szCs w:val="18"/>
          <w:color w:val="auto"/>
        </w:rPr>
        <w:t>—The Company typically acquires communications sites and other communications infrastructure assets from wireless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carriers or other tower operators and subsequently integrates those sites and related assets into its existing portfolio of communications sites and related assets. In the United States, acquisitions may also include data center facilities and related assets. The financial results of the Company’s acquisitions have been included in the Company’s consolidated statements of operations for the year ended December 31, 2025 from the date of the respective acquisition. The date of acquisition, and by extension the point at which the Company begins to recognize the results of an acquisition, may depend on, among other things, the receipt of contractual consents, the commencement and extent of leasing arrangements and the timing of the transfer of title or rights to the assets, which may be accomplished in phases. Communications sites acquired from communications service providers may never have been operated as a business and may instead have been utilized solely by the seller as a component of its network infrastructure. An acquisition may or may not involve the transfer of business operations or employees.</w:t>
      </w:r>
    </w:p>
    <w:p>
      <w:pPr>
        <w:spacing w:after="0" w:line="12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For those acquisitions accounted for as business combinations, the Company recognizes acquisition and merger related expenses in the period in which they are incurred and services are received; for transactions accounted for as asset acquisitions, these costs are capitalized as part of the purchase price. Acquisition, disposition and merger related costs may include finder’s fees, advisory, legal, accounting, valuation and other professional or consulting fees and general administrative costs directly related to completing the transaction. Integration costs include incremental and non-recurring costs necessary to convert data and systems, retain employees and otherwise enable the Company to operate acquired businesses or assets efficiently. The Company records acquisition, disposition and merger related expenses not subject to capitalization, as well as integration costs for all transactions, in Other operating expenses in the consolidated statements of operations.</w:t>
      </w:r>
    </w:p>
    <w:p>
      <w:pPr>
        <w:spacing w:after="0" w:line="123" w:lineRule="exact"/>
        <w:rPr>
          <w:sz w:val="20"/>
          <w:szCs w:val="20"/>
          <w:color w:val="auto"/>
        </w:rPr>
      </w:pPr>
    </w:p>
    <w:p>
      <w:pPr>
        <w:ind w:right="760"/>
        <w:spacing w:after="0" w:line="263"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acquisition, disposition and merger related expenses for business combinations, dispositions and non-capitalized asset acquisition costs and integration costs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6"/>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60" w:type="dxa"/>
            <w:vAlign w:val="bottom"/>
          </w:tcPr>
          <w:p>
            <w:pPr>
              <w:spacing w:after="0"/>
              <w:rPr>
                <w:sz w:val="16"/>
                <w:szCs w:val="16"/>
                <w:color w:val="auto"/>
              </w:rPr>
            </w:pPr>
          </w:p>
        </w:tc>
      </w:tr>
      <w:tr>
        <w:trPr>
          <w:trHeight w:val="24"/>
        </w:trPr>
        <w:tc>
          <w:tcPr>
            <w:tcW w:w="7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7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disposition and merger related expenses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Integration costs</w:t>
            </w:r>
          </w:p>
        </w:tc>
        <w:tc>
          <w:tcPr>
            <w:tcW w:w="88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net benefits of $14.7 million, $23.4 million and $10.3 million related to pre-acquisition contingencies and settlements,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Transactions</w:t>
      </w:r>
    </w:p>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estimated aggregate impact of the acquisitions completed in 2025 on the Company’s revenues and gross margin for the year ended December 31, 2025 was not material to the Company’s operating results. Acquisitions completed in 2025 were included in the Company’s U.S. &amp; Canada, Europe and Data Centers property segments.</w:t>
      </w:r>
    </w:p>
    <w:p>
      <w:pPr>
        <w:spacing w:after="0" w:line="113"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6"/>
          <w:szCs w:val="16"/>
          <w:i w:val="1"/>
          <w:iCs w:val="1"/>
          <w:color w:val="auto"/>
        </w:rPr>
        <w:t>Other Acquisitions—</w:t>
      </w:r>
      <w:r>
        <w:rPr>
          <w:rFonts w:ascii="Times New Roman" w:cs="Times New Roman" w:eastAsia="Times New Roman" w:hAnsi="Times New Roman"/>
          <w:sz w:val="16"/>
          <w:szCs w:val="16"/>
          <w:color w:val="auto"/>
        </w:rPr>
        <w:t>During the year ended December 31, 2025, the Company acquired a total of 312 communications sites, as well as other communications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infrastructure assets, data center facilities and related assets, in the United States, Canada, France and Spain for an aggregate purchase price of $403.6 million. Of the aggregate purchase price, $24.1 million, is reflected as a payable in the consolidated balance sheet as of December 31, 2025, which includes accrued contingent consideration and the CoreSite DE1 Note (as defined in note 8). These acquisitions were accounted for as asset acquisitions.</w:t>
      </w:r>
    </w:p>
    <w:p>
      <w:pPr>
        <w:spacing w:after="0" w:line="85"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allocations of the purchase prices for the fiscal year 2025 acquisitions based upon their estimated fair value at the date of acquisition: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4"/>
        </w:trPr>
        <w:tc>
          <w:tcPr>
            <w:tcW w:w="9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24"/>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(1):</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4"/>
        </w:trPr>
        <w:tc>
          <w:tcPr>
            <w:tcW w:w="9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Tenant-related intangible assets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4"/>
        </w:trPr>
        <w:tc>
          <w:tcPr>
            <w:tcW w:w="9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Network location intangible assets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4"/>
        </w:trPr>
        <w:tc>
          <w:tcPr>
            <w:tcW w:w="9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intangible assets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4"/>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7"/>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r>
      <w:tr>
        <w:trPr>
          <w:trHeight w:val="242"/>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w:t>
      </w:r>
    </w:p>
    <w:p>
      <w:pPr>
        <w:spacing w:after="0" w:line="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Tenant-related intangible assets and network location intangible assets are amortized on a straight-line basis over the estimated useful lives of the assets.</w:t>
      </w:r>
    </w:p>
    <w:p>
      <w:pPr>
        <w:spacing w:after="0" w:line="237"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8"/>
          <w:szCs w:val="18"/>
          <w:color w:val="auto"/>
        </w:rPr>
        <w:t>In addition to the acquisitions discussed above, during the year ended December 31, 2025, the Company purchased 104 towers in connection with the AT&amp;T transaction described in note 17 for an aggregate purchase price of $82.0 million.</w:t>
      </w:r>
    </w:p>
    <w:p>
      <w:pPr>
        <w:spacing w:after="0" w:line="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2025, the Company made 91.7 million EUR (approximately $107.2 million) of deferred payments, including post-closing adjustments, associated with the Company’s acquisition of the European and Latin American tower divisions from Telxius Telecom, S.A. in 2021 (the “Telxius Acquisition”), which is included in Deferred financing costs and other financing activities in the cash flows from financing activities in the Company’s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28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ACCRUED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Pr>
          <w:p>
            <w:pPr>
              <w:spacing w:after="0"/>
              <w:rPr>
                <w:sz w:val="16"/>
                <w:szCs w:val="16"/>
                <w:color w:val="auto"/>
              </w:rPr>
            </w:pPr>
          </w:p>
        </w:tc>
      </w:tr>
      <w:tr>
        <w:trPr>
          <w:trHeight w:val="24"/>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5"/>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15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2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 payable</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pass-through costs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payable for acquisitions (1)</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tenants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2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real estate taxes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rent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related withholdings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r>
      <w:tr>
        <w:trPr>
          <w:trHeight w:val="21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1,082.0</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320" w:right="120" w:hanging="315"/>
        <w:spacing w:after="0" w:line="270" w:lineRule="auto"/>
        <w:tabs>
          <w:tab w:leader="none" w:pos="31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and December 31, 2024 includes $106.9 million and $94.9 million of deferred payments, respectively, including post-closing adjustments, associated with the Telxius Acquisition due in 2026 and 2025,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LONG-TERM OBLIGATIONS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amounts under the Company’s long-term obligations, reflecting discounts, premiums and debt issuance costs,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Contractual Interest Rate (1)</w:t>
            </w:r>
          </w:p>
        </w:tc>
        <w:tc>
          <w:tcPr>
            <w:tcW w:w="186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Maturity Date (1)</w:t>
            </w: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Multicurrency Credit Facility (2)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4.839 %</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28, 2028</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Term Loan (2)</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997.9</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28, 2028</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Credit Facility (2)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28, 2030</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2.950% senior notes (3)</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00" w:type="dxa"/>
            <w:vAlign w:val="bottom"/>
          </w:tcPr>
          <w:p>
            <w:pPr>
              <w:spacing w:after="0"/>
              <w:rPr>
                <w:sz w:val="18"/>
                <w:szCs w:val="18"/>
                <w:color w:val="auto"/>
              </w:rPr>
            </w:pPr>
          </w:p>
        </w:tc>
        <w:tc>
          <w:tcPr>
            <w:tcW w:w="2560" w:type="dxa"/>
            <w:vAlign w:val="bottom"/>
            <w:gridSpan w:val="2"/>
          </w:tcPr>
          <w:p>
            <w:pPr>
              <w:ind w:left="2160"/>
              <w:spacing w:after="0"/>
              <w:rPr>
                <w:sz w:val="20"/>
                <w:szCs w:val="20"/>
                <w:color w:val="auto"/>
              </w:rPr>
            </w:pPr>
            <w:r>
              <w:rPr>
                <w:rFonts w:ascii="Times New Roman" w:cs="Times New Roman" w:eastAsia="Times New Roman" w:hAnsi="Times New Roman"/>
                <w:sz w:val="16"/>
                <w:szCs w:val="16"/>
                <w:color w:val="auto"/>
              </w:rPr>
              <w:t>N/A</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2.400% senior notes (4)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N/A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1.375% senior notes (5)(6)</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00" w:type="dxa"/>
            <w:vAlign w:val="bottom"/>
          </w:tcPr>
          <w:p>
            <w:pPr>
              <w:spacing w:after="0"/>
              <w:rPr>
                <w:sz w:val="18"/>
                <w:szCs w:val="18"/>
                <w:color w:val="auto"/>
              </w:rPr>
            </w:pPr>
          </w:p>
        </w:tc>
        <w:tc>
          <w:tcPr>
            <w:tcW w:w="2560" w:type="dxa"/>
            <w:vAlign w:val="bottom"/>
            <w:gridSpan w:val="2"/>
          </w:tcPr>
          <w:p>
            <w:pPr>
              <w:ind w:left="2160"/>
              <w:spacing w:after="0"/>
              <w:rPr>
                <w:sz w:val="20"/>
                <w:szCs w:val="20"/>
                <w:color w:val="auto"/>
              </w:rPr>
            </w:pPr>
            <w:r>
              <w:rPr>
                <w:rFonts w:ascii="Times New Roman" w:cs="Times New Roman" w:eastAsia="Times New Roman" w:hAnsi="Times New Roman"/>
                <w:sz w:val="16"/>
                <w:szCs w:val="16"/>
                <w:color w:val="auto"/>
              </w:rPr>
              <w:t>N/A</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4.000% senior notes (7)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w:t>
            </w: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6"/>
                <w:szCs w:val="16"/>
                <w:color w:val="auto"/>
              </w:rPr>
              <w:t>N/A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1.300% senior notes (8)</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100" w:type="dxa"/>
            <w:vAlign w:val="bottom"/>
          </w:tcPr>
          <w:p>
            <w:pPr>
              <w:spacing w:after="0"/>
              <w:rPr>
                <w:sz w:val="18"/>
                <w:szCs w:val="18"/>
                <w:color w:val="auto"/>
              </w:rPr>
            </w:pPr>
          </w:p>
        </w:tc>
        <w:tc>
          <w:tcPr>
            <w:tcW w:w="2560" w:type="dxa"/>
            <w:vAlign w:val="bottom"/>
            <w:gridSpan w:val="2"/>
          </w:tcPr>
          <w:p>
            <w:pPr>
              <w:ind w:left="2160"/>
              <w:spacing w:after="0"/>
              <w:rPr>
                <w:sz w:val="20"/>
                <w:szCs w:val="20"/>
                <w:color w:val="auto"/>
              </w:rPr>
            </w:pPr>
            <w:r>
              <w:rPr>
                <w:rFonts w:ascii="Times New Roman" w:cs="Times New Roman" w:eastAsia="Times New Roman" w:hAnsi="Times New Roman"/>
                <w:sz w:val="16"/>
                <w:szCs w:val="16"/>
                <w:color w:val="auto"/>
              </w:rPr>
              <w:t>N/A</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4.400% senior notes (9)</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15, 2026</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1.600%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15, 2026</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1.950% senior notes (6)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516.4</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22, 2026</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1.450%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597.4</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15, 2026</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3.375%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996.6</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15, 2026</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3.125%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2027</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2.750%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2027</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0.450% senior notes (6)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774.1</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2027</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0.400% senior notes (6)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15, 2027</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3.650%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15, 2027</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4.125% senior notes (6)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16, 2027</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3.55%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July 15, 2027</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3.600%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2028</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0.500% senior notes (6)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772.6</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2028</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1.500%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647.8</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31, 2028</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5.500%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15, 2028</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5.250%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15, 2028</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5.800%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744.6</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15, 2028</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5.200%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15, 2029</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3.950%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594.8</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15, 2029</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0.875% senior notes (6)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0.875 %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21, 2029</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3.800%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1,640.5</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15, 2029</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2.900%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2030</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31, 2030</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4.900%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15, 2030</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3.900% senior notes (6)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16, 2030</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2.100%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744.1</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15, 2030</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0.950% senior notes (6)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512.6</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0.950 %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5, 2030</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1.875%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15, 2030</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2.700%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15, 2031</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4.625% senior notes (6)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16, 2031</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2.300%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15, 2031</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1.000% senior notes (6)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2032</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4.050%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15, 2032</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3.625% senior notes (6)</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30, 2032</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4.700% senior notes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15, 2032</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5.650%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15, 2033</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1.250% senior notes (6)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1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21, 2033</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5.550% senior notes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15, 2033</w:t>
            </w:r>
          </w:p>
        </w:tc>
        <w:tc>
          <w:tcPr>
            <w:tcW w:w="0" w:type="dxa"/>
            <w:vAlign w:val="bottom"/>
          </w:tcPr>
          <w:p>
            <w:pPr>
              <w:spacing w:after="0"/>
              <w:rPr>
                <w:sz w:val="1"/>
                <w:szCs w:val="1"/>
                <w:color w:val="auto"/>
              </w:rPr>
            </w:pPr>
          </w:p>
        </w:tc>
      </w:tr>
      <w:tr>
        <w:trPr>
          <w:trHeight w:val="20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5.900% senior notes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742.2</w:t>
            </w:r>
          </w:p>
        </w:tc>
        <w:tc>
          <w:tcPr>
            <w:tcW w:w="100" w:type="dxa"/>
            <w:vAlign w:val="bottom"/>
          </w:tcPr>
          <w:p>
            <w:pPr>
              <w:spacing w:after="0"/>
              <w:rPr>
                <w:sz w:val="17"/>
                <w:szCs w:val="17"/>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5.900 %</w:t>
            </w:r>
          </w:p>
        </w:tc>
        <w:tc>
          <w:tcPr>
            <w:tcW w:w="1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15, 2033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5.450% senior notes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w:t>
            </w: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5.450 %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15, 2034</w:t>
            </w: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4.100% senior notes (6)</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100" w:type="dxa"/>
            <w:vAlign w:val="bottom"/>
          </w:tcPr>
          <w:p>
            <w:pPr>
              <w:spacing w:after="0"/>
              <w:rPr>
                <w:sz w:val="18"/>
                <w:szCs w:val="18"/>
                <w:color w:val="auto"/>
              </w:rPr>
            </w:pPr>
          </w:p>
        </w:tc>
        <w:tc>
          <w:tcPr>
            <w:tcW w:w="28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4.100 %</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16, 2034</w:t>
            </w: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5.400% senior notes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5.400 %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31, 2035</w:t>
            </w: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5.350% senior notes</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5.350 %</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15, 2035</w:t>
            </w: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3.700% senior notes</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3.700 %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15, 2049</w:t>
            </w: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3.100% senior notes</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1,038.8</w:t>
            </w:r>
          </w:p>
        </w:tc>
        <w:tc>
          <w:tcPr>
            <w:tcW w:w="100" w:type="dxa"/>
            <w:vAlign w:val="bottom"/>
          </w:tcPr>
          <w:p>
            <w:pPr>
              <w:spacing w:after="0"/>
              <w:rPr>
                <w:sz w:val="18"/>
                <w:szCs w:val="18"/>
                <w:color w:val="auto"/>
              </w:rPr>
            </w:pPr>
          </w:p>
        </w:tc>
        <w:tc>
          <w:tcPr>
            <w:tcW w:w="28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3.100 %</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15, 2050</w:t>
            </w:r>
          </w:p>
        </w:tc>
      </w:tr>
      <w:tr>
        <w:trPr>
          <w:trHeight w:val="21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2.950% senior notes</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w:t>
            </w: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2.950 %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2051</w:t>
            </w:r>
          </w:p>
        </w:tc>
      </w:tr>
      <w:tr>
        <w:trPr>
          <w:trHeight w:val="20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American Tower Corporation debt</w:t>
            </w: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35,409.2</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34,174.9</w:t>
            </w: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72"/>
        </w:trPr>
        <w:tc>
          <w:tcPr>
            <w:tcW w:w="35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2015-2 Notes (10)</w:t>
            </w:r>
          </w:p>
        </w:tc>
        <w:tc>
          <w:tcPr>
            <w:tcW w:w="5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524.7</w:t>
            </w:r>
          </w:p>
        </w:tc>
        <w:tc>
          <w:tcPr>
            <w:tcW w:w="100" w:type="dxa"/>
            <w:vAlign w:val="bottom"/>
          </w:tcPr>
          <w:p>
            <w:pPr>
              <w:spacing w:after="0"/>
              <w:rPr>
                <w:sz w:val="18"/>
                <w:szCs w:val="18"/>
                <w:color w:val="auto"/>
              </w:rPr>
            </w:pPr>
          </w:p>
        </w:tc>
        <w:tc>
          <w:tcPr>
            <w:tcW w:w="28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N/A</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2018-1A Securities (11)</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3.652 %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15, 2028</w:t>
            </w: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2023-1A Securities (12)</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1,288.0</w:t>
            </w:r>
          </w:p>
        </w:tc>
        <w:tc>
          <w:tcPr>
            <w:tcW w:w="100" w:type="dxa"/>
            <w:vAlign w:val="bottom"/>
          </w:tcPr>
          <w:p>
            <w:pPr>
              <w:spacing w:after="0"/>
              <w:rPr>
                <w:sz w:val="18"/>
                <w:szCs w:val="18"/>
                <w:color w:val="auto"/>
              </w:rPr>
            </w:pPr>
          </w:p>
        </w:tc>
        <w:tc>
          <w:tcPr>
            <w:tcW w:w="284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5.490 %</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15, 2028</w:t>
            </w: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subsidiary debt (13)</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4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Various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w:t>
            </w:r>
          </w:p>
        </w:tc>
      </w:tr>
      <w:tr>
        <w:trPr>
          <w:trHeight w:val="202"/>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American Tower subsidiary debt</w:t>
            </w:r>
          </w:p>
        </w:tc>
        <w:tc>
          <w:tcPr>
            <w:tcW w:w="5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1,795.2</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2,310.3</w:t>
            </w:r>
          </w:p>
        </w:tc>
        <w:tc>
          <w:tcPr>
            <w:tcW w:w="100" w:type="dxa"/>
            <w:vAlign w:val="bottom"/>
            <w:tcBorders>
              <w:bottom w:val="single" w:sz="8" w:color="auto"/>
            </w:tcBorders>
          </w:tcPr>
          <w:p>
            <w:pPr>
              <w:spacing w:after="0"/>
              <w:rPr>
                <w:sz w:val="17"/>
                <w:szCs w:val="17"/>
                <w:color w:val="auto"/>
              </w:rPr>
            </w:pPr>
          </w:p>
        </w:tc>
        <w:tc>
          <w:tcPr>
            <w:tcW w:w="284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r>
      <w:tr>
        <w:trPr>
          <w:trHeight w:val="20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auto"/>
            </w:tcBorders>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37,220.3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36,501.8</w:t>
            </w: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obligations</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(3,693.0)</w:t>
            </w:r>
          </w:p>
        </w:tc>
        <w:tc>
          <w:tcPr>
            <w:tcW w:w="100" w:type="dxa"/>
            <w:vAlign w:val="bottom"/>
            <w:tcBorders>
              <w:bottom w:val="single" w:sz="8" w:color="auto"/>
            </w:tcBorders>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0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obligations</w:t>
            </w: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33,832.5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32,808.8</w:t>
            </w:r>
          </w:p>
        </w:tc>
        <w:tc>
          <w:tcPr>
            <w:tcW w:w="100" w:type="dxa"/>
            <w:vAlign w:val="bottom"/>
            <w:tcBorders>
              <w:bottom w:val="single" w:sz="8" w:color="auto"/>
            </w:tcBorders>
          </w:tcPr>
          <w:p>
            <w:pPr>
              <w:spacing w:after="0"/>
              <w:rPr>
                <w:sz w:val="17"/>
                <w:szCs w:val="17"/>
                <w:color w:val="auto"/>
              </w:rPr>
            </w:pPr>
          </w:p>
        </w:tc>
        <w:tc>
          <w:tcPr>
            <w:tcW w:w="2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3" w:lineRule="exact"/>
        <w:rPr>
          <w:sz w:val="20"/>
          <w:szCs w:val="20"/>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interest rate or maturity date as of December 31, 2025.</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Accrues interest at a variable rate.</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January 14, 2025 using cash on hand and borrowings under the 2021 Multicurrency Credit Facility (as defined below).</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March 14, 2025 using proceeds from the issuance of the 4.900% Notes and 5.350% Notes (each as defined below).</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April 3, 2025 using borrowings under the 2021 Multicurrency Credit Facility and cash on hand.</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are denominated in EUR.</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May 30, 2025 using borrowings under the 2021 Credit Facility (as defined below) and cash on hand.</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September 12, 2025 using borrowings under the 2021 Credit Facility.</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February 13, 2026 using borrowings under the 2021 Credit Facility and cash on hand.</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June 16, 2025 using borrowings under the 2021 Multicurrency Credit Facility and cash on hand.</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 reflects the anticipated repayment date; final legal maturity is March 15, 2048.</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 reflects the anticipated repayment date; final legal maturity is March 15, 2053.</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includes the Bangladesh Term Loan and the CoreSite DE1 Note (each as defined below).</w:t>
      </w:r>
    </w:p>
    <w:p>
      <w:pPr>
        <w:spacing w:after="0" w:line="13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Current portion of long-term obligations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Company’s current portion of long-term obligations primarily includes (i) $500.0 million aggregate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the Company’s 4.400% senior unsecured notes due February 15, 2026, (ii) $700.0 million aggregate principal amount of the Company’s 1.600% senior unsecured notes due April 15, 2026, (iii) 500.0 million EUR aggregate principal amount of the Company’s 1.950% senior unsecured notes due May 22, 2026, (iv) $600.0 million aggregate principal amount of the Company’s 1.450% senior unsecured notes due September 15, 2026, and (v) $1.0 billion aggregate principal amount of the Company’s 3.375% senior unsecured notes due October 15,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Tower Corporation Debt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Facilities</w:t>
      </w:r>
    </w:p>
    <w:p>
      <w:pPr>
        <w:spacing w:after="0" w:line="13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Amendments to Bank Facilities—</w:t>
      </w:r>
      <w:r>
        <w:rPr>
          <w:rFonts w:ascii="Times New Roman" w:cs="Times New Roman" w:eastAsia="Times New Roman" w:hAnsi="Times New Roman"/>
          <w:sz w:val="18"/>
          <w:szCs w:val="18"/>
          <w:color w:val="auto"/>
        </w:rPr>
        <w:t>On January 28, 2025, the Company amended its (i) $6.0 billion senior unsecured multicurrency revolving credit facility,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in December 2021, as further amended (the “2021 Multicurrency Credit Facility”), (ii) $4.0 billion senior unsecured revolving credit facility, as amended and restated in December 2021, as further amended (the “2021 Credit Facility”) and (iii) $1.0 billion unsecured term loan, as amended and restated in December 2021, as further amended (the “2021 Term Loan”).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amendments, among other things,</w:t>
      </w:r>
    </w:p>
    <w:p>
      <w:pPr>
        <w:spacing w:after="0" w:line="149" w:lineRule="exact"/>
        <w:rPr>
          <w:sz w:val="20"/>
          <w:szCs w:val="20"/>
          <w:color w:val="auto"/>
        </w:rPr>
      </w:pPr>
    </w:p>
    <w:p>
      <w:pPr>
        <w:ind w:left="640" w:right="860" w:hanging="318"/>
        <w:spacing w:after="0" w:line="269" w:lineRule="auto"/>
        <w:tabs>
          <w:tab w:leader="none" w:pos="6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dates of the 2021 Multicurrency Credit Facility and the 2021 Credit Facility to January 28, 2028 and January 28, 2030, respectively;</w:t>
      </w:r>
    </w:p>
    <w:p>
      <w:pPr>
        <w:spacing w:after="0" w:line="8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of the 2021 Term Loan to January 28, 2028; and</w:t>
      </w:r>
    </w:p>
    <w:p>
      <w:pPr>
        <w:spacing w:after="0" w:line="148"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Applicable Margins (as defined in the loan agreements).</w:t>
      </w:r>
    </w:p>
    <w:p>
      <w:pPr>
        <w:spacing w:after="0" w:line="14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i w:val="1"/>
          <w:iCs w:val="1"/>
          <w:color w:val="auto"/>
        </w:rPr>
        <w:t>2021 Multicurrency Credit Facility—</w:t>
      </w:r>
      <w:r>
        <w:rPr>
          <w:rFonts w:ascii="Times New Roman" w:cs="Times New Roman" w:eastAsia="Times New Roman" w:hAnsi="Times New Roman"/>
          <w:sz w:val="18"/>
          <w:szCs w:val="18"/>
          <w:color w:val="auto"/>
        </w:rPr>
        <w:t>During the year ended December 31, 2025, the Company borrowed an aggregate of $2.4 billion, including 492.0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 ($529.1 million as of the borrowing date) and repaid an aggregate of $2.0 billion,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089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including 492.0 million EUR ($549.9 million as of the repayment date) of revolving indebtedness under the 2021 Multicurrency Credit Facility. The Company used the borrowings to repay outstanding indebtedness, including the 2.950% Notes, the 1.375% Notes and the Series 2015-2 Notes (each as defined below), and for general corporate purposes.</w:t>
      </w:r>
    </w:p>
    <w:p>
      <w:pPr>
        <w:spacing w:after="0" w:line="113"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2021 Credit Facility—</w:t>
      </w:r>
      <w:r>
        <w:rPr>
          <w:rFonts w:ascii="Times New Roman" w:cs="Times New Roman" w:eastAsia="Times New Roman" w:hAnsi="Times New Roman"/>
          <w:sz w:val="18"/>
          <w:szCs w:val="18"/>
          <w:color w:val="auto"/>
        </w:rPr>
        <w:t>During the year ended December 31, 2025, the Company borrowed an aggregate of $3.7 billion and repaid an aggregate of $3.7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revolving indebtedness under the 2021 Credit Facility. The Company used the borrowings to repay outstanding indebtedness, including the 4.000% Notes and the 1.300% Notes (each as defined below), and for general corporate purposes.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key terms under the 2021 Multicurrency Credit Facility, the 2021 Credit Facility and the 2021 Term Loan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Undrawn</w:t>
            </w:r>
          </w:p>
        </w:tc>
        <w:tc>
          <w:tcPr>
            <w:tcW w:w="1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Current margin over</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commitment</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7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400" w:type="dxa"/>
            <w:vAlign w:val="bottom"/>
          </w:tcPr>
          <w:p>
            <w:pPr>
              <w:spacing w:after="0"/>
              <w:rPr>
                <w:sz w:val="12"/>
                <w:szCs w:val="12"/>
                <w:color w:val="auto"/>
              </w:rPr>
            </w:pPr>
          </w:p>
        </w:tc>
        <w:tc>
          <w:tcPr>
            <w:tcW w:w="140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SOFR or EURIBOR</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letters of credit</w:t>
            </w:r>
          </w:p>
        </w:tc>
        <w:tc>
          <w:tcPr>
            <w:tcW w:w="17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4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fee (2)</w:t>
            </w:r>
          </w:p>
        </w:tc>
        <w:tc>
          <w:tcPr>
            <w:tcW w:w="0" w:type="dxa"/>
            <w:vAlign w:val="bottom"/>
          </w:tcPr>
          <w:p>
            <w:pPr>
              <w:spacing w:after="0"/>
              <w:rPr>
                <w:sz w:val="1"/>
                <w:szCs w:val="1"/>
                <w:color w:val="auto"/>
              </w:rPr>
            </w:pPr>
          </w:p>
        </w:tc>
      </w:tr>
      <w:tr>
        <w:trPr>
          <w:trHeight w:val="222"/>
        </w:trPr>
        <w:tc>
          <w:tcPr>
            <w:tcW w:w="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Multicurrency Credit Facility</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7"/>
              </w:rPr>
              <w:t>January 28, 2028</w:t>
            </w:r>
          </w:p>
        </w:tc>
        <w:tc>
          <w:tcPr>
            <w:tcW w:w="400" w:type="dxa"/>
            <w:vAlign w:val="bottom"/>
            <w:tcBorders>
              <w:top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0.875 %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0.100 %</w:t>
            </w: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7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January 28, 2030</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0.100 %</w:t>
            </w:r>
          </w:p>
        </w:tc>
        <w:tc>
          <w:tcPr>
            <w:tcW w:w="0" w:type="dxa"/>
            <w:vAlign w:val="bottom"/>
          </w:tcPr>
          <w:p>
            <w:pPr>
              <w:spacing w:after="0"/>
              <w:rPr>
                <w:sz w:val="1"/>
                <w:szCs w:val="1"/>
                <w:color w:val="auto"/>
              </w:rPr>
            </w:pPr>
          </w:p>
        </w:tc>
      </w:tr>
      <w:tr>
        <w:trPr>
          <w:trHeight w:val="224"/>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w:t>
            </w:r>
          </w:p>
        </w:tc>
        <w:tc>
          <w:tcPr>
            <w:tcW w:w="1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7"/>
              </w:rPr>
              <w:t>January 28, 2028</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320" w:right="80" w:hanging="315"/>
        <w:spacing w:after="0" w:line="248" w:lineRule="auto"/>
        <w:tabs>
          <w:tab w:leader="none" w:pos="30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Secured Overnight Financing Rate (“SOFR”) applies to the USD denominated borrowings under the 2021 Multicurrency Credit Facility, the 2021 Credit Facility and the 2021 Term Loan. Euro Interbank Offer Rate (“EURIBOR”) applies for EURIBOR based borrowings.</w:t>
      </w:r>
    </w:p>
    <w:p>
      <w:pPr>
        <w:ind w:left="300" w:hanging="295"/>
        <w:spacing w:after="0"/>
        <w:tabs>
          <w:tab w:leader="none" w:pos="3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on undrawn portion of each credit facility.</w:t>
      </w:r>
    </w:p>
    <w:p>
      <w:pPr>
        <w:spacing w:after="0" w:line="6"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two optional renewal periods.</w:t>
      </w:r>
    </w:p>
    <w:p>
      <w:pPr>
        <w:spacing w:after="0" w:line="14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loan agreements for each of the 2021 Multicurrency Credit Facility, the 2021 Credit Facility, and the 2021 Term Loan contain certain reporting, information, financial and operating covenants and other restrictions (including limitations on additional debt, guaranties, sales of assets and liens) with which the Company must comply. Failure to comply with the financial and operating covenants of the loan agreements could not only prevent the Company from being able to borrow additional funds under the revolving credit facilities, but may constitute a default, which could result in, among other things, the amounts outstanding under the applicable agreement, including all accrued interest and unpaid fees, becoming immediately due and payable.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Repayments of Senior Notes</w:t>
      </w:r>
    </w:p>
    <w:p>
      <w:pPr>
        <w:spacing w:after="0" w:line="14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2.950% Senior Notes—</w:t>
      </w:r>
      <w:r>
        <w:rPr>
          <w:rFonts w:ascii="Times New Roman" w:cs="Times New Roman" w:eastAsia="Times New Roman" w:hAnsi="Times New Roman"/>
          <w:sz w:val="18"/>
          <w:szCs w:val="18"/>
          <w:color w:val="auto"/>
        </w:rPr>
        <w:t>On January 14, 2025, the Company repaid $650.0 million aggregate principal amount of the Company’s 2.950%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notes due 2025 (the “2.950% Notes”) upon their maturity. The 2.950% Notes were repaid using cash on hand and borrowings under the 2021 Multicurrency Credit Facility. Upon completion of the repayment, none of the 2.950% Notes remained outstanding.</w:t>
      </w:r>
    </w:p>
    <w:p>
      <w:pPr>
        <w:spacing w:after="0" w:line="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2.400% Senior Notes—</w:t>
      </w:r>
      <w:r>
        <w:rPr>
          <w:rFonts w:ascii="Times New Roman" w:cs="Times New Roman" w:eastAsia="Times New Roman" w:hAnsi="Times New Roman"/>
          <w:sz w:val="18"/>
          <w:szCs w:val="18"/>
          <w:color w:val="auto"/>
        </w:rPr>
        <w:t>On March 14, 2025, the Company repaid $750.0 million aggregate principal amount of the Company’s 2.400%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notes due 2025 (the “2.400% Notes”) upon their maturity. The 2.400% Notes were repaid using proceeds from the issuance of the 4.900% Notes and the 5.350% Notes. Upon completion of the repayment, none of the 2.400% Notes remained outstanding.</w:t>
      </w:r>
    </w:p>
    <w:p>
      <w:pPr>
        <w:spacing w:after="0" w:line="1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1.375% Senior Notes</w:t>
      </w:r>
      <w:r>
        <w:rPr>
          <w:rFonts w:ascii="Times New Roman" w:cs="Times New Roman" w:eastAsia="Times New Roman" w:hAnsi="Times New Roman"/>
          <w:sz w:val="18"/>
          <w:szCs w:val="18"/>
          <w:color w:val="auto"/>
        </w:rPr>
        <w:t>—On April 3, 2025, the Company repaid 500.0 million EUR aggregate principal amount of the Company’s 1.375%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notes due 2025 (the “1.375% Notes”) upon their maturity. The 1.375% Notes were repaid using borrowings under the 2021 Multicurrency Credit Facility and cash on hand. Upon completion of the repayment, none of the 1.375% Notes remained outstanding.</w:t>
      </w:r>
    </w:p>
    <w:p>
      <w:pPr>
        <w:spacing w:after="0" w:line="1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4.000% Senior Notes</w:t>
      </w:r>
      <w:r>
        <w:rPr>
          <w:rFonts w:ascii="Times New Roman" w:cs="Times New Roman" w:eastAsia="Times New Roman" w:hAnsi="Times New Roman"/>
          <w:sz w:val="18"/>
          <w:szCs w:val="18"/>
          <w:color w:val="auto"/>
        </w:rPr>
        <w:t>—On May 30, 2025, the Company repaid $750.0 million aggregate principal amount of the Company’s 4.000%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notes due 2025 (the “4.000% Notes”) upon their maturity. The 4.000% Notes were repaid using borrowings under the 2021 Credit Facility and cash on hand. Upon completion of the repayment, none of the 4.000% Notes remained outstanding.</w:t>
      </w:r>
    </w:p>
    <w:p>
      <w:pPr>
        <w:spacing w:after="0" w:line="9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1.300% Senior Notes</w:t>
      </w:r>
      <w:r>
        <w:rPr>
          <w:rFonts w:ascii="Times New Roman" w:cs="Times New Roman" w:eastAsia="Times New Roman" w:hAnsi="Times New Roman"/>
          <w:sz w:val="18"/>
          <w:szCs w:val="18"/>
          <w:color w:val="auto"/>
        </w:rPr>
        <w:t>—On September 12, 2025, the Company repaid $500.0 million aggregate principal amount of the Company’s 1.300%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unsecured notes due 2025 (the “1.300% Notes”) upon their maturity. The 1.300% Notes were repaid using borrowings under the 2021 Credit Facility. Upon completion of the repayment, none of the 1.300%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Offerings of Senior Notes</w:t>
      </w:r>
    </w:p>
    <w:p>
      <w:pPr>
        <w:spacing w:after="0" w:line="14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4.900% Senior Notes and 5.350% Senior Notes Offering—</w:t>
      </w:r>
      <w:r>
        <w:rPr>
          <w:rFonts w:ascii="Times New Roman" w:cs="Times New Roman" w:eastAsia="Times New Roman" w:hAnsi="Times New Roman"/>
          <w:sz w:val="18"/>
          <w:szCs w:val="18"/>
          <w:color w:val="auto"/>
        </w:rPr>
        <w:t>On March 14, 2025, the Company completed a registered public offering of $650.0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4.900% senior unsecured notes due 2030 (the “Initial 4.900% Notes”) and $350.0 million aggregate principal amount of 5.350% senior unsecured notes due 2035 (the “Initial 5.350% Notes”). The net proceeds from this offering were approximately $988.9 million, after deducting commissions and estimated expenses. The Company used the net proceeds to repay the 2.400% Notes, to repay existing indebtedness under the 2021 Multicurrency Credit Facility and for general corporate purposes.</w:t>
      </w:r>
    </w:p>
    <w:p>
      <w:pPr>
        <w:spacing w:after="0" w:line="10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September 16, 2025, the Company completed a registered public offering of $200.0 million aggregate principal amount through a reopening of the Initial 4.900% Notes (the “Reopened 4.900% Notes” and, collectively with the Initial 4.900% Notes, the “4.900% Notes”) and $375.0 million aggregate principal amount through a reopening of the Initial 5.350% Notes (the “Reopened 5.350% Notes” and, collectively with the Initial 5.350% Notes, the “5.350% Notes”). The net proceeds from this offering were approximately $587.8 million, after deducting commissions and estimated expenses. The Company used the net proceeds to repay existing indebtedness under the 2021 Credit Facility and for general corporate purposes.</w:t>
      </w:r>
    </w:p>
    <w:p>
      <w:pPr>
        <w:spacing w:after="0" w:line="119"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6"/>
          <w:szCs w:val="16"/>
          <w:i w:val="1"/>
          <w:iCs w:val="1"/>
          <w:color w:val="auto"/>
        </w:rPr>
        <w:t>3.625% Senior Notes Offering—</w:t>
      </w:r>
      <w:r>
        <w:rPr>
          <w:rFonts w:ascii="Times New Roman" w:cs="Times New Roman" w:eastAsia="Times New Roman" w:hAnsi="Times New Roman"/>
          <w:sz w:val="16"/>
          <w:szCs w:val="16"/>
          <w:color w:val="auto"/>
        </w:rPr>
        <w:t>On May 30, 2025, the Company completed a registered public offering of 500.0 million EUR (approximately $567.4 million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date of issuance) aggregate principal amount of 3.625% senior unsecured notes due 2032 (the “3.625% Notes”). The net proceeds from this offering were approximately 496.8 million EUR (approximately $563.7 million at the date of issuance), after deducting commissions and estimated expenses. The Company used the net proceeds to repay existing indebtedness under the 2021 Multicurrency Credit Facility and for general corporate purposes.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4.700% Senior Notes Offering—</w:t>
      </w:r>
      <w:r>
        <w:rPr>
          <w:rFonts w:ascii="Times New Roman" w:cs="Times New Roman" w:eastAsia="Times New Roman" w:hAnsi="Times New Roman"/>
          <w:sz w:val="16"/>
          <w:szCs w:val="16"/>
          <w:color w:val="auto"/>
        </w:rPr>
        <w:t>On December 5, 2025, the Company completed a registered public offering of $850.0 million aggregate principal amount of</w:t>
      </w:r>
    </w:p>
    <w:p>
      <w:pPr>
        <w:spacing w:after="0" w:line="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4.700% senior unsecured notes due 2032 (the “4.700% Notes,” and, collectively with the 4.900% Notes, the 5.350% Notes and the 3.625% Notes, the “Notes”). The net proceeds from this offering were approximately $839.5 million, after deducting commissions and estimated expenses. The Company used the net proceeds to repay existing indebtedness under the 2021 Credit Facility.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key terms related to the Company</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outstanding senior notes as of December 31, 2025:</w:t>
      </w:r>
    </w:p>
    <w:p>
      <w:pPr>
        <w:spacing w:after="0" w:line="56"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4"/>
          <w:szCs w:val="14"/>
          <w:b w:val="1"/>
          <w:bCs w:val="1"/>
          <w:color w:val="auto"/>
        </w:rPr>
        <w:t>Adjustments to Principal</w:t>
      </w:r>
    </w:p>
    <w:p>
      <w:pPr>
        <w:spacing w:after="0" w:line="2"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4"/>
          <w:szCs w:val="14"/>
          <w:b w:val="1"/>
          <w:bCs w:val="1"/>
          <w:color w:val="auto"/>
        </w:rPr>
        <w:t>Amount (1)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7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7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21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9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Par Call Date (3)</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payments due (2)</w:t>
            </w:r>
          </w:p>
        </w:tc>
        <w:tc>
          <w:tcPr>
            <w:tcW w:w="2160" w:type="dxa"/>
            <w:vAlign w:val="bottom"/>
            <w:gridSpan w:val="2"/>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4.400%</w:t>
            </w:r>
          </w:p>
        </w:tc>
        <w:tc>
          <w:tcPr>
            <w:tcW w:w="1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15 and August 15</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12, 2016</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15, 2025</w:t>
            </w:r>
          </w:p>
        </w:tc>
        <w:tc>
          <w:tcPr>
            <w:tcW w:w="0" w:type="dxa"/>
            <w:vAlign w:val="bottom"/>
          </w:tcPr>
          <w:p>
            <w:pPr>
              <w:spacing w:after="0"/>
              <w:rPr>
                <w:sz w:val="1"/>
                <w:szCs w:val="1"/>
                <w:color w:val="auto"/>
              </w:rPr>
            </w:pPr>
          </w:p>
        </w:tc>
      </w:tr>
      <w:tr>
        <w:trPr>
          <w:trHeight w:val="22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1.600%</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April 15 and October 15</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29, 2021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 2026</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1.950%</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May 22</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22, 2018</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22, 2026</w:t>
            </w:r>
          </w:p>
        </w:tc>
        <w:tc>
          <w:tcPr>
            <w:tcW w:w="0" w:type="dxa"/>
            <w:vAlign w:val="bottom"/>
          </w:tcPr>
          <w:p>
            <w:pPr>
              <w:spacing w:after="0"/>
              <w:rPr>
                <w:sz w:val="1"/>
                <w:szCs w:val="1"/>
                <w:color w:val="auto"/>
              </w:rPr>
            </w:pPr>
          </w:p>
        </w:tc>
      </w:tr>
      <w:tr>
        <w:trPr>
          <w:trHeight w:val="22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1.450%</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March 15 and September 15</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27, 2021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15, 2026</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3.375%</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April 15 and October 15</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13, 2016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15, 2026</w:t>
            </w:r>
          </w:p>
        </w:tc>
        <w:tc>
          <w:tcPr>
            <w:tcW w:w="0" w:type="dxa"/>
            <w:vAlign w:val="bottom"/>
          </w:tcPr>
          <w:p>
            <w:pPr>
              <w:spacing w:after="0"/>
              <w:rPr>
                <w:sz w:val="1"/>
                <w:szCs w:val="1"/>
                <w:color w:val="auto"/>
              </w:rPr>
            </w:pPr>
          </w:p>
        </w:tc>
      </w:tr>
      <w:tr>
        <w:trPr>
          <w:trHeight w:val="22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3.125%</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15 and July 15</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30, 2016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2026</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2.750%</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January 15 and July 15</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October 3, 2019</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15, 2026</w:t>
            </w:r>
          </w:p>
        </w:tc>
        <w:tc>
          <w:tcPr>
            <w:tcW w:w="0" w:type="dxa"/>
            <w:vAlign w:val="bottom"/>
          </w:tcPr>
          <w:p>
            <w:pPr>
              <w:spacing w:after="0"/>
              <w:rPr>
                <w:sz w:val="1"/>
                <w:szCs w:val="1"/>
                <w:color w:val="auto"/>
              </w:rPr>
            </w:pPr>
          </w:p>
        </w:tc>
      </w:tr>
      <w:tr>
        <w:trPr>
          <w:trHeight w:val="22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0.450%</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15</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21, 2021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15, 2026</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0.400%</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February 15</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October 5, 2021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15, 2026</w:t>
            </w:r>
          </w:p>
        </w:tc>
        <w:tc>
          <w:tcPr>
            <w:tcW w:w="0" w:type="dxa"/>
            <w:vAlign w:val="bottom"/>
          </w:tcPr>
          <w:p>
            <w:pPr>
              <w:spacing w:after="0"/>
              <w:rPr>
                <w:sz w:val="1"/>
                <w:szCs w:val="1"/>
                <w:color w:val="auto"/>
              </w:rPr>
            </w:pPr>
          </w:p>
        </w:tc>
      </w:tr>
      <w:tr>
        <w:trPr>
          <w:trHeight w:val="22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3.650%</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March 15 and September 15</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 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15, 2027</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4.125%</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May 16</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16, 2023</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16, 2027</w:t>
            </w:r>
          </w:p>
        </w:tc>
        <w:tc>
          <w:tcPr>
            <w:tcW w:w="0" w:type="dxa"/>
            <w:vAlign w:val="bottom"/>
          </w:tcPr>
          <w:p>
            <w:pPr>
              <w:spacing w:after="0"/>
              <w:rPr>
                <w:sz w:val="1"/>
                <w:szCs w:val="1"/>
                <w:color w:val="auto"/>
              </w:rPr>
            </w:pPr>
          </w:p>
        </w:tc>
      </w:tr>
      <w:tr>
        <w:trPr>
          <w:trHeight w:val="224"/>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3.55% Notes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15 and July 15</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30, 2017</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15, 2027</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3.600%</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January 15 and July 15</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8, 2017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15, 2027</w:t>
            </w:r>
          </w:p>
        </w:tc>
        <w:tc>
          <w:tcPr>
            <w:tcW w:w="0" w:type="dxa"/>
            <w:vAlign w:val="bottom"/>
          </w:tcPr>
          <w:p>
            <w:pPr>
              <w:spacing w:after="0"/>
              <w:rPr>
                <w:sz w:val="1"/>
                <w:szCs w:val="1"/>
                <w:color w:val="auto"/>
              </w:rPr>
            </w:pPr>
          </w:p>
        </w:tc>
      </w:tr>
      <w:tr>
        <w:trPr>
          <w:trHeight w:val="22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0.500%</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January 15</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10, 2020</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2027</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1.500%</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January 31 and July 31</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November 20, 2020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30, 2027</w:t>
            </w:r>
          </w:p>
        </w:tc>
        <w:tc>
          <w:tcPr>
            <w:tcW w:w="0" w:type="dxa"/>
            <w:vAlign w:val="bottom"/>
          </w:tcPr>
          <w:p>
            <w:pPr>
              <w:spacing w:after="0"/>
              <w:rPr>
                <w:sz w:val="1"/>
                <w:szCs w:val="1"/>
                <w:color w:val="auto"/>
              </w:rPr>
            </w:pPr>
          </w:p>
        </w:tc>
      </w:tr>
      <w:tr>
        <w:trPr>
          <w:trHeight w:val="22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5.500%</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March 15 and September 15</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3, 2023</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15, 2028</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5.250%</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January 15 and July 15</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25, 2023</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15, 2028</w:t>
            </w:r>
          </w:p>
        </w:tc>
        <w:tc>
          <w:tcPr>
            <w:tcW w:w="0" w:type="dxa"/>
            <w:vAlign w:val="bottom"/>
          </w:tcPr>
          <w:p>
            <w:pPr>
              <w:spacing w:after="0"/>
              <w:rPr>
                <w:sz w:val="1"/>
                <w:szCs w:val="1"/>
                <w:color w:val="auto"/>
              </w:rPr>
            </w:pPr>
          </w:p>
        </w:tc>
      </w:tr>
      <w:tr>
        <w:trPr>
          <w:trHeight w:val="22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5.800%</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May 15 and November 15</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2028</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5.200%</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February 15 and August 15</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7, 2024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15, 2029</w:t>
            </w:r>
          </w:p>
        </w:tc>
        <w:tc>
          <w:tcPr>
            <w:tcW w:w="0" w:type="dxa"/>
            <w:vAlign w:val="bottom"/>
          </w:tcPr>
          <w:p>
            <w:pPr>
              <w:spacing w:after="0"/>
              <w:rPr>
                <w:sz w:val="1"/>
                <w:szCs w:val="1"/>
                <w:color w:val="auto"/>
              </w:rPr>
            </w:pPr>
          </w:p>
        </w:tc>
      </w:tr>
      <w:tr>
        <w:trPr>
          <w:trHeight w:val="22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3.950%</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March 15 and September 15</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15, 2019</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15, 2028</w:t>
            </w:r>
          </w:p>
        </w:tc>
        <w:tc>
          <w:tcPr>
            <w:tcW w:w="0" w:type="dxa"/>
            <w:vAlign w:val="bottom"/>
          </w:tcPr>
          <w:p>
            <w:pPr>
              <w:spacing w:after="0"/>
              <w:rPr>
                <w:sz w:val="1"/>
                <w:szCs w:val="1"/>
                <w:color w:val="auto"/>
              </w:rPr>
            </w:pPr>
          </w:p>
        </w:tc>
      </w:tr>
      <w:tr>
        <w:trPr>
          <w:trHeight w:val="877"/>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F-29</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0.875%</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880.9</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(3.5)</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May 21</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May 21, 2021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21, 2029</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1,650.0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(7.6)</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(9.5)</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February 15 and August 15</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June 13, 2019</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15, 2029</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2.900%</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750.0</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(4.9)</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January 15 and July 15</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January 10, 2020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15, 2029</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5.000%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600.0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(6.8)</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January 31 and July 31</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November 21,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2029</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4.900%</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(5)</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850.0</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March 15 and September 15</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March 14, 2025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15, 2030</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3.900%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587.3</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(4.8)</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May 16</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May 29,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16, 2030</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2.100%</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750.0</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(5.9)</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June 15 and December 15</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June 3, 2020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15, 2030</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0.950%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587.3</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(5.1)</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October 5</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October 5,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5, 2030</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1.875%</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800.0</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(5.7)</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April 15 and October 15</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September 28, 2020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15, 2030</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700.0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(4.4)</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April 15 and October 15</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March 29,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15, 2031</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4.625%</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587.3</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(6.0)</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May 16</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May 16, 2023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16, 2031</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700.0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(5.5)</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(6.4)</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March 15 and September 15</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September 27,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2031</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763.4</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(5.3)</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January 15</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September 10, 2020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15, 2031</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4.050%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650.0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(6.3)</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March 15 and September 15</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April 1, 2022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15, 2031</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3.625%</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587.3</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May 30</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May 30, 2025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30, 2032</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4.700%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850.0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(9.6)</w:t>
            </w: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June 15 and December 15</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December 5,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2032</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5.650%</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800.0</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(7.7)</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(8.6)</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March 15 and September 15</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March 3, 2023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15, 2032</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1.250%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587.3</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(5.6)</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May 21</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May 21, 2021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21, 2033</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5.550%</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850.0</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(8.6)</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January 15 and July 15</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May 25, 2023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15, 2033</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5.900%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750.0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(7.1)</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(7.8)</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May 15 and November 15</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September 15, 2023</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15, 2033</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5.450%</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650.0</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(8.5)</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(9.4)</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February 15 and August 15</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March 7, 2024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15, 2033</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4.100%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587.3</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(6.5)</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(7.2)</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May 16</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May 29,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16, 2034</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5.400%</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600.0</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(7.5)</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(8.1)</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January 31 and July 31</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November 21, 2024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31, 2034</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5.350%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725.0</w:t>
            </w: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March 15 and September 15</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March 14,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15, 2034</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3.700%</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600.0</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(7.4)</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April 15 and October 15</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October 3, 2019</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15, 2049</w:t>
            </w:r>
          </w:p>
        </w:tc>
      </w:tr>
      <w:tr>
        <w:trPr>
          <w:trHeight w:val="224"/>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3.100%</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(6)</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1,050.0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(10.9)</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(11.2)</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June 15 and December 15</w:t>
            </w:r>
          </w:p>
        </w:tc>
        <w:tc>
          <w:tcPr>
            <w:tcW w:w="21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June 3, 2020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15, 2049</w:t>
            </w:r>
          </w:p>
        </w:tc>
      </w:tr>
      <w:tr>
        <w:trPr>
          <w:trHeight w:val="224"/>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2.950%</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(7)</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1,050.0</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(25.5)</w:t>
            </w:r>
          </w:p>
        </w:tc>
        <w:tc>
          <w:tcPr>
            <w:tcW w:w="10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(26.2)</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January 15 and July 15</w:t>
            </w:r>
          </w:p>
        </w:tc>
        <w:tc>
          <w:tcPr>
            <w:tcW w:w="21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November 20, 2020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15, 2050</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3" w:lineRule="exact"/>
        <w:rPr>
          <w:sz w:val="20"/>
          <w:szCs w:val="20"/>
          <w:color w:val="auto"/>
        </w:rPr>
      </w:pPr>
    </w:p>
    <w:p>
      <w:pPr>
        <w:ind w:left="300" w:hanging="295"/>
        <w:spacing w:after="0"/>
        <w:tabs>
          <w:tab w:leader="none" w:pos="3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unamortized discounts, premiums and debt issuance costs.</w:t>
      </w:r>
    </w:p>
    <w:p>
      <w:pPr>
        <w:spacing w:after="0" w:line="6" w:lineRule="exact"/>
        <w:rPr>
          <w:rFonts w:ascii="Times New Roman" w:cs="Times New Roman" w:eastAsia="Times New Roman" w:hAnsi="Times New Roman"/>
          <w:sz w:val="14"/>
          <w:szCs w:val="14"/>
          <w:color w:val="auto"/>
        </w:rPr>
      </w:pPr>
    </w:p>
    <w:p>
      <w:pPr>
        <w:jc w:val="both"/>
        <w:ind w:left="320" w:right="40" w:hanging="315"/>
        <w:spacing w:after="0" w:line="255" w:lineRule="auto"/>
        <w:tabs>
          <w:tab w:leader="none" w:pos="3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and unpaid interest on USD denominated notes is payable in USD semi-annually in arrears and will be computed from the issue date on the basis of a 360-day year comprised of twelve 30-day months. Interest on EUR denominated notes is payable in EUR annually in arrears and will be computed on the basis of the actual number of days in the period for which interest is being calculated and the actual number of days from and including the last date on which interest was paid on the notes, beginning on the issue date.</w:t>
      </w:r>
    </w:p>
    <w:p>
      <w:pPr>
        <w:ind w:left="320" w:right="40" w:hanging="315"/>
        <w:spacing w:after="0" w:line="245" w:lineRule="auto"/>
        <w:tabs>
          <w:tab w:leader="none" w:pos="305"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redeem the notes at any time, in whole or in part, at a redemption price equal to 100% of the principal amount of the notes plus a make-whole premium, together with accrued interest to the redemption date. If the Company redeems the notes on or after the par call date, the Company will not be required to pay a make-whole premium.</w:t>
      </w:r>
    </w:p>
    <w:p>
      <w:pPr>
        <w:ind w:left="300" w:hanging="295"/>
        <w:spacing w:after="0"/>
        <w:tabs>
          <w:tab w:leader="none" w:pos="3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are denominated in EUR.</w:t>
      </w:r>
    </w:p>
    <w:p>
      <w:pPr>
        <w:spacing w:after="0" w:line="10" w:lineRule="exact"/>
        <w:rPr>
          <w:rFonts w:ascii="Times New Roman" w:cs="Times New Roman" w:eastAsia="Times New Roman" w:hAnsi="Times New Roman"/>
          <w:sz w:val="14"/>
          <w:szCs w:val="14"/>
          <w:color w:val="auto"/>
        </w:rPr>
      </w:pPr>
    </w:p>
    <w:p>
      <w:pPr>
        <w:ind w:left="320" w:right="120" w:hanging="315"/>
        <w:spacing w:after="0" w:line="255" w:lineRule="auto"/>
        <w:tabs>
          <w:tab w:leader="none" w:pos="305"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original issue date for the Initial 4.900% Notes and the Initial 5.350% Notes was March 14, 2025. The issue date for the Reopened 4.900% Notes and the Reopened 5.350% was September 16, 2025.</w:t>
      </w:r>
    </w:p>
    <w:p>
      <w:pPr>
        <w:ind w:left="300" w:hanging="295"/>
        <w:spacing w:after="0"/>
        <w:tabs>
          <w:tab w:leader="none" w:pos="3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original issue date for the initial 3.100% Notes was June 3, 2020. The issue date for the reopened 3.100% Notes was September 28, 2020.</w:t>
      </w:r>
    </w:p>
    <w:p>
      <w:pPr>
        <w:spacing w:after="0" w:line="1"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original issue date for the initial 2.950% Notes was November 20, 2020. The issue date for the reopened 2.950% Notes was September 27, 2021.</w:t>
      </w:r>
    </w:p>
    <w:p>
      <w:pPr>
        <w:spacing w:after="0" w:line="143"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8"/>
          <w:szCs w:val="18"/>
          <w:color w:val="auto"/>
        </w:rPr>
        <w:t>The Company may redeem each series of senior notes at any time, subject to the terms of the applicable supplemental indenture, in whole or in part, at a redemption price equal to 100% of the principal amount of the notes plus a make-whole premium, as applicable, together with accrued interest to the redemption date. In addition, if the Company undergoes a change of control and corresponding ratings decline, each as defined in the applicable supplemental indenture for the notes, the Company may be required to repurchase all of the applicable notes at a purchase price equal to 101% of the aggregate principal amount of such notes, plus accrued and unpaid interest (including additional interest, if any), up to but not including the repurchase date. The notes rank equally in right of payment with all of the Company’s other senior unsecured debt obligations and are structurally subordinated to all existing and future indebtedness and other obligations of its subsidiaries.</w:t>
      </w:r>
    </w:p>
    <w:p>
      <w:pPr>
        <w:spacing w:after="0" w:line="12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Each applicable supplemental indenture for the notes contains certain covenants that restrict the Company’s ability to merge, consolidate or sell assets and its (together with its subsidiaries’) ability to incur liens. These covenants are subject to a number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 exceptions, including that the Company and its subsidiaries may incur certain liens on assets, mortgages or other liens securing indebtedness if the aggregate amount of indebtedness secured by such liens does not exceed 3.5x Adjusted EBITDA, as defined in the applicable supplemental indenture. As of December 31, 2025, the Company was in compliance with each of these covenants.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Tower Subsidiary Debt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w:t>
      </w:r>
    </w:p>
    <w:p>
      <w:pPr>
        <w:spacing w:after="0" w:line="15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As of December 31, 2025, the Company has a securitization in place. Cash flows generated by the communications sites that secure the securitized debt of the Company are only available for payment of such debt and are not available to pay the Company’s other obligations or the claims of its creditors. However, subject to certain restrictions, the Company holds the right to receive the excess cash flows not needed to service the securitized debt and other obligations arising out of the securitization. The securitized debt is the obligation of the issuers thereof or borrowers thereunder, as applicable, and their subsidiaries, and not of the Company or its other subsidiaries.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i w:val="1"/>
          <w:iCs w:val="1"/>
          <w:color w:val="auto"/>
        </w:rPr>
        <w:t>American Tower Secured Revenue Notes and Repayment of Series 2015-2 Notes</w:t>
      </w:r>
      <w:r>
        <w:rPr>
          <w:rFonts w:ascii="Times New Roman" w:cs="Times New Roman" w:eastAsia="Times New Roman" w:hAnsi="Times New Roman"/>
          <w:sz w:val="16"/>
          <w:szCs w:val="16"/>
          <w:color w:val="auto"/>
        </w:rPr>
        <w:t>—In May 2015, GTP Acquisition Partners I, LLC, one of the Company’s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wholly owned subsidiaries, refinanced existing debt with cash on hand and proceeds from a private issuance (the “2015 Securitization”) of (i) $350.0 million of American Tower Secured Revenue Notes, Series 2015-1, Class A, which were subsequently repaid on the June 2020 payment date, and (ii) $525.0 million of American Tower Secured Revenue Notes, Series 2015-2, Class A (the “Series 2015-2 Notes”). On the June 2025 payment date, the Company repaid</w:t>
      </w:r>
    </w:p>
    <w:p>
      <w:pPr>
        <w:spacing w:after="0" w:line="1"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8"/>
          <w:szCs w:val="18"/>
          <w:color w:val="auto"/>
        </w:rPr>
        <w:t>$525.0 million aggregate principal amount outstanding under the Series 2015-2 Notes, pursuant to the terms of the agreements governing such securities. The repayment was funded with borrowings under the 2021 Multicurrency Credit Facility and cash on hand. Following such repayment, no notes were outstanding under the 2015 Securitization.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Secured Tower Revenue Securities, Series 2023-1, Subclass A and Series 2023-1, Subclass R, Series 2018-1, Subclass A and Series 2018-1, Subclass R</w:t>
      </w:r>
      <w:r>
        <w:rPr>
          <w:rFonts w:ascii="Times New Roman" w:cs="Times New Roman" w:eastAsia="Times New Roman" w:hAnsi="Times New Roman"/>
          <w:sz w:val="16"/>
          <w:szCs w:val="16"/>
          <w:color w:val="auto"/>
        </w:rPr>
        <w:t>—On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2023, the Company completed a securitization transaction (the “2023 Securitization”), in which American Tower Trust I (the “Trust”) issued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billion aggregate principal amount of Secured Tower Revenue Securities, Series 2023-1, Subclass A (the “Series 2023-1A Securities”). To satisfy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risk retention requirements of Regulation RR promulgated under the Securities Exchange Act of 1934, as amended (the “Exchange Act” and,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the “Risk Retention Rules”), the Trust issued, and one of the Company’s affiliates purchased, $68.5 million aggregate principal amount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Secured Tower Revenue Securities, Series 2023-1, Subclass R (the “Series 2023-1R Securities” and, together with the Series 2023-1A Securities, the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to retain an “eligible horizontal residual interest” (as defined in the Risk Retention Rules) in an amount equal to at least 5% of the fair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Securities.</w:t>
      </w:r>
    </w:p>
    <w:p>
      <w:pPr>
        <w:spacing w:after="0" w:line="131"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On March 29, 2018, the Company completed a securitization transaction (the “2018 Securitization,” and, together with the 2023 Securitization, the “Trust Securitization”), in which the Trust issued $500.0 million aggregate principal amount of Secured Tower Revenue Securities, Series 2018-1, Subclass A (the “Series 2018-1A Securities”). To satisfy the Risk Retention Rules, the Trust issued, and one of the Company’s affiliates purchased, $26.4 million aggregate principal amount of Secured Tower Revenue Securities, Series 2018-1, Subclass R (the “Series 2018-1R Securities” and, together with the Series 2018-1A Securities, the “2018 Securities”) to retain an “eligible horizontal residual interest” (as defined in the Risk Retention Rules) in an amount equal to at least 5% of the fair value of the 2018 Securities.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assets of the Trust consist of a nonrecourse loan broken into components or “componentized” (the “Loan”), which secures each of the 2018 Securities and the 2023 Securities. The AMT Asset Subs are jointly and severally liable under the Loan, which is secured primarily by mortgages on the AMT Asset Subs’ interests in 5,023 broadcast and wireless communications towers and related assets (the “Trust Sites”).</w:t>
      </w:r>
    </w:p>
    <w:p>
      <w:pPr>
        <w:spacing w:after="0" w:line="10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2023 Securities correspond to components of the Loan made to the AMT Asset Subs pursuant to the Second Supplement and Amendment dated as of March 13, 2023 to the Second Amended and Restated Loan and Security Agreement dated as of March 29, 2018 (the “Loan Agreement,” which continues to govern the 2018 Securities, and collectively, the “Trust Loan Agreement”).</w:t>
      </w:r>
    </w:p>
    <w:p>
      <w:pPr>
        <w:spacing w:after="0" w:line="11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2023 Securities (a) represent a pass-through interest in the components of the Loan corresponding to the 2023 Securities and (b) have an expected life of approximately five years with a final repayment date in March 2053. The Series 2023-1A Securities and the Series 2023-1R Securities have interest rates of 5.490% and 5.735%, respectively. Subject to certain limited exceptions described below, no payments of principal will be required to be made on the components of the Loan corresponding to the 2023 Securities prior to the monthly payment date in March 2028, which is the anticipated repayment date for those components.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2018 Securities (a) represent a pass-through interest in the components of the Loan corresponding to the 2018 Securities and (b) have an expected life of approximately ten years with a final repayment date in March 2048. The Series 2018-1A Securities have an interest rate of 3.652% and the Series 2018-1R Securities have an interest rate of 4.459%. Subject to certain limited exceptions described below, no payments of principal will be required to be made on the components of the Loan corresponding to the 2018 Securities prior to the monthly payment date in March 2028, which is the anticipated repayment date for such components.</w:t>
      </w:r>
    </w:p>
    <w:p>
      <w:pPr>
        <w:spacing w:after="0" w:line="121"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8"/>
          <w:szCs w:val="18"/>
          <w:color w:val="auto"/>
        </w:rPr>
        <w:t>The AMT Asset Subs are required to make monthly payments of interest on the Loan. The debt service on the Loan will be paid solely from the cash flows generated from the operation of the Trust Sites held by the AMT Asset Subs.</w:t>
      </w:r>
    </w:p>
    <w:p>
      <w:pPr>
        <w:spacing w:after="0" w:line="8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The Loan is secured by (1) mortgages, deeds of trust and deeds to secure debt on substantially all of the Trust Sites and their operating cash flows, (2) a security interest in substantially all of the AMT Asset Subs’ personal property and fixtures and (3) the AMT Asset Subs’ rights under that certain management agreement among the AMT Asset Subs and SpectraSite Communications, LLC entered into in March 2013. American Tower Holding Sub, LLC (the “Guarantor”), whose only material assets are its equity interests in each of the AMT Asset Subs, and American Tower Guarantor Sub, LLC whose only material asset is its equity interests in the Guarantor, have each guaranteed repayment of the Loan and pledged their equity interests in their respective subsidiary or subsidiaries as security for such payment obligations.</w:t>
      </w:r>
    </w:p>
    <w:p>
      <w:pPr>
        <w:spacing w:after="0" w:line="12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Under the terms of the Loan Agreement, amounts due will be paid from the cash flows generated by the Trust Sites, which must be deposited into certain reserve accounts, and thereafter distributed, solely pursuant to the terms of the Loan Agreement. On a monthly basis, after payment of all required amounts under the Loan Agreement, including interest payments, subject to the conditions described below, the excess cash flows generated from the operation of such assets are released to the AMT Asset Subs, as applicable, which can then be distributed to, and used by, the Company.</w:t>
      </w:r>
    </w:p>
    <w:p>
      <w:pPr>
        <w:spacing w:after="0" w:line="11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In order to distribute any excess cash flow to the Company, the AMT Asset Subs must maintain a specified debt service coverage ratio (the “DSCR”), which is generally calculated as the ratio of the net cash flow (as defined in the applicable agreement) to the amount of interest, servicing fees and trustee fees required to be paid over the succeeding 12 months on the principal amount of the Loan that will be outstanding on the payment date following such date of determination. If the DSCR were equal to or below 1.30x (the “Cash Trap DSCR”) for any quarter, then all cash flow in excess of amounts required to make debt service payments, fund required reserves, pay management fees and budgeted operating expenses and make other payments required under the applicable transaction documents, referred to as excess cash flow, will be deposited into a reserve account (the “Cash Trap Reserve Account”) instead of being released to the AMT Asset Subs. The funds in the Cash Trap Reserve Account will not be released to the AMT Asset Subs unless the DSCR exceeds the Cash Trap DSCR for two consecutive calendar quarters.</w:t>
      </w:r>
    </w:p>
    <w:p>
      <w:pPr>
        <w:spacing w:after="0" w:line="11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Additionally, an “amortization period” commences if, as of the end of any calendar quarter, the DSCR is equal to or below 1.15x (the “Minimum DSCR”) and will continue to exist until the DSCR exceeds the Minimum DSCR for two consecutive calendar quarters. With respect to the Trust Securities, an “amortization period” also commences if, on the anticipated repayment date the component of the Loan corresponding to the applicable subclass of the Trust Securities has not been repaid in full, provided that such amortization period shall apply with respect to such component that has not been repaid in full. During an amortization period, all excess cash flow and any amounts then in the applicable Cash Trap Reserve Account would be applied to pay the principal of the Loan on each monthly payment date.</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Loan may be prepaid in whole or in part at any time, provided such payment is accompanied by the applicable prepayment consideration. If the prepayment occurs within (i) 36 months of the anticipated repayment date with respect to the 2018 Securities and (ii) 12 months of the anticipated repayment date for the 2023 Securities, no prepayment consideration is due.</w:t>
      </w:r>
    </w:p>
    <w:p>
      <w:pPr>
        <w:spacing w:after="0" w:line="1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Loan Agreement includes operating covenants and other restrictions customary for transactions subject to rated securitizations. Among other things, the AMT Asset Subs are prohibited from incurring other indebtedness for borrowed money or further encumbering their assets subject to customary carve-outs for ordinary course trade payables and permitted encumbrances (as defined in the Loan Agreement). The organizational documents of the AMT Asset Subs contain provisions consistent with rating agency securitization criteria for special purpose entities, including the requirement that they maintain independent directors. The Loan Agreement also contains certain covenants that require the AMT Asset Subs to provide the trustee with regular financial reports and operating budgets, promptly notify such trustee of events of default and material breaches under the Loan Agreement and other agreements related to the Trust Sites and allow the trustee reasonable access to the sites, including the right to conduct site investigations.</w:t>
      </w:r>
    </w:p>
    <w:p>
      <w:pPr>
        <w:spacing w:after="0" w:line="110"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18"/>
          <w:szCs w:val="18"/>
          <w:color w:val="auto"/>
        </w:rPr>
        <w:t>A failure to comply with the covenants in the Loan Agreement could prevent the AMT Asset Subs from distributing excess cash flow to the Company. Furthermore, if the AMT Asset Subs were to default on the Loan, the trustee may seek to foreclose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upon or otherwise convert the ownership of all or any portion of the Trust Sites, in which case the Company could lose the revenue and cash flows associated with those assets.</w:t>
      </w:r>
    </w:p>
    <w:p>
      <w:pPr>
        <w:spacing w:after="0" w:line="102"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Further, under the Loan Agreement, the AMT Asset Subs are required to maintain reserve accounts, including for ground rents, real estate and personal property taxes and insurance premiums, and, in certain circumstances under the Loan Agreement, to reserve a portion of advance rents from tenants on the Trust Sites. Based on the terms of the Loan Agreement, all rental cash receipts received for each month are reserved for the succeeding month and held in an account controlled by the applicable trustee and then released. The $69.0 million held in the reserve accounts with respect to the Trust Securitization as of December 31, 2025 is classified as Restricted cash on the Company’s accompanying consolidated balance sheets.</w:t>
      </w:r>
    </w:p>
    <w:p>
      <w:pPr>
        <w:spacing w:after="0" w:line="10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Subsidiary Debt</w:t>
      </w:r>
      <w:r>
        <w:rPr>
          <w:rFonts w:ascii="Times New Roman" w:cs="Times New Roman" w:eastAsia="Times New Roman" w:hAnsi="Times New Roman"/>
          <w:sz w:val="18"/>
          <w:szCs w:val="18"/>
          <w:color w:val="auto"/>
        </w:rPr>
        <w:t>—Each of the agreements governing the other subsidiary debt contains contractual covenants and other restrictions. Failure to comply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certain of the financial and operating covenants could constitute a default under the applicable debt agreement, which could result in, among other things, the amounts outstanding, including all accrued interest and unpaid fees, becoming immediately due and payable.</w:t>
      </w:r>
    </w:p>
    <w:p>
      <w:pPr>
        <w:spacing w:after="0" w:line="10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i w:val="1"/>
          <w:iCs w:val="1"/>
          <w:color w:val="auto"/>
        </w:rPr>
        <w:t>Bangladesh Term Loan—</w:t>
      </w:r>
      <w:r>
        <w:rPr>
          <w:rFonts w:ascii="Times New Roman" w:cs="Times New Roman" w:eastAsia="Times New Roman" w:hAnsi="Times New Roman"/>
          <w:sz w:val="18"/>
          <w:szCs w:val="18"/>
          <w:color w:val="auto"/>
        </w:rPr>
        <w:t>In March 2025, the Company entered into a 400.0 million BDT (approximately $3.3 million) term loan with a maturity date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eight years from the date of the first draw thereunder (the “Bangladesh Term Loan”). On March 24, 2025, the Company borrowed 150.0 million BDT (approximately $1.2 million) under the Bangladesh Term Loan. The Bangladesh Term Loan bears interest at 13.50% per annum, subject to quarterly resets. Interest is payable quarterly. Any outstanding principal and accrued but unpaid interest will be due and payable in full at maturity. The Bangladesh Term Loan does not require amortization of principal and may be paid prior to maturity in whole or in part at the Company’s option without penalty or premium. As of December 31, 2025, 150.0 million BDT (approximately $1.2 million) was outstanding under the Bangladesh Term Loan.</w:t>
      </w:r>
    </w:p>
    <w:p>
      <w:pPr>
        <w:spacing w:after="0" w:line="121"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8"/>
          <w:szCs w:val="18"/>
          <w:i w:val="1"/>
          <w:iCs w:val="1"/>
          <w:color w:val="auto"/>
        </w:rPr>
        <w:t>CoreSite DE1 Note—</w:t>
      </w:r>
      <w:r>
        <w:rPr>
          <w:rFonts w:ascii="Times New Roman" w:cs="Times New Roman" w:eastAsia="Times New Roman" w:hAnsi="Times New Roman"/>
          <w:sz w:val="18"/>
          <w:szCs w:val="18"/>
          <w:color w:val="auto"/>
        </w:rPr>
        <w:t>On April 1, 2025, in connection with the Company’s acquisition of a multi-tenant data center facility in Denver, Colorado, in which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leased space (“DE1”), the Company entered into an agreement to pay $5.0 million of purchase price to the seller in monthly installments through March 31, 2028 (the “CoreSite DE1 Note”). The CoreSite DE1 Note accrues interest at the prime rate as announced by Bank of America, N.A plus 200 basis points. As of December 31, 2025, the interest rate was 9.50% per annum. Interest is payable monthly in arrears. Any outstanding principal and accrued but unpaid interest will be due and payable in full at maturity. The CoreSite DE1 Note may be paid prior to maturity in whole or in part at the Company’s option without penalty or premium, provided that if such prepayment is made prior to April 1, 2027, the Company is required to pay any additional interest which would have accrued under the CoreSite DE1 Note in the ordinary course through April 1, 2027. As of December 31, 2025, approximately $4.0 million was outstanding under the CoreSite DE1 Note.</w:t>
      </w:r>
    </w:p>
    <w:p>
      <w:pPr>
        <w:spacing w:after="0" w:line="105"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Finance Lease Obligations</w:t>
      </w:r>
      <w:r>
        <w:rPr>
          <w:rFonts w:ascii="Times New Roman" w:cs="Times New Roman" w:eastAsia="Times New Roman" w:hAnsi="Times New Roman"/>
          <w:sz w:val="18"/>
          <w:szCs w:val="18"/>
          <w:color w:val="auto"/>
        </w:rPr>
        <w:t>—The Company’s finance lease obligations approximated $15.9 million and $16.6 million as of December 31, 2025 and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r>
        <w:rPr>
          <w:rFonts w:ascii="Times New Roman" w:cs="Times New Roman" w:eastAsia="Times New Roman" w:hAnsi="Times New Roman"/>
          <w:sz w:val="18"/>
          <w:szCs w:val="18"/>
          <w:color w:val="auto"/>
        </w:rPr>
        <w:t>—Aggregate principal maturities of long-term debt, including finance leases, for the next five years and thereafter are expected to be: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
        </w:trPr>
        <w:tc>
          <w:tcPr>
            <w:tcW w:w="9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w:t>
            </w:r>
          </w:p>
        </w:tc>
      </w:tr>
      <w:tr>
        <w:trPr>
          <w:trHeight w:val="224"/>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4,726.7</w:t>
            </w:r>
          </w:p>
        </w:tc>
      </w:tr>
      <w:tr>
        <w:trPr>
          <w:trHeight w:val="224"/>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7,513.2</w:t>
            </w:r>
          </w:p>
        </w:tc>
      </w:tr>
      <w:tr>
        <w:trPr>
          <w:trHeight w:val="224"/>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3,782.0</w:t>
            </w:r>
          </w:p>
        </w:tc>
      </w:tr>
      <w:tr>
        <w:trPr>
          <w:trHeight w:val="224"/>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4,925.3</w:t>
            </w:r>
          </w:p>
        </w:tc>
      </w:tr>
      <w:tr>
        <w:trPr>
          <w:trHeight w:val="224"/>
        </w:trPr>
        <w:tc>
          <w:tcPr>
            <w:tcW w:w="10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13,099.9</w:t>
            </w:r>
          </w:p>
        </w:tc>
      </w:tr>
      <w:tr>
        <w:trPr>
          <w:trHeight w:val="217"/>
        </w:trPr>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obligations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37,434.9</w:t>
            </w:r>
          </w:p>
        </w:tc>
      </w:tr>
      <w:tr>
        <w:trPr>
          <w:trHeight w:val="224"/>
        </w:trPr>
        <w:tc>
          <w:tcPr>
            <w:tcW w:w="100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Unamortized discounts, premiums and debt issuance costs, net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17"/>
        </w:trPr>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37,220.3</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28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ASSET RETIREMENT OBLIGATIONS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the Company’s asset retirement obligations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January 1,</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r>
      <w:tr>
        <w:trPr>
          <w:trHeight w:val="22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Revisions in estimates (1)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2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1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2,393.8</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2" w:lineRule="exact"/>
        <w:rPr>
          <w:sz w:val="20"/>
          <w:szCs w:val="20"/>
          <w:color w:val="auto"/>
        </w:rPr>
      </w:pPr>
    </w:p>
    <w:p>
      <w:pPr>
        <w:jc w:val="both"/>
        <w:ind w:left="320" w:right="160" w:hanging="315"/>
        <w:spacing w:after="0" w:line="262" w:lineRule="auto"/>
        <w:tabs>
          <w:tab w:leader="none" w:pos="31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Revisions in estimates include an increase to the liability of $131.3 million and a decrease to the liability of $125.0 million related to foreign currency translation for the years ended December 31, 2025 and 2024, respectively. For the year ended December 31, 2024 includes a $470.0 million increase in the asset retirement obligation liability as a result of the Company’s change in the estimated settlement dates on January 1,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estimated undiscounted future cash outlay for asset retirement obligations was $4.6 billion.</w:t>
      </w:r>
    </w:p>
    <w:p>
      <w:pPr>
        <w:spacing w:after="0" w:line="1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its financial instruments based on the fair value hierarchy, which requires an entity to maximize the use of observable inputs and minimize the use of unobservable inputs when measuring fair value. Below are the three levels of inputs that may be used to measure fair value:</w:t>
      </w:r>
    </w:p>
    <w:p>
      <w:pPr>
        <w:spacing w:after="0" w:line="10" w:lineRule="exact"/>
        <w:rPr>
          <w:sz w:val="20"/>
          <w:szCs w:val="20"/>
          <w:color w:val="auto"/>
        </w:rPr>
      </w:pPr>
    </w:p>
    <w:p>
      <w:pPr>
        <w:ind w:left="340"/>
        <w:spacing w:after="0"/>
        <w:tabs>
          <w:tab w:leader="none" w:pos="14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6"/>
          <w:szCs w:val="16"/>
          <w:color w:val="auto"/>
        </w:rPr>
        <w:t>Quoted prices in active markets for identical assets or liabilities that the Company has the ability to access at the measurement date.</w:t>
      </w:r>
    </w:p>
    <w:p>
      <w:pPr>
        <w:spacing w:after="0" w:line="54" w:lineRule="exact"/>
        <w:rPr>
          <w:sz w:val="20"/>
          <w:szCs w:val="20"/>
          <w:color w:val="auto"/>
        </w:rPr>
      </w:pPr>
    </w:p>
    <w:p>
      <w:pPr>
        <w:ind w:left="340"/>
        <w:spacing w:after="0"/>
        <w:tabs>
          <w:tab w:leader="none" w:pos="14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6"/>
          <w:szCs w:val="16"/>
          <w:color w:val="auto"/>
        </w:rPr>
        <w:t>Observable inputs other than Level 1 prices, such as quoted prices for similar assets or liabilities; quoted prices in markets that are not</w:t>
      </w:r>
    </w:p>
    <w:p>
      <w:pPr>
        <w:ind w:left="1480" w:right="160"/>
        <w:spacing w:after="0" w:line="220" w:lineRule="auto"/>
        <w:rPr>
          <w:sz w:val="20"/>
          <w:szCs w:val="20"/>
          <w:color w:val="auto"/>
        </w:rPr>
      </w:pP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assets or liabilities.</w:t>
      </w:r>
    </w:p>
    <w:p>
      <w:pPr>
        <w:spacing w:after="0" w:line="62" w:lineRule="exact"/>
        <w:rPr>
          <w:sz w:val="20"/>
          <w:szCs w:val="20"/>
          <w:color w:val="auto"/>
        </w:rPr>
      </w:pPr>
    </w:p>
    <w:p>
      <w:pPr>
        <w:ind w:left="340"/>
        <w:spacing w:after="0"/>
        <w:tabs>
          <w:tab w:leader="none" w:pos="14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6"/>
          <w:szCs w:val="16"/>
          <w:color w:val="auto"/>
        </w:rPr>
        <w:t>Unobservable inputs that are supported by little or no market activity and that are significant to the fair value of the assets or liabilities.</w:t>
      </w:r>
    </w:p>
    <w:p>
      <w:pPr>
        <w:spacing w:after="0" w:line="81"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8"/>
          <w:szCs w:val="18"/>
          <w:i w:val="1"/>
          <w:iCs w:val="1"/>
          <w:color w:val="auto"/>
        </w:rPr>
        <w:t>Items Measured at Fair Value on a Recurring Basis</w:t>
      </w:r>
      <w:r>
        <w:rPr>
          <w:rFonts w:ascii="Times New Roman" w:cs="Times New Roman" w:eastAsia="Times New Roman" w:hAnsi="Times New Roman"/>
          <w:sz w:val="18"/>
          <w:szCs w:val="18"/>
          <w:color w:val="auto"/>
        </w:rPr>
        <w:t>—The fair values of the Company’s financial assets and liabilities that are required to be measured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basis at fair value were as follows:</w:t>
      </w: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30480</wp:posOffset>
            </wp:positionV>
            <wp:extent cx="20910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8">
                      <a:extLst>
                        <a:ext uri="{28A0092B-C50C-407E-A947-70E740481C1C}"/>
                      </a:extLst>
                    </a:blip>
                    <a:srcRect/>
                    <a:stretch>
                      <a:fillRect/>
                    </a:stretch>
                  </pic:blipFill>
                  <pic:spPr bwMode="auto">
                    <a:xfrm>
                      <a:off x="0" y="0"/>
                      <a:ext cx="2091055" cy="8255"/>
                    </a:xfrm>
                    <a:prstGeom prst="rect">
                      <a:avLst/>
                    </a:prstGeom>
                    <a:noFill/>
                  </pic:spPr>
                </pic:pic>
              </a:graphicData>
            </a:graphic>
          </wp:anchor>
        </w:drawing>
      </w:r>
    </w:p>
    <w:p>
      <w:pPr>
        <w:spacing w:after="0" w:line="30"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30480</wp:posOffset>
            </wp:positionV>
            <wp:extent cx="20910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9">
                      <a:extLst>
                        <a:ext uri="{28A0092B-C50C-407E-A947-70E740481C1C}"/>
                      </a:extLst>
                    </a:blip>
                    <a:srcRect/>
                    <a:stretch>
                      <a:fillRect/>
                    </a:stretch>
                  </pic:blipFill>
                  <pic:spPr bwMode="auto">
                    <a:xfrm>
                      <a:off x="0" y="0"/>
                      <a:ext cx="2091055" cy="8255"/>
                    </a:xfrm>
                    <a:prstGeom prst="rect">
                      <a:avLst/>
                    </a:prstGeom>
                    <a:noFill/>
                  </pic:spPr>
                </pic:pic>
              </a:graphicData>
            </a:graphic>
          </wp:anchor>
        </w:drawing>
      </w:r>
    </w:p>
    <w:p>
      <w:pPr>
        <w:spacing w:after="0" w:line="30" w:lineRule="exact"/>
        <w:rPr>
          <w:sz w:val="20"/>
          <w:szCs w:val="20"/>
          <w:color w:val="auto"/>
        </w:rPr>
      </w:pPr>
    </w:p>
    <w:p>
      <w:pPr>
        <w:ind w:left="4800"/>
        <w:spacing w:after="0"/>
        <w:tabs>
          <w:tab w:leader="none" w:pos="5840" w:val="left"/>
          <w:tab w:leader="none" w:pos="700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30480</wp:posOffset>
            </wp:positionV>
            <wp:extent cx="20999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0">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30480</wp:posOffset>
            </wp:positionV>
            <wp:extent cx="20999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0" w:lineRule="exact"/>
        <w:rPr>
          <w:sz w:val="20"/>
          <w:szCs w:val="20"/>
          <w:color w:val="auto"/>
        </w:rPr>
      </w:pPr>
    </w:p>
    <w:p>
      <w:pPr>
        <w:spacing w:after="0"/>
        <w:tabs>
          <w:tab w:leader="none" w:pos="1040" w:val="left"/>
          <w:tab w:leader="none" w:pos="222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41" w:lineRule="exact"/>
        <w:rPr>
          <w:sz w:val="20"/>
          <w:szCs w:val="20"/>
          <w:color w:val="auto"/>
        </w:rPr>
      </w:pPr>
    </w:p>
    <w:p>
      <w:pPr>
        <w:sectPr>
          <w:pgSz w:w="11900" w:h="16838" w:orient="portrait"/>
          <w:cols w:equalWidth="0" w:num="2">
            <w:col w:w="7480" w:space="720"/>
            <w:col w:w="30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26"/>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equity securities (1)</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161.6</w:t>
            </w:r>
          </w:p>
        </w:tc>
        <w:tc>
          <w:tcPr>
            <w:tcW w:w="1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4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102475" cy="142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2">
                      <a:extLst>
                        <a:ext uri="{28A0092B-C50C-407E-A947-70E740481C1C}"/>
                      </a:extLst>
                    </a:blip>
                    <a:srcRect/>
                    <a:stretch>
                      <a:fillRect/>
                    </a:stretch>
                  </pic:blipFill>
                  <pic:spPr bwMode="auto">
                    <a:xfrm>
                      <a:off x="0" y="0"/>
                      <a:ext cx="7102475" cy="14224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line="252" w:lineRule="auto"/>
        <w:tabs>
          <w:tab w:leader="none" w:pos="30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equity securities are recorded in Notes receivable and other non-current assets in the consolidated balance sheets at fair value. Unrealized holding gains and losses for equity securities are recorded in Other income (expense) in the consolidated statements of operations in the current period. During the year ended December 31, 2025, the Company recognized an unrealized gain of $121.3 million, for equity securities held as of December 31, 2025. During the year ended December 31, 2024, the Company recognized an unrealized gain of $70.4 million for equity securities held as of December 31, 2024.</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Sale of Equity Securities</w:t>
      </w:r>
      <w:r>
        <w:rPr>
          <w:rFonts w:ascii="Times New Roman" w:cs="Times New Roman" w:eastAsia="Times New Roman" w:hAnsi="Times New Roman"/>
          <w:sz w:val="18"/>
          <w:szCs w:val="18"/>
          <w:color w:val="auto"/>
        </w:rPr>
        <w:t>—During the year ended December 31, 2025, the Company completed the sale of equity securities in the U.S. The net proceeds for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were approximately $159.6 million after deducting commissions and fees. During the year ended December 31, 2025, the Company recognized a gain of $111.3 million for equity securities sold during the period.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Measured at Fair Value on a Nonrecurring 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and Used</w:t>
      </w:r>
      <w:r>
        <w:rPr>
          <w:rFonts w:ascii="Times New Roman" w:cs="Times New Roman" w:eastAsia="Times New Roman" w:hAnsi="Times New Roman"/>
          <w:sz w:val="18"/>
          <w:szCs w:val="18"/>
          <w:color w:val="auto"/>
        </w:rPr>
        <w:t>—The Company’s long-lived assets are recorded at amortized cost and, if impaired, are adjusted to fair value using Level 3 inputs.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2025, long-lived assets held and used with a carrying value of $33.7 billion included assets of $0.1 billion that were subject to fair value measurement and were written down to their net realizable value of less than $0.1 billion as a result of an asset impairment charge of $94.2 million. During the year ended December 31, 2024, long-lived assets held and used with a carrying value of $32.3 billion included assets of less than</w:t>
      </w:r>
    </w:p>
    <w:p>
      <w:pPr>
        <w:spacing w:after="0" w:line="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$0.1 billion that were subject to fair value measurement and written down to their net realizable value of less than $0.1 billion as a result of an asset impairment charge of $68.6 million. The asset impairment charges are recorded in Other operating expenses in the accompanying consolidated statements of operations. These adjustments were determined by comparing the estimated fair value of the subject assets utilizing projected future discounted cash flows to be provided from the long-lived assets to the asset’s carrying value.</w:t>
      </w:r>
    </w:p>
    <w:p>
      <w:pPr>
        <w:spacing w:after="0" w:line="125" w:lineRule="exact"/>
        <w:rPr>
          <w:sz w:val="20"/>
          <w:szCs w:val="20"/>
          <w:color w:val="auto"/>
        </w:rPr>
      </w:pPr>
    </w:p>
    <w:p>
      <w:pPr>
        <w:ind w:right="720"/>
        <w:spacing w:after="0" w:line="263" w:lineRule="auto"/>
        <w:rPr>
          <w:sz w:val="20"/>
          <w:szCs w:val="20"/>
          <w:color w:val="auto"/>
        </w:rPr>
      </w:pPr>
      <w:r>
        <w:rPr>
          <w:rFonts w:ascii="Times New Roman" w:cs="Times New Roman" w:eastAsia="Times New Roman" w:hAnsi="Times New Roman"/>
          <w:sz w:val="18"/>
          <w:szCs w:val="18"/>
          <w:color w:val="auto"/>
        </w:rPr>
        <w:t>The significant unobservable inputs used to determine the fair value of the individual tower and acquired network location intangible assets subject to impairment in 2025 and 2024 included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0" w:type="dxa"/>
            <w:vAlign w:val="bottom"/>
          </w:tcPr>
          <w:p>
            <w:pPr>
              <w:spacing w:after="0"/>
              <w:rPr>
                <w:sz w:val="16"/>
                <w:szCs w:val="16"/>
                <w:color w:val="auto"/>
              </w:rPr>
            </w:pPr>
          </w:p>
        </w:tc>
      </w:tr>
      <w:tr>
        <w:trPr>
          <w:trHeight w:val="24"/>
        </w:trPr>
        <w:tc>
          <w:tcPr>
            <w:tcW w:w="466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5"/>
        </w:trPr>
        <w:tc>
          <w:tcPr>
            <w:tcW w:w="4660" w:type="dxa"/>
            <w:vAlign w:val="bottom"/>
          </w:tcPr>
          <w:p>
            <w:pPr>
              <w:spacing w:after="0"/>
              <w:rPr>
                <w:sz w:val="16"/>
                <w:szCs w:val="16"/>
                <w:color w:val="auto"/>
              </w:rPr>
            </w:pPr>
          </w:p>
        </w:tc>
        <w:tc>
          <w:tcPr>
            <w:tcW w:w="18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Borders>
              <w:bottom w:val="single" w:sz="8" w:color="auto"/>
            </w:tcBorders>
          </w:tcPr>
          <w:p>
            <w:pPr>
              <w:spacing w:after="0"/>
              <w:rPr>
                <w:sz w:val="16"/>
                <w:szCs w:val="16"/>
                <w:color w:val="auto"/>
              </w:rPr>
            </w:pPr>
          </w:p>
        </w:tc>
      </w:tr>
      <w:tr>
        <w:trPr>
          <w:trHeight w:val="191"/>
        </w:trPr>
        <w:tc>
          <w:tcPr>
            <w:tcW w:w="4660" w:type="dxa"/>
            <w:vAlign w:val="bottom"/>
          </w:tcPr>
          <w:p>
            <w:pPr>
              <w:spacing w:after="0"/>
              <w:rPr>
                <w:sz w:val="16"/>
                <w:szCs w:val="16"/>
                <w:color w:val="auto"/>
              </w:rPr>
            </w:pPr>
          </w:p>
        </w:tc>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6"/>
                <w:szCs w:val="16"/>
                <w:color w:val="auto"/>
              </w:rPr>
            </w:pPr>
          </w:p>
        </w:tc>
        <w:tc>
          <w:tcPr>
            <w:tcW w:w="184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4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Terminal growth rates on cash flows (1)</w:t>
            </w:r>
          </w:p>
        </w:tc>
        <w:tc>
          <w:tcPr>
            <w:tcW w:w="15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7"/>
              </w:rPr>
              <w:t>2% to 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 (2)</w:t>
            </w: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7% to 27%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 to 56%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local currency basis.</w:t>
      </w:r>
    </w:p>
    <w:p>
      <w:pPr>
        <w:spacing w:after="0" w:line="7" w:lineRule="exact"/>
        <w:rPr>
          <w:rFonts w:ascii="Times New Roman" w:cs="Times New Roman" w:eastAsia="Times New Roman" w:hAnsi="Times New Roman"/>
          <w:sz w:val="14"/>
          <w:szCs w:val="14"/>
          <w:color w:val="auto"/>
        </w:rPr>
      </w:pPr>
    </w:p>
    <w:p>
      <w:pPr>
        <w:ind w:left="320" w:right="720" w:hanging="315"/>
        <w:spacing w:after="0" w:line="270" w:lineRule="auto"/>
        <w:tabs>
          <w:tab w:leader="none" w:pos="31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to the country of each impaired asset. Due to the underlying economic characteristics of the markets the Company operates in, the weighted average cost of capital may vary significantly from market to market.</w:t>
      </w:r>
    </w:p>
    <w:p>
      <w:pPr>
        <w:spacing w:after="0" w:line="104"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The Company believes any reasonable change in the significant unobservable inputs utilized would not have a material impact on the fair value of the assets used in connection with the impairment recorded.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items measured at fair value on a nonrecurring basis during the years ended December 31, 2025 and 2024.</w:t>
      </w:r>
    </w:p>
    <w:p>
      <w:pPr>
        <w:spacing w:after="0" w:line="13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—The Company’s financial instruments for which the carrying value reasonably approximates fair value at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 include cash and cash equivalents, restricted cash, accounts receivable and accounts payable. The Company’s estimates of fair value of its long-term obligations, including the current portion, are based primarily upon reported market values. For long-term debt not actively traded, fair value is estimated using either indicative price quotes or a discounted cash flow analysis using rates for debt with similar terms and maturities. As of December 31, 2025, the carrying value and fair value of long-term obligations, including the current portion, were $37.2 billion and $36.1 billion, respectively, of which $32.9 billion was measured using Level 1 inputs and $3.2 billion was measured using Level 2 inputs. As of December 31, 2024, the carrying value and fair value of long-term obligations, including the current portion, and amounts presented as discontinued operations, were $36.5 billion and $34.6 billion, respectively, of which $31.3 billion was measured using Level 1 inputs and $3.3 billion was measured using Level 2 inputs.</w:t>
      </w:r>
    </w:p>
    <w:p>
      <w:pPr>
        <w:spacing w:after="0" w:line="1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Net Investment Hedge</w:t>
      </w:r>
      <w:r>
        <w:rPr>
          <w:rFonts w:ascii="Times New Roman" w:cs="Times New Roman" w:eastAsia="Times New Roman" w:hAnsi="Times New Roman"/>
          <w:sz w:val="18"/>
          <w:szCs w:val="18"/>
          <w:color w:val="auto"/>
        </w:rPr>
        <w:t>—On June 1, 2025, the Company designated approximately 4.7 billion EUR (approximately $5.3 billion at the designation date)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notes as a non-derivative net investment hedge on the Company’s net investments in its European subsidiaries (as discussed in note 1).</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contractual amounts of the Company's outstanding instruments: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21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currency-denominated debt (1)</w:t>
            </w:r>
          </w:p>
        </w:tc>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5,461.6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right="140" w:hanging="315"/>
        <w:spacing w:after="0" w:line="250" w:lineRule="auto"/>
        <w:tabs>
          <w:tab w:leader="none" w:pos="31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2025, the Company recorded $185.3 million of unrealized foreign currency losses related to the EUR denominated debt that was designated as a net investment hedge as a foreign currency translation adjustment in Accumulated other comprehensive loss. As of December 31, 2025, includes 4.7 billion EUR ($5.5 billion) of outstanding EUR denominated debt designated as hedges of a portion the Company’s net investment in foreign operations. This debt matures in fiscal years 2026 through 2034.</w:t>
      </w:r>
    </w:p>
    <w:p>
      <w:pPr>
        <w:spacing w:after="0" w:line="16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7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Beginning in the taxable year ended December 31, 2012, the Company has filed, and intends to continue to file, U.S. federal income tax returns as a REIT, and its domestic TRSs filed, and intend to continue to file, separate tax returns as required. The Company also files tax returns in various states and countries. The Company’s state tax returns reflect different combinations of the Company’s subsidiaries and are dependent on the connection each subsidiary has with a particular state and form of organization. The following information refers to the Company’s income taxes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from continuing operations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62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(1)</w:t>
            </w: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4"/>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4"/>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2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(1)</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4"/>
        </w:trPr>
        <w:tc>
          <w:tcPr>
            <w:tcW w:w="6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includes impact of gains from equity securities in the U.S.</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effective tax rate (“ETR”) on income from continuing operations for the years ended December 31, 2025, 2024 and 2023 differs from the federal statutory rate primarily due to the Company’s qualification for taxation as a REIT, as well as adjustments for state and foreign items. As a REIT, the Company may deduct earnings distributed to stockholders against the income generated by its REIT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July 4, 2025, the One Big Beautiful Bill (“OBBB Act”), which includes a broad range of tax reform provisions, was signed into law in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OBBB Act did not have a material impact on the Company’s annual effective tax rate in 2025.</w:t>
      </w:r>
    </w:p>
    <w:p>
      <w:pPr>
        <w:spacing w:after="0" w:line="131"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6"/>
          <w:szCs w:val="16"/>
          <w:color w:val="auto"/>
        </w:rPr>
        <w:t>For the year ended December 31, 2025, the increase in the income tax provision was primarily attributable to (i) increased earnings in certain foreign jurisdictions, (ii) taxes incurred as a result of the sale of South Africa Fiber, (iii) additions to reserves for uncertain tax positions, (iv) gains from equity securities in the U.S. and (v) the reversal of permanent reinvestment assertions in Nigeria, partially offset by a net benefit from the application of tax law changes primarily in Germany and a decrease in withholding taxes from equity distributions due in part to the ATC TIPL Transaction (as defined in note 21).</w:t>
      </w:r>
    </w:p>
    <w:p>
      <w:pPr>
        <w:spacing w:after="0" w:line="8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2024, the increase in the income tax provision was primarily attributable to increased earnings in certain foreign jurisdictions, partially due to the impacts of the change in estimated useful lives on depreciation and amortization expense in the prior year and withholding taxes on equity distributions, including those related to the ATC TIPL Transaction (as defined in note 21), and management fees from certain foreign subsidiaries. The income tax provision for the year ended December 31, 2024, included the reversal of valuation allowances of $20.5 million in foreign and domestic jurisdictions as compared to the reversal of valuation allowances of $87.2 million for the year ended December 31, 2023. The income tax provision for the year ended December 31, 2023 also included a benefit from the application of a tax law change in Kenya.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between the U.S. statutory rate and the effective rate from continuing operations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6"/>
          </w:tcPr>
          <w:p>
            <w:pPr>
              <w:jc w:val="center"/>
              <w:ind w:right="43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3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3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r>
      <w:tr>
        <w:trPr>
          <w:trHeight w:val="190"/>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179"/>
        </w:trPr>
        <w:tc>
          <w:tcPr>
            <w:tcW w:w="38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w w:val="99"/>
              </w:rPr>
              <w:t>State and local income tax, net of federal income tax</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4"/>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Withholding taxes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8"/>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877"/>
        </w:trPr>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color w:val="auto"/>
              </w:rPr>
              <w:t>F-36</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2"/>
        </w:trPr>
        <w:tc>
          <w:tcPr>
            <w:tcW w:w="3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tax law</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4"/>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Kenya</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tax law</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Incremental loss on sale (2)</w:t>
            </w:r>
          </w:p>
        </w:tc>
        <w:tc>
          <w:tcPr>
            <w:tcW w:w="3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tax credits</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171"/>
        </w:trPr>
        <w:tc>
          <w:tcPr>
            <w:tcW w:w="380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w w:val="99"/>
              </w:rPr>
              <w:t>Rate differential between local and statutory tax</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7"/>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4"/>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Nigeria</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Incremental loss on sale (2)</w:t>
            </w:r>
          </w:p>
        </w:tc>
        <w:tc>
          <w:tcPr>
            <w:tcW w:w="3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Disallowance of goodwill impairment expense</w:t>
            </w:r>
          </w:p>
        </w:tc>
        <w:tc>
          <w:tcPr>
            <w:tcW w:w="3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4"/>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4"/>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to reflect REIT status (3)</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4"/>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tax status (4)</w:t>
            </w:r>
          </w:p>
        </w:tc>
        <w:tc>
          <w:tcPr>
            <w:tcW w:w="3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71"/>
        </w:trPr>
        <w:tc>
          <w:tcPr>
            <w:tcW w:w="38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Changes in unrecognized tax</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benefits (5)</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2"/>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Texas, Mississippi, Louisiana, New Hampshire, Oklahoma and Rhode Island made up the majority (greater than 50 percent) of the tax effect in this category.</w:t>
      </w:r>
    </w:p>
    <w:p>
      <w:pPr>
        <w:spacing w:after="0" w:line="6" w:lineRule="exact"/>
        <w:rPr>
          <w:rFonts w:ascii="Times New Roman" w:cs="Times New Roman" w:eastAsia="Times New Roman" w:hAnsi="Times New Roman"/>
          <w:sz w:val="14"/>
          <w:szCs w:val="14"/>
          <w:color w:val="auto"/>
        </w:rPr>
      </w:pPr>
    </w:p>
    <w:p>
      <w:pPr>
        <w:ind w:left="320" w:right="220" w:hanging="315"/>
        <w:spacing w:after="0" w:line="255" w:lineRule="auto"/>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Singapore includes amounts related to the sale of ATC TIPL (as defined in note 21). For the year ended December 31, 2023, Mexico includes amounts related to the sale of Mexico Fiber (as defined in note 15).</w:t>
      </w:r>
    </w:p>
    <w:p>
      <w:pPr>
        <w:ind w:left="320" w:hanging="315"/>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ability to utilize the dividends paid deduction to offset the Company’s REIT income and gains.</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a change in the election of previously designated TRSs to be included as part of the REIT.</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both foreign and domestic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6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0"/>
        </w:trPr>
        <w:tc>
          <w:tcPr>
            <w:tcW w:w="6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(1)</w:t>
            </w:r>
          </w:p>
        </w:tc>
        <w:tc>
          <w:tcPr>
            <w:tcW w:w="102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r>
      <w:tr>
        <w:trPr>
          <w:trHeight w:val="217"/>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02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0"/>
        </w:trPr>
        <w:tc>
          <w:tcPr>
            <w:tcW w:w="6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tabs>
          <w:tab w:leader="none" w:pos="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includes taxes paid related to the sale of equity securities in the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exceeded 5 percent of total income taxes paid, net of refunds in the following jurisdictions: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6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0"/>
        </w:trPr>
        <w:tc>
          <w:tcPr>
            <w:tcW w:w="6320" w:type="dxa"/>
            <w:vAlign w:val="bottom"/>
          </w:tcPr>
          <w:p>
            <w:pPr>
              <w:spacing w:after="0"/>
              <w:rPr>
                <w:sz w:val="19"/>
                <w:szCs w:val="19"/>
                <w:color w:val="auto"/>
              </w:rPr>
            </w:pPr>
          </w:p>
        </w:tc>
        <w:tc>
          <w:tcPr>
            <w:tcW w:w="1020" w:type="dxa"/>
            <w:vAlign w:val="bottom"/>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4"/>
        </w:trPr>
        <w:tc>
          <w:tcPr>
            <w:tcW w:w="63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63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Foreign</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4"/>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Brazil</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4"/>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Burkina Faso (1)</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274"/>
              <w:spacing w:after="0"/>
              <w:rPr>
                <w:sz w:val="20"/>
                <w:szCs w:val="20"/>
                <w:color w:val="auto"/>
              </w:rPr>
            </w:pPr>
            <w:r>
              <w:rPr>
                <w:rFonts w:ascii="Times New Roman" w:cs="Times New Roman" w:eastAsia="Times New Roman" w:hAnsi="Times New Roman"/>
                <w:sz w:val="18"/>
                <w:szCs w:val="18"/>
                <w:color w:val="auto"/>
                <w:w w:val="88"/>
              </w:rPr>
              <w:t>*</w:t>
            </w:r>
          </w:p>
        </w:tc>
      </w:tr>
      <w:tr>
        <w:trPr>
          <w:trHeight w:val="224"/>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Ghana</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center"/>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4"/>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India (2)</w:t>
            </w:r>
          </w:p>
        </w:tc>
        <w:tc>
          <w:tcPr>
            <w:tcW w:w="102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4"/>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Kenya</w:t>
            </w:r>
          </w:p>
        </w:tc>
        <w:tc>
          <w:tcPr>
            <w:tcW w:w="102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center"/>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4"/>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Mexico</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4"/>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Nigeria</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4"/>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South Africa (1)</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29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274"/>
              <w:spacing w:after="0"/>
              <w:rPr>
                <w:sz w:val="20"/>
                <w:szCs w:val="20"/>
                <w:color w:val="auto"/>
              </w:rPr>
            </w:pPr>
            <w:r>
              <w:rPr>
                <w:rFonts w:ascii="Times New Roman" w:cs="Times New Roman" w:eastAsia="Times New Roman" w:hAnsi="Times New Roman"/>
                <w:sz w:val="18"/>
                <w:szCs w:val="18"/>
                <w:color w:val="auto"/>
                <w:w w:val="88"/>
              </w:rPr>
              <w:t>*</w:t>
            </w:r>
          </w:p>
        </w:tc>
      </w:tr>
      <w:tr>
        <w:trPr>
          <w:trHeight w:val="224"/>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Uganda</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74"/>
              <w:spacing w:after="0"/>
              <w:rPr>
                <w:sz w:val="20"/>
                <w:szCs w:val="20"/>
                <w:color w:val="auto"/>
              </w:rPr>
            </w:pPr>
            <w:r>
              <w:rPr>
                <w:rFonts w:ascii="Times New Roman" w:cs="Times New Roman" w:eastAsia="Times New Roman" w:hAnsi="Times New Roman"/>
                <w:sz w:val="18"/>
                <w:szCs w:val="18"/>
                <w:color w:val="auto"/>
                <w:w w:val="88"/>
              </w:rPr>
              <w:t>*</w:t>
            </w:r>
          </w:p>
        </w:tc>
      </w:tr>
      <w:tr>
        <w:trPr>
          <w:trHeight w:val="224"/>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1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r>
      <w:tr>
        <w:trPr>
          <w:trHeight w:val="20"/>
        </w:trPr>
        <w:tc>
          <w:tcPr>
            <w:tcW w:w="6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w:t>
        <w:tab/>
        <w:t>Below threshold for period presented.</w:t>
      </w:r>
    </w:p>
    <w:p>
      <w:pPr>
        <w:ind w:left="320" w:hanging="315"/>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includes non-recurring tax payments.</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and 2023, includes ATC TIPL (as defined in note 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domestic and foreign components of income from continuing operations before income taxes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6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0"/>
        </w:trPr>
        <w:tc>
          <w:tcPr>
            <w:tcW w:w="6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2,141.3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w:t>
            </w:r>
          </w:p>
        </w:tc>
      </w:tr>
      <w:tr>
        <w:trPr>
          <w:trHeight w:val="224"/>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42"/>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3,044.2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deferred tax asset and liability and related valuation allowance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7920" w:type="dxa"/>
            <w:vAlign w:val="bottom"/>
            <w:shd w:val="clear" w:color="auto" w:fill="CCEEFF"/>
          </w:tcPr>
          <w:p>
            <w:pPr>
              <w:ind w:left="340"/>
              <w:spacing w:after="0" w:line="204"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w:t>
            </w:r>
          </w:p>
        </w:tc>
      </w:tr>
      <w:tr>
        <w:trPr>
          <w:trHeight w:val="224"/>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2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asset retirement obligations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r>
      <w:tr>
        <w:trPr>
          <w:trHeight w:val="224"/>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Unearned revenue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4"/>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Unrealized loss on foreign currency</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accruals, allowances and reserves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4"/>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Nondeductible interest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2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Tax credits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24"/>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Capital loss carryforwards (1)</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2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Items not currently deductible and other</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4"/>
        </w:trPr>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(1,566.0)</w:t>
            </w:r>
          </w:p>
        </w:tc>
      </w:tr>
      <w:tr>
        <w:trPr>
          <w:trHeight w:val="224"/>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Right-of-use asset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r>
      <w:tr>
        <w:trPr>
          <w:trHeight w:val="22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24"/>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Unremitted earnings of foreign subsidiaries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4"/>
        </w:trPr>
        <w:tc>
          <w:tcPr>
            <w:tcW w:w="79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24"/>
        </w:trPr>
        <w:tc>
          <w:tcPr>
            <w:tcW w:w="7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w:t>
            </w:r>
          </w:p>
        </w:tc>
      </w:tr>
      <w:tr>
        <w:trPr>
          <w:trHeight w:val="242"/>
        </w:trPr>
        <w:tc>
          <w:tcPr>
            <w:tcW w:w="79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related to the sales of ATC TIPL (as defined in note 21) and Mexico Fiber (as defined in note 15).</w:t>
      </w:r>
    </w:p>
    <w:p>
      <w:pPr>
        <w:spacing w:after="0" w:line="143"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6"/>
          <w:szCs w:val="16"/>
          <w:color w:val="auto"/>
        </w:rPr>
        <w:t>The Company provides valuation allowances if, based on the available evidence, it is more likely than not that some or all of the deferred tax assets will not be realized. Management assesses the available evidence to estimate if sufficient future taxable income will be generated to use the existing deferred tax assets. Valuation allowances may be reversed if, based on changes in facts and circumstances, the net deferred tax assets have been determined to be realizable.</w:t>
      </w:r>
    </w:p>
    <w:p>
      <w:pPr>
        <w:spacing w:after="0" w:line="6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At December 31, 2025 and 2024, the Company has provided a valuation allowance of $760.3 million and $681.7 million, respectively, which primarily relates to foreign items. The increase in the valuation allowance for the year ending December 31, 2025 is due to uncertainty as to the timing of, and the Company’s ability to recover, net deferred tax assets in certain foreign operations in the foreseeable future, offset by reversals and fluctuations in foreign currency exchange rates. The amount of deferred tax assets considered realizable, however, could be adjusted if objective evidence in the form of cumulative losses is no longer present and additional weight may be given to subjective evidence such as the Company’s projections for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valuation allowance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7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681.7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335.7</w:t>
            </w: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(1)</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249.1</w:t>
            </w: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Usage, expiration and reversals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(87.2)</w:t>
            </w:r>
          </w:p>
        </w:tc>
      </w:tr>
      <w:tr>
        <w:trPr>
          <w:trHeight w:val="224"/>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6"/>
              </w:rPr>
              <w:t>(64.1)</w:t>
            </w:r>
          </w:p>
        </w:tc>
      </w:tr>
      <w:tr>
        <w:trPr>
          <w:trHeight w:val="242"/>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760.3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433.5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charges to expense and allowances established due to acquisition and divestitures.</w:t>
      </w:r>
    </w:p>
    <w:p>
      <w:pPr>
        <w:spacing w:after="0" w:line="14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The recoverability of the Company’s deferred tax assets has been assessed utilizing projections based on its current operations. Accordingly, the recoverability of the deferred tax assets is not dependent on material asset sales or other non-routine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8"/>
          <w:szCs w:val="18"/>
          <w:color w:val="auto"/>
        </w:rPr>
        <w:t>transactions. Based on its current outlook of future taxable income during the carryforward period, the Company believes that deferred tax assets, other than those for which a valuation allowance has been recorded, will be realized.</w:t>
      </w:r>
    </w:p>
    <w:p>
      <w:pPr>
        <w:spacing w:after="0" w:line="102"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The Company intends to reinvest foreign earnings indefinitely outside of the U.S., except for earnings in certain entities in Argentina, Brazil, Burkina Faso, Costa Rica, Jersey, Mexico, Netherlands, Nigeria, Paraguay, Singapore, South Africa, Spain, Uganda and the United Kingdom. Any tax consequences for future distributions from the entities that are not indefinitely reinvested have been recorded as deferred tax liabilities. It is not practicable to determine the amount of unrecognized deferred tax liability for outside basis differences in indefinitely reinvested entities.</w:t>
      </w:r>
    </w:p>
    <w:p>
      <w:pPr>
        <w:spacing w:after="0" w:line="21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At December 31, 2025, the Company had net federal, state and foreign operating loss carryforwards available to reduce future taxable income. If not utilized, the Company’s NOLs expire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Federal</w:t>
            </w:r>
          </w:p>
        </w:tc>
        <w:tc>
          <w:tcPr>
            <w:tcW w:w="30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260" w:type="dxa"/>
            <w:vAlign w:val="bottom"/>
          </w:tcPr>
          <w:p>
            <w:pPr>
              <w:spacing w:after="0"/>
              <w:rPr>
                <w:sz w:val="16"/>
                <w:szCs w:val="16"/>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Foreign</w:t>
            </w:r>
          </w:p>
        </w:tc>
      </w:tr>
      <w:tr>
        <w:trPr>
          <w:trHeight w:val="24"/>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to 2030</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to 2035</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2036 to 2040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2041 to 2045</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 carryforward</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1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total amount of unrecognized tax benefits that would impact the ETR, if recognized, is $128.6 million and $101.3 million, respectively. The amount of unrecognized tax benefits for the year ended December 31, 2025 includes additions to the Company’s existing tax positions of $44.9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5"/>
        </w:trPr>
        <w:tc>
          <w:tcPr>
            <w:tcW w:w="64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00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and reductions for tax positions of prior years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as a result of the lapse of statute of limitations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4"/>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 as a result of effective settlements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00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color w:val="auto"/>
        </w:rPr>
        <w:t>During the year ended December 31, 2025, the statute of limitations on certain unrecognized tax benefits lapsed and certain positions were effectively settled, including effective settlements and revisions of prior year positions, which resulted in a decrease of $27.8 million in the liability for unrecognized tax benefits. During the year ended December 31, 2024, the statute of limitations on certain unrecognized tax benefits lapsed and certain positions were effectively settled, including effective settlements and revisions of prior year positions, which resulted in a decrease of $12.8 million in the liability for unrecognized tax benefits. During the year ended December 31, 2023, the statute of limitations on certain unrecognized tax benefits lapsed and certain positions were effectively settled, including effective settlements and revisions of prior year positions, which resulted in a decrease of $15.5 million in the liability for unrecognized tax benefits.</w:t>
      </w:r>
    </w:p>
    <w:p>
      <w:pPr>
        <w:spacing w:after="0" w:line="9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recorded penalties and tax-related interest expense to the tax provision of $29.3 million, $28.6 million and $21.8 million for the years ended December 31, 2025, 2024 and 2023, respectively. During the years ended December 31, 2025, 2024 and 2023, the Company reduced its liability for penalties and income tax-related interest expense related to uncertain tax positions by $8.3 million, $10.4 million and $9.7 million, respectively, due to the expiration of the statute of limitations in certain jurisdictions and certain positions that were effectively settled.</w:t>
      </w:r>
    </w:p>
    <w:p>
      <w:pPr>
        <w:spacing w:after="0" w:line="11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8"/>
          <w:szCs w:val="18"/>
          <w:color w:val="auto"/>
        </w:rPr>
        <w:t>As of December 31, 2025 and 2024, the total amount of accrued income tax-related interest and penalties included in the consolidated balance sheets were $86.8 million and $58.5 million, respectively.</w:t>
      </w:r>
    </w:p>
    <w:p>
      <w:pPr>
        <w:spacing w:after="0" w:line="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has filed for prior taxable years, and for its taxable year ended December 31, 2025 will file, numerous consolidated and separate income tax returns, including U.S. federal and state tax returns and foreign tax returns. The Company is subject to examination in the United States and various state and foreign jurisdictions for certain tax years. As a result of the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jc w:val="both"/>
        <w:ind w:right="440"/>
        <w:spacing w:after="0" w:line="256" w:lineRule="auto"/>
        <w:rPr>
          <w:sz w:val="20"/>
          <w:szCs w:val="20"/>
          <w:color w:val="auto"/>
        </w:rPr>
      </w:pPr>
      <w:r>
        <w:rPr>
          <w:rFonts w:ascii="Times New Roman" w:cs="Times New Roman" w:eastAsia="Times New Roman" w:hAnsi="Times New Roman"/>
          <w:sz w:val="18"/>
          <w:szCs w:val="18"/>
          <w:color w:val="auto"/>
        </w:rPr>
        <w:t>Company’s ability to carryforward federal, state and foreign NOLs, the applicable tax years generally remain open to examination several years after the applicable loss carryforwards have been used or have expired. The Company regularly assesses the likelihood of additional assessments in each of the tax jurisdictions resulting from these examinations.</w:t>
      </w:r>
    </w:p>
    <w:p>
      <w:pPr>
        <w:spacing w:after="0" w:line="13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STOCK-BASED COMPENSATION</w:t>
      </w:r>
    </w:p>
    <w:p>
      <w:pPr>
        <w:spacing w:after="0" w:line="18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i w:val="1"/>
          <w:iCs w:val="1"/>
          <w:color w:val="auto"/>
        </w:rPr>
        <w:t>Summary of Stock-Based Compensation Plans</w:t>
      </w:r>
      <w:r>
        <w:rPr>
          <w:rFonts w:ascii="Times New Roman" w:cs="Times New Roman" w:eastAsia="Times New Roman" w:hAnsi="Times New Roman"/>
          <w:sz w:val="16"/>
          <w:szCs w:val="16"/>
          <w:color w:val="auto"/>
        </w:rPr>
        <w:t>—The Company maintains equity incentive plans that provide for the grant of stock-based awards to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officers and employees. The Company’s 2007 Equity Incentive Plan, as amended (the “2007 Plan”), provides for the grant of non-qualified and incentive stock options, as well as restricted stock units, restricted stock and other stock-based awards. Exercise prices for non-qualified and incentive stock options are not less than the fair value of the underlying common stock on the date of grant. Equity awards typically vest ratably. Awards granted prior to March 10, 2023 generally vest over four years for RSUs and stock options. In December 2022, the Compensation Committee changed the terms of its awards to generally vest over three years. The change in vesting terms is applicable for new awards granted beginning on March 10, 2023 and does not change the vesting terms applicable to grants awarded prior to March 10, 2023. PSUs generally vest over three years. Stock options generally expire ten years from the date of grant. As of December 31, 2025, the Company had the ability to grant stock-based awards with respect to an aggregate of 2.7 million shares of common stock under the 2007 Plan. In addition, the Company maintains an employee stock purchase plan (the “ESPP”) pursuant to which eligible employees may purchase shares of the Company’s common stock on the last day of each bi-annual offering period at a 15% discount from the lower of the closing market value on the first or last day of such offering period. The offering periods run from June 1 through November 30 and from December 1 through May 31 of each year.</w:t>
      </w:r>
    </w:p>
    <w:p>
      <w:pPr>
        <w:spacing w:after="0" w:line="200" w:lineRule="exact"/>
        <w:rPr>
          <w:sz w:val="20"/>
          <w:szCs w:val="20"/>
          <w:color w:val="auto"/>
        </w:rPr>
      </w:pPr>
    </w:p>
    <w:p>
      <w:pPr>
        <w:spacing w:after="0" w:line="204"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the following stock-based compensation expenses in selling, general, administrative and development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 (2)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 (2)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 (3)</w:t>
            </w:r>
          </w:p>
        </w:tc>
      </w:tr>
      <w:tr>
        <w:trPr>
          <w:trHeight w:val="24"/>
        </w:trPr>
        <w:tc>
          <w:tcPr>
            <w:tcW w:w="7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(1)</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183.3</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right="80" w:hanging="315"/>
        <w:spacing w:after="0" w:line="249" w:lineRule="auto"/>
        <w:tabs>
          <w:tab w:leader="none" w:pos="31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includes the reversal of $7.1 million of previously recognized stock-based compensation expense associated with awards forfeited in connection with the departure of the Company’s former Executive Vice President and President, APAC due to such role being eliminated. For the years ended December 31, 2024 and 2023, excludes $10.9 million and $12.4 million, respectively, of stock-based compensation expense related to ATC TIPL (as defined in note 21), which is included in Loss from discontinued operations, net of taxes in the accompanying consolidated statements of operations.</w:t>
      </w:r>
    </w:p>
    <w:p>
      <w:pPr>
        <w:ind w:left="320" w:right="240" w:hanging="315"/>
        <w:spacing w:after="0" w:line="255" w:lineRule="auto"/>
        <w:tabs>
          <w:tab w:leader="none" w:pos="31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2025 and 2024, includes $4.7 million and $11.5 million, respectively, of accelerated stock-based compensation expense related to unvested and outstanding awards for certain former employees that vested upon termination in accordance with the Company’s severance plan.</w:t>
      </w:r>
    </w:p>
    <w:p>
      <w:pPr>
        <w:ind w:left="320" w:right="40" w:hanging="315"/>
        <w:spacing w:after="0" w:line="250" w:lineRule="auto"/>
        <w:tabs>
          <w:tab w:leader="none" w:pos="31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excludes $7.6 million of stock-based compensation expense related to severance incurred as part of the Company’s restructuring plan as discussed in note 15 recorded in Other operating expense in the accompanying consolidated statements of operations.</w:t>
      </w:r>
    </w:p>
    <w:p>
      <w:pPr>
        <w:spacing w:after="0" w:line="12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—There were no options granted during the years ended December 31, 2025, 2024 and 2023. The fair values of previously granted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estimated on the date of grant using the Black-Scholes option pricing model based on the assumptions at the date of grant.</w:t>
      </w:r>
    </w:p>
    <w:p>
      <w:pPr>
        <w:spacing w:after="0" w:line="10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intrinsic value of stock options exercised during the years ended December 31, 2025, 2024 and 2023 was $31.0 million, $43.3 million and $9.3 million, respectively. As of December 31, 2025, there was no unrecognized compensation expense related to unvested stock options. The amount of cash received from the exercise of stock options was $26.8 million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option activity for the year ended December 31, 2025 was as follows (share and per share data disclosed in full amounts):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401"/>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12"/>
                <w:szCs w:val="12"/>
                <w:color w:val="auto"/>
              </w:rPr>
            </w:pPr>
          </w:p>
        </w:tc>
        <w:tc>
          <w:tcPr>
            <w:tcW w:w="11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5"/>
        </w:trPr>
        <w:tc>
          <w:tcPr>
            <w:tcW w:w="5320" w:type="dxa"/>
            <w:vAlign w:val="bottom"/>
          </w:tcPr>
          <w:p>
            <w:pPr>
              <w:spacing w:after="0"/>
              <w:rPr>
                <w:sz w:val="12"/>
                <w:szCs w:val="12"/>
                <w:color w:val="auto"/>
              </w:rPr>
            </w:pPr>
          </w:p>
        </w:tc>
        <w:tc>
          <w:tcPr>
            <w:tcW w:w="16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2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980" w:type="dxa"/>
            <w:vAlign w:val="bottom"/>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6"/>
                <w:szCs w:val="16"/>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2"/>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416,672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94.79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(283,049)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94.77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94.82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94.82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as of December 31,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100" w:type="dxa"/>
            <w:vAlign w:val="bottom"/>
          </w:tcPr>
          <w:p>
            <w:pPr>
              <w:spacing w:after="0"/>
              <w:rPr>
                <w:sz w:val="19"/>
                <w:szCs w:val="19"/>
                <w:color w:val="auto"/>
              </w:rPr>
            </w:pPr>
          </w:p>
        </w:tc>
        <w:tc>
          <w:tcPr>
            <w:tcW w:w="980" w:type="dxa"/>
            <w:vAlign w:val="bottom"/>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94.82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options outstanding at December 31, 2025 (share and per share data disclosed in full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5"/>
          </w:tcPr>
          <w:p>
            <w:pPr>
              <w:ind w:left="12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4"/>
          </w:tcPr>
          <w:p>
            <w:pPr>
              <w:jc w:val="right"/>
              <w:ind w:right="1163"/>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4"/>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Range of Exercise</w:t>
            </w:r>
          </w:p>
        </w:tc>
        <w:tc>
          <w:tcPr>
            <w:tcW w:w="17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480" w:type="dxa"/>
            <w:vAlign w:val="bottom"/>
          </w:tcPr>
          <w:p>
            <w:pPr>
              <w:jc w:val="center"/>
              <w:ind w:left="21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jc w:val="center"/>
              <w:ind w:right="183"/>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5"/>
        </w:trPr>
        <w:tc>
          <w:tcPr>
            <w:tcW w:w="1860" w:type="dxa"/>
            <w:vAlign w:val="bottom"/>
            <w:gridSpan w:val="2"/>
            <w:vMerge w:val="continue"/>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80" w:type="dxa"/>
            <w:vAlign w:val="bottom"/>
          </w:tcPr>
          <w:p>
            <w:pPr>
              <w:jc w:val="center"/>
              <w:ind w:left="230"/>
              <w:spacing w:after="0" w:line="145"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jc w:val="center"/>
              <w:ind w:right="183"/>
              <w:spacing w:after="0" w:line="145"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90"/>
        </w:trPr>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Price Per 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Price Per Share</w:t>
            </w:r>
          </w:p>
        </w:tc>
        <w:tc>
          <w:tcPr>
            <w:tcW w:w="1480" w:type="dxa"/>
            <w:vAlign w:val="bottom"/>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9"/>
              </w:rPr>
              <w:t>Price Per Share</w:t>
            </w:r>
          </w:p>
        </w:tc>
        <w:tc>
          <w:tcPr>
            <w:tcW w:w="0" w:type="dxa"/>
            <w:vAlign w:val="bottom"/>
          </w:tcPr>
          <w:p>
            <w:pPr>
              <w:spacing w:after="0"/>
              <w:rPr>
                <w:sz w:val="1"/>
                <w:szCs w:val="1"/>
                <w:color w:val="auto"/>
              </w:rPr>
            </w:pPr>
          </w:p>
        </w:tc>
      </w:tr>
      <w:tr>
        <w:trPr>
          <w:trHeight w:val="222"/>
        </w:trPr>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$94.71 - $106.15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94.82</w:t>
            </w:r>
          </w:p>
        </w:tc>
        <w:tc>
          <w:tcPr>
            <w:tcW w:w="0" w:type="dxa"/>
            <w:vAlign w:val="bottom"/>
          </w:tcPr>
          <w:p>
            <w:pPr>
              <w:spacing w:after="0"/>
              <w:rPr>
                <w:sz w:val="1"/>
                <w:szCs w:val="1"/>
                <w:color w:val="auto"/>
              </w:rPr>
            </w:pPr>
          </w:p>
        </w:tc>
      </w:tr>
      <w:tr>
        <w:trPr>
          <w:trHeight w:val="217"/>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$94.71 - $106.15</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94.82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8"/>
          <w:szCs w:val="18"/>
          <w:i w:val="1"/>
          <w:iCs w:val="1"/>
          <w:color w:val="auto"/>
        </w:rPr>
        <w:t>Restricted Stock Units and Performance-Based Restricted Stock Units</w:t>
      </w:r>
      <w:r>
        <w:rPr>
          <w:rFonts w:ascii="Times New Roman" w:cs="Times New Roman" w:eastAsia="Times New Roman" w:hAnsi="Times New Roman"/>
          <w:sz w:val="18"/>
          <w:szCs w:val="18"/>
          <w:color w:val="auto"/>
        </w:rPr>
        <w:t>—The Company’s RSU and PSU activity for the year ended December 31, 2025 was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(share and per share data disclosed in full amounts):</w:t>
      </w:r>
    </w:p>
    <w:tbl>
      <w:tblPr>
        <w:tblLayout w:type="fixed"/>
        <w:tblInd w:w="0" w:type="dxa"/>
        <w:tblCellMar>
          <w:top w:w="0" w:type="dxa"/>
          <w:left w:w="0" w:type="dxa"/>
          <w:bottom w:w="0" w:type="dxa"/>
          <w:right w:w="0" w:type="dxa"/>
        </w:tblCellMar>
      </w:tblPr>
      <w:tr>
        <w:trPr>
          <w:trHeight w:val="145"/>
        </w:trPr>
        <w:tc>
          <w:tcPr>
            <w:tcW w:w="4740" w:type="dxa"/>
            <w:vAlign w:val="bottom"/>
          </w:tcPr>
          <w:p>
            <w:pPr>
              <w:spacing w:after="0"/>
              <w:rPr>
                <w:sz w:val="12"/>
                <w:szCs w:val="12"/>
                <w:color w:val="auto"/>
              </w:rPr>
            </w:pPr>
          </w:p>
        </w:tc>
        <w:tc>
          <w:tcPr>
            <w:tcW w:w="16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4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6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 (1)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1,460,702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Released (3)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232.80</w:t>
            </w: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211.29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0" w:type="dxa"/>
            <w:vAlign w:val="bottom"/>
          </w:tcPr>
          <w:p>
            <w:pPr>
              <w:spacing w:after="0"/>
              <w:rPr>
                <w:sz w:val="1"/>
                <w:szCs w:val="1"/>
                <w:color w:val="auto"/>
              </w:rPr>
            </w:pPr>
          </w:p>
        </w:tc>
      </w:tr>
      <w:tr>
        <w:trPr>
          <w:trHeight w:val="24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to vest as of December 31, 2025</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15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1,283,669</w:t>
            </w:r>
          </w:p>
        </w:tc>
        <w:tc>
          <w:tcPr>
            <w:tcW w:w="100" w:type="dxa"/>
            <w:vAlign w:val="bottom"/>
          </w:tcPr>
          <w:p>
            <w:pPr>
              <w:spacing w:after="0"/>
              <w:rPr>
                <w:sz w:val="17"/>
                <w:szCs w:val="17"/>
                <w:color w:val="auto"/>
              </w:rPr>
            </w:pPr>
          </w:p>
        </w:tc>
        <w:tc>
          <w:tcPr>
            <w:tcW w:w="20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209.96</w:t>
            </w:r>
          </w:p>
        </w:tc>
        <w:tc>
          <w:tcPr>
            <w:tcW w:w="100" w:type="dxa"/>
            <w:vAlign w:val="bottom"/>
          </w:tcPr>
          <w:p>
            <w:pPr>
              <w:spacing w:after="0"/>
              <w:rPr>
                <w:sz w:val="17"/>
                <w:szCs w:val="17"/>
                <w:color w:val="auto"/>
              </w:rPr>
            </w:pPr>
          </w:p>
        </w:tc>
        <w:tc>
          <w:tcPr>
            <w:tcW w:w="14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333,401</w:t>
            </w:r>
          </w:p>
        </w:tc>
        <w:tc>
          <w:tcPr>
            <w:tcW w:w="100" w:type="dxa"/>
            <w:vAlign w:val="bottom"/>
          </w:tcPr>
          <w:p>
            <w:pPr>
              <w:spacing w:after="0"/>
              <w:rPr>
                <w:sz w:val="17"/>
                <w:szCs w:val="17"/>
                <w:color w:val="auto"/>
              </w:rPr>
            </w:pPr>
          </w:p>
        </w:tc>
        <w:tc>
          <w:tcPr>
            <w:tcW w:w="240" w:type="dxa"/>
            <w:vAlign w:val="bottom"/>
          </w:tcPr>
          <w:p>
            <w:pPr>
              <w:jc w:val="right"/>
              <w:ind w:right="56"/>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204.70</w:t>
            </w: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deferred as of December 31, 2025 (5)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208.04</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right="40" w:hanging="315"/>
        <w:spacing w:after="0" w:line="247" w:lineRule="auto"/>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consist of the target number of shares issuable at the end of the three-year performance period for the 2024 PSUs and the 2023 PSUs (each as defined below), or 87,550 shares and 118,684 shares, respectively, the shares issuable at the end of the three-year performance period for the PSUs granted in 2022 (the “2022 PSUs”) based on achievement against the performance metrics for the three-year performance period, or 133,034 shares.</w:t>
      </w:r>
    </w:p>
    <w:p>
      <w:pPr>
        <w:ind w:left="320" w:right="120" w:hanging="315"/>
        <w:spacing w:after="0" w:line="255" w:lineRule="auto"/>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consist of the target number of shares issuable at the end of the three-year performance period for the 2025 PSUs (as defined below), or 86,911 shares. PSUs also include the shares above target that are issuable for the 2023 PSUs at the end of the three-year performance cycle based on exceeding the performance metric for the three-year performance period, or 61,394 shares.</w:t>
      </w:r>
    </w:p>
    <w:p>
      <w:pPr>
        <w:ind w:left="320" w:hanging="315"/>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consist of shares vested pursuant to the 2022 PSUs. There are no additional shares to be earned related to the 2022 PSUs.</w:t>
      </w:r>
    </w:p>
    <w:p>
      <w:pPr>
        <w:spacing w:after="0" w:line="10" w:lineRule="exact"/>
        <w:rPr>
          <w:rFonts w:ascii="Times New Roman" w:cs="Times New Roman" w:eastAsia="Times New Roman" w:hAnsi="Times New Roman"/>
          <w:sz w:val="14"/>
          <w:szCs w:val="14"/>
          <w:color w:val="auto"/>
        </w:rPr>
      </w:pPr>
    </w:p>
    <w:p>
      <w:pPr>
        <w:ind w:left="320" w:right="140" w:hanging="315"/>
        <w:spacing w:after="0" w:line="245" w:lineRule="auto"/>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consist of shares forfeited in connection with the departure of the Company’s former Executive Vice President and President, APAC due to such role being eliminated, which includes the target number of shares issuable at the end of the three-year performance period for the 2024 PSUs and the 2023 PSUs pursuant to the terms of the award agreements.</w:t>
      </w:r>
    </w:p>
    <w:p>
      <w:pPr>
        <w:ind w:left="320" w:hanging="315"/>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Vested and deferred RSUs are related to deferred compensation for certain former employees.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RSUs and PSUs that vested during the year ended December 31, 2025 was $183.6 million.</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As of December 31, 2025, total unrecognized compensation expense related to unvested RSUs granted under the 2007 Plan was $106.7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is expected to be recognized over a weighted average period of approximately one year. Vesting of RSUs is subject generally to the employee’s continued employment or death, disability or qualified retirement (each as defined in the applicable RSU award agreement). RSUs will accrue dividend equivalents prior to vesting, which will be paid out only in respect of shares that actually vest.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i w:val="1"/>
          <w:iCs w:val="1"/>
          <w:color w:val="auto"/>
        </w:rPr>
        <w:t>Performance-Based Restricted Stock Units—</w:t>
      </w:r>
      <w:r>
        <w:rPr>
          <w:rFonts w:ascii="Times New Roman" w:cs="Times New Roman" w:eastAsia="Times New Roman" w:hAnsi="Times New Roman"/>
          <w:sz w:val="18"/>
          <w:szCs w:val="18"/>
          <w:color w:val="auto"/>
        </w:rPr>
        <w:t>During the year ended December 31, 2025, the Compensation Committee granted an aggregate of 86,911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“2025 PSUs”) to its executive officers and established the performance and market metrics for these awards. During the years ended December 31, 2024 and 2023, the Compensation Committee granted an aggregate of 87,550 PSUs (the “2024 PSUs”) and 118,684 PSUs (the “2023 PSUs”), respectively, to its executive officers and established the performance metrics for these awards.</w:t>
      </w:r>
    </w:p>
    <w:p>
      <w:pPr>
        <w:spacing w:after="0" w:line="11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Threshold, target and maximum parameters were established for the metrics for a three-year performance period with respect to each of the 2025 PSUs, the 2024 PSUs and the 2023 PSUs and will be used to calculate the number of shares that will be issuable when each award vests, which may range from zero to 200% of the target amounts. At the end of each three-year performance period, the number of shares that vest will depend on the degree of achievement against the pre-established goals. PSUs will be paid out in common stock at the end of each performance period, subject generally to the executive’s continued employment or death, disability or qualified retirement (each as defined in the applicable PSU award agreement). PSUs will accrue dividend equivalents prior to vesting, which will be paid out only in respect of shares that actually vest.</w:t>
      </w:r>
    </w:p>
    <w:p>
      <w:pPr>
        <w:spacing w:after="0" w:line="108" w:lineRule="exact"/>
        <w:rPr>
          <w:sz w:val="20"/>
          <w:szCs w:val="20"/>
          <w:color w:val="auto"/>
        </w:rPr>
      </w:pPr>
    </w:p>
    <w:p>
      <w:pPr>
        <w:jc w:val="both"/>
        <w:ind w:right="220"/>
        <w:spacing w:after="0" w:line="252" w:lineRule="auto"/>
        <w:rPr>
          <w:sz w:val="20"/>
          <w:szCs w:val="20"/>
          <w:color w:val="auto"/>
        </w:rPr>
      </w:pPr>
      <w:r>
        <w:rPr>
          <w:rFonts w:ascii="Times New Roman" w:cs="Times New Roman" w:eastAsia="Times New Roman" w:hAnsi="Times New Roman"/>
          <w:sz w:val="18"/>
          <w:szCs w:val="18"/>
          <w:color w:val="auto"/>
        </w:rPr>
        <w:t>Certain of the 2025 PSUs and the 2024 PSUs include a market condition component based on relative total shareholder return as measured against the REIT constituents included in the S&amp;P 500 Index. For the component of the 2025 PSUs and the 2024 PSUs subject to a market condition, fair value is determined using a Monte Carlo simulation model, which uses multiple input variables to determine the probability of satisfying the market condition requirements. The grant date fair value of the market condition component of the 2025 PSUs and the 2024 PSUs is $286.21 and $216.11,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assumptions used to apply this pricing model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5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w:t>
            </w:r>
          </w:p>
        </w:tc>
      </w:tr>
      <w:tr>
        <w:trPr>
          <w:trHeight w:val="224"/>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26.75 %</w:t>
            </w:r>
          </w:p>
        </w:tc>
      </w:tr>
    </w:tbl>
    <w:p>
      <w:pPr>
        <w:spacing w:after="0" w:line="206"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2025, the Company’s Executive Vice President and President, APAC departed the Company due to such role being eliminated. As the conditions for vesting pursuant to the terms of the award agreements for such executive’s 2024 PSUs and 2023 PSUs were not met, the awards were forfeited. Accordingly, the Company reversed $5.3 million of previously recognized stock-based compensation expense associated with these awards.</w:t>
      </w:r>
    </w:p>
    <w:p>
      <w:pPr>
        <w:spacing w:after="0" w:line="1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$23.9 million in stock-based compensation expense for equity awards in which the performance goals have been established and were probable of being achieved. The remaining unrecognized compensation expense related to these awards at December 31, 2025 was $1.3 million based on the Company’s current assessment of the probability of achieving the performance goals. The weighted-average period over which the cost will be recognized is approximately one year.</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ATC TIPL Transaction</w:t>
      </w:r>
      <w:r>
        <w:rPr>
          <w:rFonts w:ascii="Times New Roman" w:cs="Times New Roman" w:eastAsia="Times New Roman" w:hAnsi="Times New Roman"/>
          <w:sz w:val="18"/>
          <w:szCs w:val="18"/>
          <w:color w:val="auto"/>
        </w:rPr>
        <w:t>—Upon completion of the ATC TIPL Transaction (as defined in note 21), RSUs granted to certain employees in India that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and outstanding immediately vested. The Company recognized $5.3 million of accelerated stock-based compensation expense for these awards during the year ended December 31, 2024, which is included in Loss from discontinued operations, net of taxes.</w:t>
      </w:r>
    </w:p>
    <w:p>
      <w:pPr>
        <w:spacing w:after="0" w:line="14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EQUITY</w:t>
      </w:r>
    </w:p>
    <w:p>
      <w:pPr>
        <w:spacing w:after="0" w:line="175"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—The Company may pay dividends in cash or, subject to certain limitations, in shares of common stock or any combination of cash and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w:t>
      </w:r>
    </w:p>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Sales of Equity Securities</w:t>
      </w:r>
      <w:r>
        <w:rPr>
          <w:rFonts w:ascii="Times New Roman" w:cs="Times New Roman" w:eastAsia="Times New Roman" w:hAnsi="Times New Roman"/>
          <w:sz w:val="18"/>
          <w:szCs w:val="18"/>
          <w:color w:val="auto"/>
        </w:rPr>
        <w:t>—The Company receives proceeds from sales of its equity securities pursuant to the ESPP and upon exercise of stock options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2007 Plan. During the year ended December 31, 2025, the Company received an aggregate of $41.7 million in proceeds upon exercises of stock options and sales pursuant to the ESPP.</w:t>
      </w:r>
    </w:p>
    <w:p>
      <w:pPr>
        <w:spacing w:after="0" w:line="110"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6"/>
          <w:szCs w:val="16"/>
          <w:i w:val="1"/>
          <w:iCs w:val="1"/>
          <w:color w:val="auto"/>
        </w:rPr>
        <w:t>Stock Repurchase Programs</w:t>
      </w:r>
      <w:r>
        <w:rPr>
          <w:rFonts w:ascii="Times New Roman" w:cs="Times New Roman" w:eastAsia="Times New Roman" w:hAnsi="Times New Roman"/>
          <w:sz w:val="16"/>
          <w:szCs w:val="16"/>
          <w:color w:val="auto"/>
        </w:rPr>
        <w:t>—In March 2011, the Company’s Board of Directors approved a stock repurchase program, pursuant to which the Company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authorized to repurchase up to $1.5 billion of its common stock (the “2011 Buyback”). In December 2017, the Board of Directors approved an additional stock repurchase program, pursuant to which the Company is authorized to repurchase up to $2.0 billion of its common stock (the “2017 Buyback”).</w:t>
      </w:r>
    </w:p>
    <w:p>
      <w:pPr>
        <w:spacing w:after="0" w:line="78"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2,036,100 shares of its common stock for an aggregate of $364.6 million, including commissions and fees, under both the 2011 Buyback and the 2017 Buyback. As of December 31,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2025, the Company has no amounts remaining under the 2011 Buyback. As of December 31, 2025, the Company has repurchased a total of 1,941,312 shares of its common stock under the 2017 Buyback for an aggregate of $347.0 million, including commissions and fees.</w:t>
      </w:r>
    </w:p>
    <w:p>
      <w:pPr>
        <w:spacing w:after="0" w:line="10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Under the 2017 Buyback, the Company is authorized to purchase shares from time to time through open market purchases or in privately negotiated transactions not to exceed market prices and subject to market conditions and other factors. With respect to open market purchases, the Company may use plans adopted in accordance with Rule 10b5-1 under the Exchange Act in accordance with securities laws and other legal requirements, which allows the Company to repurchase shares during periods when it may otherwise be prevented from doing so under insider trading laws or because of self-imposed trading blackout periods.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expects to fund any further repurchases of its common stock through a combination of cash on hand, cash generated by operations and borrowings under its credit facilities. Repurchases under the Buyback Programs are subject to, among other things, the Company having available cash to fund the repurchases.</w:t>
      </w:r>
    </w:p>
    <w:p>
      <w:pPr>
        <w:spacing w:after="0" w:line="113"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—During the years ended December 31, 2025, 2024 and 2023, the Company declared the following cash distributions (per share data reflects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1"/>
                <w:szCs w:val="11"/>
                <w:color w:val="auto"/>
              </w:rPr>
            </w:pPr>
          </w:p>
        </w:tc>
        <w:tc>
          <w:tcPr>
            <w:tcW w:w="900" w:type="dxa"/>
            <w:vAlign w:val="bottom"/>
          </w:tcPr>
          <w:p>
            <w:pPr>
              <w:jc w:val="center"/>
              <w:ind w:right="105"/>
              <w:spacing w:after="0" w:line="133"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1"/>
                <w:szCs w:val="11"/>
                <w:color w:val="auto"/>
              </w:rPr>
            </w:pPr>
          </w:p>
        </w:tc>
        <w:tc>
          <w:tcPr>
            <w:tcW w:w="900" w:type="dxa"/>
            <w:vAlign w:val="bottom"/>
          </w:tcPr>
          <w:p>
            <w:pPr>
              <w:jc w:val="center"/>
              <w:ind w:right="85"/>
              <w:spacing w:after="0" w:line="133"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1"/>
                <w:szCs w:val="11"/>
                <w:color w:val="auto"/>
              </w:rPr>
            </w:pPr>
          </w:p>
        </w:tc>
        <w:tc>
          <w:tcPr>
            <w:tcW w:w="900" w:type="dxa"/>
            <w:vAlign w:val="bottom"/>
          </w:tcPr>
          <w:p>
            <w:pPr>
              <w:jc w:val="center"/>
              <w:ind w:right="85"/>
              <w:spacing w:after="0" w:line="133"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3"/>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5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Payment</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540"/>
              <w:spacing w:after="0" w:line="143"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05"/>
              <w:spacing w:after="0" w:line="143" w:lineRule="exact"/>
              <w:rPr>
                <w:sz w:val="20"/>
                <w:szCs w:val="20"/>
                <w:color w:val="auto"/>
              </w:rPr>
            </w:pPr>
            <w:r>
              <w:rPr>
                <w:rFonts w:ascii="Times New Roman" w:cs="Times New Roman" w:eastAsia="Times New Roman" w:hAnsi="Times New Roman"/>
                <w:sz w:val="14"/>
                <w:szCs w:val="14"/>
                <w:b w:val="1"/>
                <w:bCs w:val="1"/>
                <w:color w:val="auto"/>
                <w:w w:val="98"/>
              </w:rPr>
              <w:t>Payment</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80" w:type="dxa"/>
            <w:vAlign w:val="bottom"/>
          </w:tcPr>
          <w:p>
            <w:pPr>
              <w:spacing w:after="0"/>
              <w:rPr>
                <w:sz w:val="16"/>
                <w:szCs w:val="16"/>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60" w:type="dxa"/>
            <w:vAlign w:val="bottom"/>
          </w:tcPr>
          <w:p>
            <w:pPr>
              <w:spacing w:after="0"/>
              <w:rPr>
                <w:sz w:val="16"/>
                <w:szCs w:val="16"/>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160" w:type="dxa"/>
            <w:vAlign w:val="bottom"/>
          </w:tcPr>
          <w:p>
            <w:pPr>
              <w:spacing w:after="0"/>
              <w:rPr>
                <w:sz w:val="16"/>
                <w:szCs w:val="16"/>
                <w:color w:val="auto"/>
              </w:rPr>
            </w:pPr>
          </w:p>
        </w:tc>
        <w:tc>
          <w:tcPr>
            <w:tcW w:w="9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3,180.8</w:t>
            </w: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3,027.3</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characterizes the tax treatment of distributions declared per share of common stock.</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3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3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r>
      <w:tr>
        <w:trPr>
          <w:trHeight w:val="190"/>
        </w:trPr>
        <w:tc>
          <w:tcPr>
            <w:tcW w:w="3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3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Ordinary dividend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6.7200</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24"/>
        </w:trPr>
        <w:tc>
          <w:tcPr>
            <w:tcW w:w="3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gains distribution</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3160" w:type="dxa"/>
            <w:vAlign w:val="bottom"/>
            <w:tcBorders>
              <w:top w:val="single" w:sz="8" w:color="CCEEFF"/>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6.7200</w:t>
            </w:r>
          </w:p>
        </w:tc>
        <w:tc>
          <w:tcPr>
            <w:tcW w:w="4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w:t>
            </w:r>
          </w:p>
        </w:tc>
        <w:tc>
          <w:tcPr>
            <w:tcW w:w="4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right="60" w:hanging="315"/>
        <w:spacing w:after="0" w:line="247" w:lineRule="auto"/>
        <w:tabs>
          <w:tab w:leader="none" w:pos="308"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dividend declared on December 4, 2025 of $1.70 per share, which was paid on February 2, 2026 to common stockholders of record at the close of business on December 29, 2025 and which will apply to the 2026 tax year. Includes dividend declared on December 5, 2024 of $1.62 per share, which was paid on February 3, 2025 to common stockholders of record at the close of business on December 27, 2024 and which applied to the 2025 tax year.</w:t>
      </w:r>
    </w:p>
    <w:p>
      <w:pPr>
        <w:jc w:val="both"/>
        <w:ind w:left="320" w:right="120" w:hanging="315"/>
        <w:spacing w:after="0" w:line="250" w:lineRule="auto"/>
        <w:tabs>
          <w:tab w:leader="none" w:pos="308"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dividend declared on December 5, 2024 of $1.62 per share, which was paid on February 3, 2025 to common stockholders of record at the close of business on December 27, 2024 and which applied to the 2025 tax year. Includes dividend declared on December 13, 2023 of $1.70 per share, which was paid on February 1, 2024 to common stockholders of record at the close of business on December 28, 2023 and which applied to the 2024 tax year.</w:t>
      </w:r>
    </w:p>
    <w:p>
      <w:pPr>
        <w:spacing w:after="0" w:line="1" w:lineRule="exact"/>
        <w:rPr>
          <w:rFonts w:ascii="Times New Roman" w:cs="Times New Roman" w:eastAsia="Times New Roman" w:hAnsi="Times New Roman"/>
          <w:sz w:val="14"/>
          <w:szCs w:val="14"/>
          <w:color w:val="auto"/>
        </w:rPr>
      </w:pPr>
    </w:p>
    <w:p>
      <w:pPr>
        <w:ind w:left="320" w:right="60" w:hanging="315"/>
        <w:spacing w:after="0" w:line="259" w:lineRule="auto"/>
        <w:tabs>
          <w:tab w:leader="none" w:pos="308"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dividend declared on December 13, 2023 of $1.70 per share, which was paid on February 1, 2024 to common stockholders of record at the close of business on December 28, 2023 and which applied to the 2024 tax year. Includes dividend declared on December 7, 2022 of $1.56 per share, which was paid on February 2, 2023 to common stockholders of record at the close of business on December 28, 2022 and which applied to the 2023 tax year.</w:t>
      </w:r>
    </w:p>
    <w:p>
      <w:pPr>
        <w:spacing w:after="0" w:line="11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accrues distributions on unvested restricted stock units, which are payable upon vesting. The amount accrued for distributions payable related to unvested restricted stock units was $20.8 million and $22.5 million as of December 31, 2025 and 2024, respectively. During the year ended December 31, 2025, the Company paid $12.2 million of distributions upon the vesting of restricted stock units. To maintain its qualification for taxation as a REIT, the Company expects to continue paying distributions, the amount, timing and frequency of which will be determined, and subject to adjustment, by the Company’s Board of Directors.</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NONCONTROLLING INTERESTS</w:t>
      </w:r>
    </w:p>
    <w:p>
      <w:pPr>
        <w:spacing w:after="0" w:line="175"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6"/>
          <w:szCs w:val="16"/>
          <w:i w:val="1"/>
          <w:iCs w:val="1"/>
          <w:color w:val="auto"/>
        </w:rPr>
        <w:t>European Interests—</w:t>
      </w:r>
      <w:r>
        <w:rPr>
          <w:rFonts w:ascii="Times New Roman" w:cs="Times New Roman" w:eastAsia="Times New Roman" w:hAnsi="Times New Roman"/>
          <w:sz w:val="16"/>
          <w:szCs w:val="16"/>
          <w:color w:val="auto"/>
        </w:rPr>
        <w:t>As of December 31, 2025, ATC Europe consists of the Company’s operations in France, Germany and Spain. The Company currently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holds a 52% controlling interest in ATC Europe, with Caisse de dépôt et placement du Québec (“La Caisse”) and Allianz insurance companies and funds managed by Allianz Capital Partners GmbH, including the Allianz European Infrastructure Fund (collectively, “Allianz”) holding 30% and 18% noncontrolling interests, respectively. ATC Europe holds a 100% interest in the subsidiaries that consist of the Company’s operations in France and an 87% and an 83%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287"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8"/>
          <w:szCs w:val="18"/>
          <w:color w:val="auto"/>
        </w:rPr>
        <w:t>controlling interest in the subsidiaries that consist of the Company’s operations in Germany and Spain, respectively, with PGGM holding a 13% and a 17% noncontrolling interest in each respective subsidiary.</w:t>
      </w:r>
    </w:p>
    <w:p>
      <w:pPr>
        <w:spacing w:after="0" w:line="14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i w:val="1"/>
          <w:iCs w:val="1"/>
          <w:color w:val="auto"/>
        </w:rPr>
        <w:t>Bangladesh Partnership</w:t>
      </w:r>
      <w:r>
        <w:rPr>
          <w:rFonts w:ascii="Times New Roman" w:cs="Times New Roman" w:eastAsia="Times New Roman" w:hAnsi="Times New Roman"/>
          <w:sz w:val="18"/>
          <w:szCs w:val="18"/>
          <w:color w:val="auto"/>
        </w:rPr>
        <w:t>—In August 2021, the Company acquired a 51% controlling interest in Kirtonkhola Tower Bangladesh Limited (“KTBL”). Confidence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holds a 49% noncontrolling interest in KTBL.</w:t>
      </w:r>
    </w:p>
    <w:p>
      <w:pPr>
        <w:spacing w:after="0" w:line="86"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i w:val="1"/>
          <w:iCs w:val="1"/>
          <w:color w:val="auto"/>
        </w:rPr>
        <w:t>Stonepeak Transaction</w:t>
      </w:r>
      <w:r>
        <w:rPr>
          <w:rFonts w:ascii="Times New Roman" w:cs="Times New Roman" w:eastAsia="Times New Roman" w:hAnsi="Times New Roman"/>
          <w:sz w:val="18"/>
          <w:szCs w:val="18"/>
          <w:color w:val="auto"/>
        </w:rPr>
        <w:t>—In 2022, the Company entered into agreements pursuant to which certain investment vehicles affiliated with Stonepeak Partners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investment vehicles, collectively, “Stonepeak”) acquired a noncontrolling ownership interest in the Company’s U.S. data center business, through an investment in common equity and mandatorily convertible preferred equity.</w:t>
      </w:r>
    </w:p>
    <w:p>
      <w:pPr>
        <w:spacing w:after="0" w:line="1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December 31, 2025, the Company holds a common equity interest of approximately 71% in its U.S. data center business, with Stonepeak holding approximately 29% of the outstanding common equity and 100% of the outstanding mandatorily convertible preferred equity. On a fully converted basis, which is expected to occur four years from August 2022, and on the basis of the currently outstanding equity, the Company will hold a controlling ownership interest of approximately 64%, with Stonepeak holding approximately 36%. The mandatorily convertible preferred equity, which accrues dividends at 5.0%, will convert into common equity on a one for one basis, subject to adjustment that will be measured upon conversion.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noncontrolling interests—</w:t>
      </w:r>
      <w:r>
        <w:rPr>
          <w:rFonts w:ascii="Times New Roman" w:cs="Times New Roman" w:eastAsia="Times New Roman" w:hAnsi="Times New Roman"/>
          <w:sz w:val="18"/>
          <w:szCs w:val="18"/>
          <w:color w:val="auto"/>
        </w:rPr>
        <w:t>Certain of the Company’s subsidiaries may, from time to time, declare dividends.</w:t>
      </w:r>
    </w:p>
    <w:p>
      <w:pPr>
        <w:spacing w:after="0" w:line="138"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8"/>
          <w:szCs w:val="18"/>
          <w:color w:val="auto"/>
        </w:rPr>
        <w:t>During the year ended December 31, 2025, the Company’s U.S. data center business declared distributions of $46.1 million related to the outstanding Stonepeak mandatorily convertible preferred equity (the “Stonepeak Preferred Distributions”). As of December 31, 2025, the amount accrued for Stonepeak Preferred Distributions was $11.6 million.</w:t>
      </w:r>
    </w:p>
    <w:p>
      <w:pPr>
        <w:spacing w:after="0" w:line="114"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Beginning in January 2024, pursuant to the terms of the ownership agreement with Stonepeak, on a quarterly basis, the Company’s U.S. data center business will distribute common dividends to the Company and to Stonepeak in proportion to their respective equity interests in the Company’s U.S. data center business (the “Stonepeak Common Dividend”). During the year ended December 31, 2025, the Company’s U.S. data center business made distributions of $69.6 million related to the Stonepeak Common Dividend.</w:t>
      </w:r>
    </w:p>
    <w:p>
      <w:pPr>
        <w:spacing w:after="0" w:line="11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During the year ended December 31, 2025, pursuant to the terms of the ownership agreements, ATC Europe C.V., one of the Company’s subsidiaries in the Netherlands, declared and paid aggregate dividends of 248.9 million EUR (approximately $291.2 million at the dates of payment) to the Company, La Caisse and Allianz in proportion to their respective equity interests in ATC Europe C.V.</w:t>
      </w:r>
    </w:p>
    <w:p>
      <w:pPr>
        <w:spacing w:after="0" w:line="1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pursuant to the terms of the ownership agreements, AT Iberia C.V., one of the Company’s subsidiaries in Spain, declared and paid aggregate dividends of 87.3 million EUR (approximately $101.1 million at the dates of payment) to ATC Europe and PGGM in proportion to their respective equity interests in AT Iberia C.V.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noncontrolling interests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60" w:type="dxa"/>
            <w:vAlign w:val="bottom"/>
          </w:tcPr>
          <w:p>
            <w:pPr>
              <w:spacing w:after="0"/>
              <w:rPr>
                <w:sz w:val="16"/>
                <w:szCs w:val="16"/>
                <w:color w:val="auto"/>
              </w:rPr>
            </w:pPr>
          </w:p>
        </w:tc>
      </w:tr>
      <w:tr>
        <w:trPr>
          <w:trHeight w:val="24"/>
        </w:trPr>
        <w:tc>
          <w:tcPr>
            <w:tcW w:w="69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5"/>
        </w:trPr>
        <w:tc>
          <w:tcPr>
            <w:tcW w:w="69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260" w:type="dxa"/>
            <w:vAlign w:val="bottom"/>
            <w:shd w:val="clear" w:color="auto" w:fill="CCEEFF"/>
          </w:tcPr>
          <w:p>
            <w:pPr>
              <w:jc w:val="right"/>
              <w:ind w:right="107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6,667.2</w:t>
            </w:r>
          </w:p>
        </w:tc>
      </w:tr>
      <w:tr>
        <w:trPr>
          <w:trHeight w:val="22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attributable to noncontrolling interests, net of tax</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2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from noncontrolling interest holders (1)</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2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1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r>
      <w:tr>
        <w:trPr>
          <w:trHeight w:val="21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260" w:type="dxa"/>
            <w:vAlign w:val="bottom"/>
            <w:tcBorders>
              <w:bottom w:val="single" w:sz="8" w:color="auto"/>
            </w:tcBorders>
          </w:tcPr>
          <w:p>
            <w:pPr>
              <w:jc w:val="right"/>
              <w:ind w:right="107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6,702.8</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6,266.5</w:t>
            </w: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right="60" w:hanging="315"/>
        <w:spacing w:after="0" w:line="250" w:lineRule="auto"/>
        <w:tabs>
          <w:tab w:leader="none" w:pos="308"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primarily includes contributions from Stonepeak. For the year ended December 31, 2024 includes contributions from Stonepeak of $137.3 million, including a noncash contribution of $37.5 million made in lieu of Stonepeak’s receipt of the Stonepeak Common Dividend and a noncash contribution from PGGM of $12.4 million made in lieu of PGGM’s receipt of a distribution.</w:t>
      </w:r>
    </w:p>
    <w:p>
      <w:pPr>
        <w:spacing w:after="0" w:line="15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OTHER OPERATING EXPENSE</w:t>
      </w:r>
    </w:p>
    <w:p>
      <w:pPr>
        <w:spacing w:after="0" w:line="1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Other operating expense consists primarily of impairment charges, net losses on sales or disposals of assets and other operating expense items. The Company records impairment charges to write down certain assets to their net realizable value after an indicator of impairment is identified and subsequent analysis determines that the asset is either partially recoverable or not recoverable. These assets consist primarily of those related to the Company’s tower locations, and included towers and related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480"/>
        <w:spacing w:after="0" w:line="252" w:lineRule="auto"/>
        <w:rPr>
          <w:sz w:val="20"/>
          <w:szCs w:val="20"/>
          <w:color w:val="auto"/>
        </w:rPr>
      </w:pPr>
      <w:r>
        <w:rPr>
          <w:rFonts w:ascii="Times New Roman" w:cs="Times New Roman" w:eastAsia="Times New Roman" w:hAnsi="Times New Roman"/>
          <w:sz w:val="18"/>
          <w:szCs w:val="18"/>
          <w:color w:val="auto"/>
        </w:rPr>
        <w:t>assets included in property and equipment, network location intangible assets and right-of-use assets, all of which are typically assessed on an individual location or site basis. The assets subject to impairment also include tenant-related intangibles, which are assessed on a tenant basis. Net losses on sales or disposals of assets primarily relate to certain non-core towers, other assets and miscellaneous items. Other operating expenses includes acquisition- and disposition-related costs and integration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included the following for the years ended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12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55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200" w:type="dxa"/>
            <w:vAlign w:val="bottom"/>
            <w:shd w:val="clear" w:color="auto" w:fill="CCEEFF"/>
          </w:tcPr>
          <w:p>
            <w:pPr>
              <w:jc w:val="right"/>
              <w:ind w:right="101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5"/>
              </w:rPr>
              <w:t>68.6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 on sales or disposals of assets (1)</w:t>
            </w: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5"/>
              </w:rPr>
              <w:t>17.9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4"/>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(2)</w:t>
            </w:r>
          </w:p>
        </w:tc>
        <w:tc>
          <w:tcPr>
            <w:tcW w:w="1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1200" w:type="dxa"/>
            <w:vAlign w:val="bottom"/>
            <w:tcBorders>
              <w:bottom w:val="single" w:sz="8" w:color="auto"/>
            </w:tcBorders>
          </w:tcPr>
          <w:p>
            <w:pPr>
              <w:jc w:val="right"/>
              <w:ind w:right="101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5"/>
              </w:rPr>
              <w:t>74.1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r>
      <w:tr>
        <w:trPr>
          <w:trHeight w:val="20"/>
        </w:trPr>
        <w:tc>
          <w:tcPr>
            <w:tcW w:w="5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right="80" w:hanging="315"/>
        <w:spacing w:after="0" w:line="249" w:lineRule="auto"/>
        <w:tabs>
          <w:tab w:leader="none" w:pos="308"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includes a gain on the sale of South Africa Fiber of $53.6 million. For the year ended December 31, 2024, includes a gain on the sales of our subsidiaries in Australia (“ATC Australia”) and New Zealand (“ATC New Zealand”) of $8.5 million. For the year ended December 31, 2023, includes a net loss of $78.9 million on the sales of one of our subsidiaries in Mexico that held fiber assets (‘Mexico Fiber”) and the sale of our subsidiary in Poland (“ATC Poland”).</w:t>
      </w:r>
    </w:p>
    <w:p>
      <w:pPr>
        <w:ind w:left="320" w:right="260" w:hanging="315"/>
        <w:spacing w:after="0" w:line="264" w:lineRule="auto"/>
        <w:tabs>
          <w:tab w:leader="none" w:pos="308"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years ended December 31, 2025, 2024 and 2023, the Company recorded net benefits of $14.7 million, $23.4 million and $10.3 million related to pre-acquisition contingencies and settlements, respectively. For the year ended December 31, 2023, includes severance and related costs as discussed below.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charges included the following for the years ended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12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55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Tower and network location intangible assets</w:t>
            </w: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2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relationships (1)</w:t>
            </w:r>
          </w:p>
        </w:tc>
        <w:tc>
          <w:tcPr>
            <w:tcW w:w="1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4"/>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(2)</w:t>
            </w:r>
          </w:p>
        </w:tc>
        <w:tc>
          <w:tcPr>
            <w:tcW w:w="1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charges included in Other operating expense</w:t>
            </w:r>
          </w:p>
        </w:tc>
        <w:tc>
          <w:tcPr>
            <w:tcW w:w="120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Spain goodwill impairment</w:t>
            </w:r>
          </w:p>
        </w:tc>
        <w:tc>
          <w:tcPr>
            <w:tcW w:w="120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charges</w:t>
            </w:r>
          </w:p>
        </w:tc>
        <w:tc>
          <w:tcPr>
            <w:tcW w:w="120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0"/>
        </w:trPr>
        <w:tc>
          <w:tcPr>
            <w:tcW w:w="5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00" w:hanging="295"/>
        <w:spacing w:after="0"/>
        <w:tabs>
          <w:tab w:leader="none" w:pos="3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2023, impairment charges related to impaired tenant relationships in Africa.</w:t>
      </w:r>
    </w:p>
    <w:p>
      <w:pPr>
        <w:spacing w:after="0" w:line="34" w:lineRule="exact"/>
        <w:rPr>
          <w:rFonts w:ascii="Times New Roman" w:cs="Times New Roman" w:eastAsia="Times New Roman" w:hAnsi="Times New Roman"/>
          <w:sz w:val="14"/>
          <w:szCs w:val="14"/>
          <w:color w:val="auto"/>
        </w:rPr>
      </w:pPr>
    </w:p>
    <w:p>
      <w:pPr>
        <w:ind w:left="320" w:right="260" w:hanging="315"/>
        <w:spacing w:after="0" w:line="288" w:lineRule="auto"/>
        <w:tabs>
          <w:tab w:leader="none" w:pos="308"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 charges related to right-of-use assets. During the year ended December 31, 2025, includes $6.5 million of goodwill impairment associated with the Bangladesh reporting unit (as discussed in note 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Goodwill Impairment</w:t>
      </w:r>
    </w:p>
    <w:p>
      <w:pPr>
        <w:spacing w:after="0" w:line="15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For the year ended December 31, 2023, the results of the annual goodwill impairment test indicated that the carrying amount of the Company’s Spain reporting unit exceeded its estimated fair value, as calculated under an income approach using future discounted cash flows. As a result, the Company recorded a goodwill impairment charge of $80.0 million. The key assumptions utilized in the discounted cash flow analysis included current operating performance, terminal revenue growth rate, management’s expectations of future operating results and cash requirements, the current weighted average cost of capital and an expected tax rate. The reduction in the fair value of the Spain reporting unit was primarily due to an increase in the weighted average cost of capital. The goodwill impairment charge is recorded in Goodwill impairment in the consolidated statements of operations for the year ended December 31,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26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approved a plan for restructuring its workforce, which was communicated to its employees. As a result of these actions, severance and related costs of $21.8 million were recorded in Other operating expense in the accompanying consolidated statements of operations for the year ended December 31,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relating to the severance and related costs by operating segments is as follows for the year ended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9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9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&amp; Canada property</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4"/>
        </w:trPr>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Africa property</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4"/>
        </w:trPr>
        <w:tc>
          <w:tcPr>
            <w:tcW w:w="9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 property</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4"/>
        </w:trPr>
        <w:tc>
          <w:tcPr>
            <w:tcW w:w="9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Latin America property</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4"/>
        </w:trPr>
        <w:tc>
          <w:tcPr>
            <w:tcW w:w="9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4"/>
        </w:trPr>
        <w:tc>
          <w:tcPr>
            <w:tcW w:w="9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(1)</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2"/>
        </w:trPr>
        <w:tc>
          <w:tcPr>
            <w:tcW w:w="9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severance and related costs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tabs>
          <w:tab w:leader="none" w:pos="3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expenses.</w:t>
      </w:r>
    </w:p>
    <w:p>
      <w:pPr>
        <w:spacing w:after="0" w:line="16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EARNINGS PER COMMON SHARE</w:t>
      </w:r>
    </w:p>
    <w:p>
      <w:pPr>
        <w:spacing w:after="0" w:line="177"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18"/>
          <w:szCs w:val="18"/>
          <w:color w:val="auto"/>
        </w:rPr>
        <w:t>The following table sets forth basic and diluted net income per common share computational data for the years ended December 31, (shares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attributable to American Tower common stockholders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0" w:type="dxa"/>
            <w:vAlign w:val="bottom"/>
          </w:tcPr>
          <w:p>
            <w:pPr>
              <w:spacing w:after="0"/>
              <w:rPr>
                <w:sz w:val="1"/>
                <w:szCs w:val="1"/>
                <w:color w:val="auto"/>
              </w:rPr>
            </w:pPr>
          </w:p>
        </w:tc>
      </w:tr>
      <w:tr>
        <w:trPr>
          <w:trHeight w:val="22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attributable to American Tower common stockholders</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2"/>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American Tower Corporation common stockholders</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467,922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467,011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466,063</w:t>
            </w:r>
          </w:p>
        </w:tc>
        <w:tc>
          <w:tcPr>
            <w:tcW w:w="0" w:type="dxa"/>
            <w:vAlign w:val="bottom"/>
          </w:tcPr>
          <w:p>
            <w:pPr>
              <w:spacing w:after="0"/>
              <w:rPr>
                <w:sz w:val="1"/>
                <w:szCs w:val="1"/>
                <w:color w:val="auto"/>
              </w:rPr>
            </w:pPr>
          </w:p>
        </w:tc>
      </w:tr>
      <w:tr>
        <w:trPr>
          <w:trHeight w:val="224"/>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468,757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467,162</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Basic net income from continuing operations attributable to American Tower Corporation common</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171"/>
        </w:trPr>
        <w:tc>
          <w:tcPr>
            <w:tcW w:w="72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Basic net loss from discontinued operations attributable to American Tower Corporation common</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per common share</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152"/>
        </w:trPr>
        <w:tc>
          <w:tcPr>
            <w:tcW w:w="724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Basic net income attributable to American Tower Corporation common stockholders per common</w:t>
            </w:r>
          </w:p>
        </w:tc>
        <w:tc>
          <w:tcPr>
            <w:tcW w:w="30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1"/>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Times New Roman" w:cs="Times New Roman" w:eastAsia="Times New Roman" w:hAnsi="Times New Roman"/>
                <w:sz w:val="18"/>
                <w:szCs w:val="18"/>
                <w:color w:val="auto"/>
                <w:w w:val="98"/>
              </w:rPr>
              <w:t>Diluted net income from continuing operations attributable to American Tower Corporation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2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72"/>
        </w:trPr>
        <w:tc>
          <w:tcPr>
            <w:tcW w:w="72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Diluted net loss from discontinued operations attributable to American Tower Corporation common</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151"/>
        </w:trPr>
        <w:tc>
          <w:tcPr>
            <w:tcW w:w="724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Diluted net income attributable to American Tower Corporation common stockholders per common</w:t>
            </w:r>
          </w:p>
        </w:tc>
        <w:tc>
          <w:tcPr>
            <w:tcW w:w="3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Excluded From Dilutive Effect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shares were not included in the computation of diluted earnings per share because the effect would be anti-dilutive for the years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(in thousands, on a weighted average basis):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6"/>
          <w:szCs w:val="16"/>
          <w:b w:val="1"/>
          <w:bCs w:val="1"/>
          <w:color w:val="auto"/>
        </w:rPr>
        <w:t>COMMITMENTS AND CONTINGENCIES</w:t>
      </w:r>
    </w:p>
    <w:p>
      <w:pPr>
        <w:spacing w:after="0" w:line="175"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—The Company periodically becomes involved in various claims and lawsuits that are incidental to its business. While the Company’s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consultation with counsel, currently believes the ultimate outcome of these legal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proceedings, individually and in the aggregate, will not have a material adverse impact on its consolidated financial position, results of operations or liquidity, litigation is subject to inherent uncertainties. Were an unfavorable ruling to occur, there exists the possibility of a material adverse impact on the Company’s financial condition and results of operations.</w:t>
      </w:r>
    </w:p>
    <w:p>
      <w:pPr>
        <w:spacing w:after="0" w:line="11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i w:val="1"/>
          <w:iCs w:val="1"/>
          <w:color w:val="auto"/>
        </w:rPr>
        <w:t>Verizon Transaction</w:t>
      </w:r>
      <w:r>
        <w:rPr>
          <w:rFonts w:ascii="Times New Roman" w:cs="Times New Roman" w:eastAsia="Times New Roman" w:hAnsi="Times New Roman"/>
          <w:sz w:val="18"/>
          <w:szCs w:val="18"/>
          <w:color w:val="auto"/>
        </w:rPr>
        <w:t>—In March 2015, the Company entered into an agreement with various operating entities of Verizon Communications Inc. (“Verizon”)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provides for the lease, sublease or management of approximately 11,100 wireless communications sites, which commenced on March 27, 2015. The average term of the lease or sublease for all communications sites at the inception of the agreement was approximately 28 years, assuming renewals or extensions of the underlying ground leases for the sites. The Company has the option to purchase the leased sites in tranches, subject to the applicable lease, sublease or management rights upon its scheduled expiration. Each tower is assigned to an annual tranche, ranging from 2034 to 2047, which represents the outside expiration date for the sublease rights to the towers in that tranche. The purchase price for each tranche is a fixed amount stated in the lease for such tranche plus the fair market value of certain alterations made to the related towers. The aggregate purchase option price for the towers leased and subleased is approximately $5.0 billion. Verizon occupied the sites as a tenant for an initial term of ten years and has exercised its first renewal option for a five-year term. Verizon has seven optional successive five-year terms remaining; each such term shall be governed by standard master lease agreement terms established as a part of the transaction.</w:t>
      </w:r>
    </w:p>
    <w:p>
      <w:pPr>
        <w:spacing w:after="0" w:line="10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i w:val="1"/>
          <w:iCs w:val="1"/>
          <w:color w:val="auto"/>
        </w:rPr>
        <w:t>AT&amp;T Transaction</w:t>
      </w:r>
      <w:r>
        <w:rPr>
          <w:rFonts w:ascii="Times New Roman" w:cs="Times New Roman" w:eastAsia="Times New Roman" w:hAnsi="Times New Roman"/>
          <w:sz w:val="18"/>
          <w:szCs w:val="18"/>
          <w:color w:val="auto"/>
        </w:rPr>
        <w:t>—The Company has an agreement with SBC Communications Inc., a predecessor entity to AT&amp;T Inc. (“AT&amp;T”), that currently provides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lease or sublease of approximately 1,600 towers, which commenced between December 2000 and August 2004. Substantially all of the towers are part of the Trust Securitization. The average term of the lease or sublease for all sites at the inception of the agreement was approximately 27 years, assuming renewals or extensions of the underlying ground leases for the sites. The Company has the option to purchase the sites subject to the applicable lease or sublease upon its expiration. Each tower is assigned to an annual tranche, ranging from 2013 to 2032, which represents the outside expiration date for the sublease rights to that tower. The purchase price for each site is a fixed amount stated in the lease for that site plus the fair market value of certain alterations made to the related tower by AT&amp;T. As of December 31, 2025, the Company has purchased an aggregate of approximately 800 of the subleased towers which are subject to the applicable agreement, including 104 towers purchased during the year ended December 31, 2025 for an aggregate purchase price of $82.0 million. The aggregate purchase option price for the remaining towers leased and subleased is $1.2 billion and includes per annum accretion through the applicable expiration of the lease or sublease of a site. For the applicable sites, AT&amp;T has the right to continue to lease space subject to a monthly fee, which shall escalate in accordance with the standard master lease agreement for the remainder of AT&amp;T’s tenancy. AT&amp;T shall have the right to renew each lease for up to five successive five-year terms.</w:t>
      </w:r>
    </w:p>
    <w:p>
      <w:pPr>
        <w:spacing w:after="0" w:line="12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i w:val="1"/>
          <w:iCs w:val="1"/>
          <w:color w:val="auto"/>
        </w:rPr>
        <w:t>Other Contingencies</w:t>
      </w:r>
      <w:r>
        <w:rPr>
          <w:rFonts w:ascii="Times New Roman" w:cs="Times New Roman" w:eastAsia="Times New Roman" w:hAnsi="Times New Roman"/>
          <w:sz w:val="18"/>
          <w:szCs w:val="18"/>
          <w:color w:val="auto"/>
        </w:rPr>
        <w:t>—The Company is subject to income tax and other taxes in the geographic areas where it holds assets or operates, and periodically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receives notifications of audits, assessments or other actions by taxing authorities. Taxing authorities may issue notices or assessments while audits are being conducted. In certain jurisdictions, taxing authorities may issue assessments with minimal examination. These notices and assessments do not represent amounts that the Company is obligated to pay and are often not reflective of the actual tax liability for which the Company will ultimately be liable. In the process of responding to assessments of taxes that the Company believes are not enforceable, the Company avails itself of both administrative and judicial remedies. The Company evaluates the circumstances of each notification or assessment based on the information available and, in those instances in which the Company does not anticipate a successful defense of positions taken in its tax filings, a liability is recorded in the appropriate amount based on the underlying assessment.</w:t>
      </w:r>
    </w:p>
    <w:p>
      <w:pPr>
        <w:spacing w:after="0" w:line="12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i w:val="1"/>
          <w:iCs w:val="1"/>
          <w:color w:val="auto"/>
        </w:rPr>
        <w:t>Guaranties and Indemnifications</w:t>
      </w:r>
      <w:r>
        <w:rPr>
          <w:rFonts w:ascii="Times New Roman" w:cs="Times New Roman" w:eastAsia="Times New Roman" w:hAnsi="Times New Roman"/>
          <w:sz w:val="18"/>
          <w:szCs w:val="18"/>
          <w:color w:val="auto"/>
        </w:rPr>
        <w:t>—The Company enters into agreements from time to time in the ordinary course of business pursuant to which it agrees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or indemnify third parties for certain claims. The Company has also entered into purchase and sale or disposal agreements relating to the sale or acquisition of assets containing customary indemnification provisions. The Company’s indemnification obligations under these agreements generally are limited solely to damages resulting from breaches of representations and warranties or covenants under the applicable agreements. In addition, payments under such indemnification clauses are generally conditioned on the other party making a claim that is subject to whatever defenses the Company may have and are governed by dispute resolution procedures specified in the particular agreement. Further, the Company’s obligations under these agreements may be limited in duration and amount, and in some instances, the Company may have recourse against third parties for payments made by the Company. The Company has not historically made any material payments under these agreements and, as of December 31, 2025, is not aware of any agreements that could result in a material payment.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2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6"/>
          <w:szCs w:val="16"/>
          <w:b w:val="1"/>
          <w:bCs w:val="1"/>
          <w:color w:val="auto"/>
        </w:rPr>
        <w:t>SUPPLEMENTAL CASH FLOW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investing and financing activities are as follows for the years ended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72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r>
      <w:tr>
        <w:trPr>
          <w:trHeight w:val="224"/>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 (net of refunds of $26.5, $31.8 and $31.5, respectively)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1"/>
        </w:trPr>
        <w:tc>
          <w:tcPr>
            <w:tcW w:w="720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Increase (decrease) in accounts payable and accrued expenses for purchases of property and</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7"/>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 and construction activities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171"/>
        </w:trPr>
        <w:tc>
          <w:tcPr>
            <w:tcW w:w="720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Purchases of property and equipment under finance leases, perpetual easements and capital</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7"/>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4"/>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Seller financed acquisition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Contributions from noncontrolling interest holders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to equity method investment</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Transfer of tower sites (1)</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right="100" w:hanging="315"/>
        <w:spacing w:after="0" w:line="265" w:lineRule="auto"/>
        <w:tabs>
          <w:tab w:leader="none" w:pos="312"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received 575 tower sites from a customer in Brazil in exchange for settling certain future contractual obligations owed to the Company in accordance with the customer’s judicial recovery plan.</w:t>
      </w:r>
    </w:p>
    <w:p>
      <w:pPr>
        <w:spacing w:after="0" w:line="1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6"/>
          <w:szCs w:val="16"/>
          <w:b w:val="1"/>
          <w:bCs w:val="1"/>
          <w:color w:val="auto"/>
        </w:rPr>
        <w:t>BUSINESS SEGMENTS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w:t>
      </w:r>
    </w:p>
    <w:p>
      <w:pPr>
        <w:spacing w:after="0" w:line="15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Communications Sites and Related Communications Infrastructure</w:t>
      </w:r>
      <w:r>
        <w:rPr>
          <w:rFonts w:ascii="Times New Roman" w:cs="Times New Roman" w:eastAsia="Times New Roman" w:hAnsi="Times New Roman"/>
          <w:sz w:val="18"/>
          <w:szCs w:val="18"/>
          <w:color w:val="auto"/>
        </w:rPr>
        <w:t>—The Company’s primary business is leasing space on multitenant communications sites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wireless service providers, radio and television broadcast companies, wireless data providers, government agencies and municipalities and tenants in a number of other industries. The Company has historically reported these operations on a geographic basis.</w:t>
      </w:r>
    </w:p>
    <w:p>
      <w:pPr>
        <w:spacing w:after="0" w:line="9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Data Centers</w:t>
      </w:r>
      <w:r>
        <w:rPr>
          <w:rFonts w:ascii="Times New Roman" w:cs="Times New Roman" w:eastAsia="Times New Roman" w:hAnsi="Times New Roman"/>
          <w:sz w:val="18"/>
          <w:szCs w:val="18"/>
          <w:color w:val="auto"/>
        </w:rPr>
        <w:t>— The Company operates 30 data center facilities across eleven markets in the United States. The Company’s Data Centers segment relates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center facilities and related assets that the Company owns and operates in the United States. The Data Centers segment offers different types of leased land, infrastructure and related services from, and requires different resources, skill sets and marketing strategies than the existing property operating segment in the U.S. &amp; Canada.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Company’s property operations consisted of the following:</w:t>
      </w:r>
    </w:p>
    <w:p>
      <w:pPr>
        <w:spacing w:after="0" w:line="149" w:lineRule="exact"/>
        <w:rPr>
          <w:sz w:val="20"/>
          <w:szCs w:val="20"/>
          <w:color w:val="auto"/>
        </w:rPr>
      </w:pPr>
    </w:p>
    <w:p>
      <w:pPr>
        <w:ind w:left="640" w:hanging="318"/>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&amp; Canada: property operations in Canada and the United States;</w:t>
      </w:r>
    </w:p>
    <w:p>
      <w:pPr>
        <w:spacing w:after="0" w:line="21"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Africa &amp; APAC: property operations in Bangladesh, Burkina Faso, Ghana, Kenya, Niger, Nigeria, the Philippines, South Africa and Uganda;</w:t>
      </w:r>
    </w:p>
    <w:p>
      <w:pPr>
        <w:spacing w:after="0" w:line="3" w:lineRule="exact"/>
        <w:rPr>
          <w:rFonts w:ascii="Times New Roman" w:cs="Times New Roman" w:eastAsia="Times New Roman" w:hAnsi="Times New Roman"/>
          <w:sz w:val="18"/>
          <w:szCs w:val="18"/>
          <w:i w:val="1"/>
          <w:iCs w:val="1"/>
          <w:color w:val="auto"/>
        </w:rPr>
      </w:pPr>
    </w:p>
    <w:p>
      <w:pPr>
        <w:ind w:left="640" w:hanging="318"/>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property operations in France, Germany and Spain;</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property operations in Argentina, Brazil, Chile, Colombia, Costa Rica, Mexico, Paraguay and Peru; and</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data center property operations in the United States.</w:t>
      </w:r>
    </w:p>
    <w:p>
      <w:pPr>
        <w:spacing w:after="0" w:line="2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—The Company’s Services segment offers tower-related services in the United States, including AZP, structural and mount analyses, and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services, together with program management offerings that support customer deployment needs from project scoping through construction. The Company’s services operations primarily support its site leasing business, including the addition of new tenants and equipment on its communications sites. The Services segment is a strategic business unit that offers different services from, and requires different resources, skill sets and marketing strategies than, the property operating segments.</w:t>
      </w:r>
    </w:p>
    <w:p>
      <w:pPr>
        <w:spacing w:after="0" w:line="10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accounting policies applied in compiling segment information below are similar to those described in note 1. Among other factors, in evaluating financial performance in each business segment, management uses segment gross margin and segment operating profit. The Company defines segment gross margin as segment revenue less segment operating expenses excluding Depreciation, amortization and accretion; Selling, general, administrative and development expense; and Other operating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expenses. The Company defines segment operating profit as segment gross margin less Selling, general, administrative and development expense attributable to the segment, excluding stock-based compensation expense and corporate expenses. These measures of segment gross margin and segment operating profit are also before Interest income, Interest expense, Gain (loss) on retirement of long-term obligations, Other income (expense), Net income (loss) attributable to noncontrolling interests and Income tax benefit (provision). The categories of expenses indicated above, such as depreciation, have been excluded from segment operating performance as they are not considered in the review of information or the evaluation of results by management. The Company’s definition of segment operating profit aligns with the Company’s definition of Adjusted EBITDA. Adjusted EBITDA is widely used in the telecommunications real estate sector to measure operating performance as depreciation, amortization and accretion may vary significantly among companies depending upon accounting methods and useful lives, particularly where acquisitions and non-operating factors are involved.</w:t>
      </w:r>
    </w:p>
    <w:p>
      <w:pPr>
        <w:spacing w:after="0" w:line="12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Company’s chief operating decision maker (the “CODM”) is the Company’s chief executive officer. The CODM uses segment gross margin and segment operating profit to evaluate the segments’ operating performance, in making capital allocation decisions, and in establishing management’s compensation. Additionally, the CODM uses these metrics to monitor budget versus actual results. There are no significant revenues resulting from transactions between the Company’s operating segments. All intercompany transactions are eliminated to reconcile segment results and assets to the consolidated statements of operations and consolidated balance sheets.</w:t>
      </w:r>
    </w:p>
    <w:p>
      <w:pPr>
        <w:spacing w:after="0" w:line="108"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Summarized financial information concerning the Company’s reportable segments for the years ended December 31, 2025, 2024 and 2023 is shown in the following tables. The “Other” column (i) represents amounts excluded from specific segments, such as business development operations, stock-based compensation expense and corporate expenses included in Selling, general, administrative and development expense; Other operating expenses; Interest income; Interest expense; Gain (loss) on retirement of long-term obligations; and Other income (expense), and (ii) reconciles segment operating profit to Income from continuing operations before income taxes.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right="660"/>
        <w:spacing w:after="0" w:line="315" w:lineRule="auto"/>
        <w:rPr>
          <w:sz w:val="20"/>
          <w:szCs w:val="20"/>
          <w:color w:val="auto"/>
        </w:rPr>
      </w:pPr>
      <w:r>
        <w:rPr>
          <w:rFonts w:ascii="Times New Roman" w:cs="Times New Roman" w:eastAsia="Times New Roman" w:hAnsi="Times New Roman"/>
          <w:sz w:val="14"/>
          <w:szCs w:val="14"/>
          <w:b w:val="1"/>
          <w:bCs w:val="1"/>
          <w:color w:val="auto"/>
        </w:rPr>
        <w:t xml:space="preserve">Year ended December 31, 2025 </w:t>
      </w:r>
      <w:r>
        <w:rPr>
          <w:rFonts w:ascii="Times New Roman" w:cs="Times New Roman" w:eastAsia="Times New Roman" w:hAnsi="Times New Roman"/>
          <w:sz w:val="14"/>
          <w:szCs w:val="14"/>
          <w:color w:val="auto"/>
        </w:rPr>
        <w:t>Segment revenues</w:t>
      </w:r>
    </w:p>
    <w:p>
      <w:pPr>
        <w:spacing w:after="0" w:line="1" w:lineRule="exact"/>
        <w:rPr>
          <w:sz w:val="20"/>
          <w:szCs w:val="20"/>
          <w:color w:val="auto"/>
        </w:rPr>
      </w:pPr>
    </w:p>
    <w:p>
      <w:pPr>
        <w:ind w:left="20" w:right="900"/>
        <w:spacing w:after="0" w:line="324" w:lineRule="auto"/>
        <w:rPr>
          <w:sz w:val="20"/>
          <w:szCs w:val="20"/>
          <w:color w:val="auto"/>
        </w:rPr>
      </w:pPr>
      <w:r>
        <w:rPr>
          <w:rFonts w:ascii="Times New Roman" w:cs="Times New Roman" w:eastAsia="Times New Roman" w:hAnsi="Times New Roman"/>
          <w:sz w:val="14"/>
          <w:szCs w:val="14"/>
          <w:color w:val="auto"/>
        </w:rPr>
        <w:t>Segment operating expenses Segment gross margin</w:t>
      </w:r>
    </w:p>
    <w:p>
      <w:pPr>
        <w:ind w:left="20"/>
        <w:spacing w:after="0" w:line="245" w:lineRule="auto"/>
        <w:rPr>
          <w:sz w:val="20"/>
          <w:szCs w:val="20"/>
          <w:color w:val="auto"/>
        </w:rPr>
      </w:pPr>
      <w:r>
        <w:rPr>
          <w:rFonts w:ascii="Times New Roman" w:cs="Times New Roman" w:eastAsia="Times New Roman" w:hAnsi="Times New Roman"/>
          <w:sz w:val="14"/>
          <w:szCs w:val="14"/>
          <w:color w:val="auto"/>
        </w:rPr>
        <w:t>Segment selling, general, administrative and development expense (1)</w:t>
      </w:r>
    </w:p>
    <w:p>
      <w:pPr>
        <w:spacing w:after="0" w:line="1" w:lineRule="exact"/>
        <w:rPr>
          <w:sz w:val="20"/>
          <w:szCs w:val="20"/>
          <w:color w:val="auto"/>
        </w:rPr>
      </w:pPr>
    </w:p>
    <w:p>
      <w:pPr>
        <w:ind w:left="20" w:right="500"/>
        <w:spacing w:after="0" w:line="363" w:lineRule="auto"/>
        <w:rPr>
          <w:sz w:val="20"/>
          <w:szCs w:val="20"/>
          <w:color w:val="auto"/>
        </w:rPr>
      </w:pPr>
      <w:r>
        <w:rPr>
          <w:rFonts w:ascii="Times New Roman" w:cs="Times New Roman" w:eastAsia="Times New Roman" w:hAnsi="Times New Roman"/>
          <w:sz w:val="14"/>
          <w:szCs w:val="14"/>
          <w:color w:val="auto"/>
        </w:rPr>
        <w:t>Segment operating profit Stock-based compensation expense</w:t>
      </w:r>
    </w:p>
    <w:p>
      <w:pPr>
        <w:ind w:left="20" w:right="180"/>
        <w:spacing w:after="0" w:line="245" w:lineRule="auto"/>
        <w:rPr>
          <w:sz w:val="20"/>
          <w:szCs w:val="20"/>
          <w:color w:val="auto"/>
        </w:rPr>
      </w:pPr>
      <w:r>
        <w:rPr>
          <w:rFonts w:ascii="Times New Roman" w:cs="Times New Roman" w:eastAsia="Times New Roman" w:hAnsi="Times New Roman"/>
          <w:sz w:val="14"/>
          <w:szCs w:val="14"/>
          <w:color w:val="auto"/>
        </w:rPr>
        <w:t>Other selling, general, administrative and development expense</w:t>
      </w:r>
    </w:p>
    <w:p>
      <w:pPr>
        <w:spacing w:after="0" w:line="1" w:lineRule="exact"/>
        <w:rPr>
          <w:sz w:val="20"/>
          <w:szCs w:val="20"/>
          <w:color w:val="auto"/>
        </w:rPr>
      </w:pPr>
    </w:p>
    <w:p>
      <w:pPr>
        <w:ind w:left="20" w:right="200"/>
        <w:spacing w:after="0" w:line="332" w:lineRule="auto"/>
        <w:rPr>
          <w:sz w:val="20"/>
          <w:szCs w:val="20"/>
          <w:color w:val="auto"/>
        </w:rPr>
      </w:pPr>
      <w:r>
        <w:rPr>
          <w:rFonts w:ascii="Times New Roman" w:cs="Times New Roman" w:eastAsia="Times New Roman" w:hAnsi="Times New Roman"/>
          <w:sz w:val="14"/>
          <w:szCs w:val="14"/>
          <w:color w:val="auto"/>
        </w:rPr>
        <w:t>Depreciation, amortization and accretion Other expense (2)</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2740"/>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20" w:lineRule="exact"/>
        <w:rPr>
          <w:sz w:val="20"/>
          <w:szCs w:val="20"/>
          <w:color w:val="auto"/>
        </w:rPr>
      </w:pPr>
    </w:p>
    <w:p>
      <w:pPr>
        <w:jc w:val="center"/>
        <w:ind w:right="27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2740"/>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9"/>
              </w:rPr>
              <w:t>U.S. &amp;</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Africa &amp;</w:t>
            </w:r>
          </w:p>
        </w:tc>
        <w:tc>
          <w:tcPr>
            <w:tcW w:w="160" w:type="dxa"/>
            <w:vAlign w:val="bottom"/>
          </w:tcPr>
          <w:p>
            <w:pPr>
              <w:spacing w:after="0"/>
              <w:rPr>
                <w:sz w:val="13"/>
                <w:szCs w:val="1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7"/>
              </w:rPr>
              <w:t>Latin</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0" w:type="dxa"/>
            <w:vAlign w:val="bottom"/>
          </w:tcPr>
          <w:p>
            <w:pPr>
              <w:spacing w:after="0"/>
              <w:rPr>
                <w:sz w:val="13"/>
                <w:szCs w:val="13"/>
                <w:color w:val="auto"/>
              </w:rPr>
            </w:pPr>
          </w:p>
        </w:tc>
        <w:tc>
          <w:tcPr>
            <w:tcW w:w="86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3"/>
                <w:szCs w:val="13"/>
                <w:color w:val="auto"/>
              </w:rPr>
            </w:pPr>
          </w:p>
        </w:tc>
        <w:tc>
          <w:tcPr>
            <w:tcW w:w="72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3"/>
                <w:szCs w:val="13"/>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72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Canada</w:t>
            </w: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APAC</w:t>
            </w: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9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5,248.7</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1,422.9</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1,642.6</w:t>
            </w:r>
          </w:p>
        </w:tc>
        <w:tc>
          <w:tcPr>
            <w:tcW w:w="100" w:type="dxa"/>
            <w:vAlign w:val="bottom"/>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1,053.1</w:t>
            </w: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10,305.0</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10,644.6</w:t>
            </w:r>
          </w:p>
        </w:tc>
        <w:tc>
          <w:tcPr>
            <w:tcW w:w="0" w:type="dxa"/>
            <w:vAlign w:val="bottom"/>
          </w:tcPr>
          <w:p>
            <w:pPr>
              <w:spacing w:after="0"/>
              <w:rPr>
                <w:sz w:val="1"/>
                <w:szCs w:val="1"/>
                <w:color w:val="auto"/>
              </w:rPr>
            </w:pPr>
          </w:p>
        </w:tc>
      </w:tr>
      <w:tr>
        <w:trPr>
          <w:trHeight w:val="212"/>
        </w:trPr>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870.0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446.5</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2,574.1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2,748.1</w:t>
            </w:r>
          </w:p>
        </w:tc>
        <w:tc>
          <w:tcPr>
            <w:tcW w:w="0" w:type="dxa"/>
            <w:vAlign w:val="bottom"/>
          </w:tcPr>
          <w:p>
            <w:pPr>
              <w:spacing w:after="0"/>
              <w:rPr>
                <w:sz w:val="1"/>
                <w:szCs w:val="1"/>
                <w:color w:val="auto"/>
              </w:rPr>
            </w:pPr>
          </w:p>
        </w:tc>
      </w:tr>
      <w:tr>
        <w:trPr>
          <w:trHeight w:val="204"/>
        </w:trPr>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4,378.7</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976.4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650.7</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7,730.9</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7,896.5</w:t>
            </w:r>
          </w:p>
        </w:tc>
        <w:tc>
          <w:tcPr>
            <w:tcW w:w="0" w:type="dxa"/>
            <w:vAlign w:val="bottom"/>
          </w:tcPr>
          <w:p>
            <w:pPr>
              <w:spacing w:after="0"/>
              <w:rPr>
                <w:sz w:val="1"/>
                <w:szCs w:val="1"/>
                <w:color w:val="auto"/>
              </w:rPr>
            </w:pPr>
          </w:p>
        </w:tc>
      </w:tr>
      <w:tr>
        <w:trPr>
          <w:trHeight w:val="309"/>
        </w:trPr>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166.6</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76.1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503.4</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0" w:type="dxa"/>
            <w:vAlign w:val="bottom"/>
          </w:tcPr>
          <w:p>
            <w:pPr>
              <w:spacing w:after="0"/>
              <w:rPr>
                <w:sz w:val="1"/>
                <w:szCs w:val="1"/>
                <w:color w:val="auto"/>
              </w:rPr>
            </w:pPr>
          </w:p>
        </w:tc>
      </w:tr>
      <w:tr>
        <w:trPr>
          <w:trHeight w:val="204"/>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4,212.1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900.3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1,029.0</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7,227.5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7,365.7</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-802640</wp:posOffset>
            </wp:positionV>
            <wp:extent cx="7135495" cy="142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-526415</wp:posOffset>
            </wp:positionV>
            <wp:extent cx="7135495" cy="142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-175260</wp:posOffset>
            </wp:positionV>
            <wp:extent cx="7135495" cy="1587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3">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tbl>
      <w:tblPr>
        <w:tblLayout w:type="fixed"/>
        <w:tblInd w:w="6640" w:type="dxa"/>
        <w:tblCellMar>
          <w:top w:w="0" w:type="dxa"/>
          <w:left w:w="0" w:type="dxa"/>
          <w:bottom w:w="0" w:type="dxa"/>
          <w:right w:w="0" w:type="dxa"/>
        </w:tblCellMar>
      </w:tblPr>
      <w:tr>
        <w:trPr>
          <w:trHeight w:val="207"/>
        </w:trPr>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174.2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w:t>
            </w:r>
          </w:p>
        </w:tc>
      </w:tr>
      <w:tr>
        <w:trPr>
          <w:trHeight w:val="329"/>
        </w:trPr>
        <w:tc>
          <w:tcPr>
            <w:tcW w:w="200" w:type="dxa"/>
            <w:vAlign w:val="bottom"/>
          </w:tcPr>
          <w:p>
            <w:pPr>
              <w:spacing w:after="0"/>
              <w:rPr>
                <w:sz w:val="24"/>
                <w:szCs w:val="24"/>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235.7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w:t>
            </w:r>
          </w:p>
        </w:tc>
      </w:tr>
      <w:tr>
        <w:trPr>
          <w:trHeight w:val="211"/>
        </w:trPr>
        <w:tc>
          <w:tcPr>
            <w:tcW w:w="20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2,041.6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2,041.6</w:t>
            </w:r>
          </w:p>
        </w:tc>
      </w:tr>
      <w:tr>
        <w:trPr>
          <w:trHeight w:val="211"/>
        </w:trPr>
        <w:tc>
          <w:tcPr>
            <w:tcW w:w="20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1,870.0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-473075</wp:posOffset>
            </wp:positionV>
            <wp:extent cx="7135495" cy="2089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4">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-130175</wp:posOffset>
            </wp:positionV>
            <wp:extent cx="7135495" cy="133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20" w:space="220"/>
            <w:col w:w="850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101"/>
        </w:trPr>
        <w:tc>
          <w:tcPr>
            <w:tcW w:w="274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Income from continuing operations before</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3,044.2</w:t>
            </w:r>
          </w:p>
        </w:tc>
        <w:tc>
          <w:tcPr>
            <w:tcW w:w="0" w:type="dxa"/>
            <w:vAlign w:val="bottom"/>
          </w:tcPr>
          <w:p>
            <w:pPr>
              <w:spacing w:after="0"/>
              <w:rPr>
                <w:sz w:val="1"/>
                <w:szCs w:val="1"/>
                <w:color w:val="auto"/>
              </w:rPr>
            </w:pPr>
          </w:p>
        </w:tc>
      </w:tr>
      <w:tr>
        <w:trPr>
          <w:trHeight w:val="172"/>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 (3) (4)</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1,720.7</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selling, general, administrative and development expenses exclude stock-based compensation expense of $174.2 million.</w:t>
      </w:r>
    </w:p>
    <w:p>
      <w:pPr>
        <w:spacing w:after="0" w:line="6" w:lineRule="exact"/>
        <w:rPr>
          <w:rFonts w:ascii="Times New Roman" w:cs="Times New Roman" w:eastAsia="Times New Roman" w:hAnsi="Times New Roman"/>
          <w:sz w:val="14"/>
          <w:szCs w:val="14"/>
          <w:color w:val="auto"/>
        </w:rPr>
      </w:pPr>
    </w:p>
    <w:p>
      <w:pPr>
        <w:ind w:left="320" w:right="300" w:hanging="315"/>
        <w:spacing w:after="0" w:line="255" w:lineRule="auto"/>
        <w:tabs>
          <w:tab w:leader="none" w:pos="31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interest expense and $100.7 million in impairment charges, as further discussed in note 15, and losses from foreign currency exchange rate fluctuations, partially offset by gains from equity securities of $232.6 million. The year ended December 31, 2025 also includes a gain of $53.6 million on the sale of South Africa Fiber.</w:t>
      </w:r>
    </w:p>
    <w:p>
      <w:pPr>
        <w:ind w:left="320" w:right="460" w:hanging="315"/>
        <w:spacing w:after="0" w:line="245" w:lineRule="auto"/>
        <w:tabs>
          <w:tab w:leader="none" w:pos="31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$4.3 million of finance lease payments included in Repayments of notes payable, credit facilities, term loans, senior notes, secured debt and finance leases in the cash flows from financing activities in the Company’s consolidated statements of cash flows.</w:t>
      </w:r>
    </w:p>
    <w:p>
      <w:pPr>
        <w:ind w:left="320" w:right="380" w:hanging="315"/>
        <w:spacing w:after="0" w:line="270" w:lineRule="auto"/>
        <w:tabs>
          <w:tab w:leader="none" w:pos="312"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$36.0 million of perpetual land easement payments reported in Deferred financing costs and other financing activities in the cash flows from financing activities in the Company’s consolidated statements of cash flows.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20" w:right="660"/>
        <w:spacing w:after="0" w:line="315" w:lineRule="auto"/>
        <w:rPr>
          <w:sz w:val="20"/>
          <w:szCs w:val="20"/>
          <w:color w:val="auto"/>
        </w:rPr>
      </w:pPr>
      <w:r>
        <w:rPr>
          <w:rFonts w:ascii="Times New Roman" w:cs="Times New Roman" w:eastAsia="Times New Roman" w:hAnsi="Times New Roman"/>
          <w:sz w:val="14"/>
          <w:szCs w:val="14"/>
          <w:b w:val="1"/>
          <w:bCs w:val="1"/>
          <w:color w:val="auto"/>
        </w:rPr>
        <w:t xml:space="preserve">Year ended December 31, 2024 </w:t>
      </w:r>
      <w:r>
        <w:rPr>
          <w:rFonts w:ascii="Times New Roman" w:cs="Times New Roman" w:eastAsia="Times New Roman" w:hAnsi="Times New Roman"/>
          <w:sz w:val="14"/>
          <w:szCs w:val="14"/>
          <w:color w:val="auto"/>
        </w:rPr>
        <w:t>Segment revenues</w:t>
      </w:r>
    </w:p>
    <w:p>
      <w:pPr>
        <w:spacing w:after="0" w:line="1" w:lineRule="exact"/>
        <w:rPr>
          <w:sz w:val="20"/>
          <w:szCs w:val="20"/>
          <w:color w:val="auto"/>
        </w:rPr>
      </w:pPr>
    </w:p>
    <w:p>
      <w:pPr>
        <w:ind w:left="20" w:right="900"/>
        <w:spacing w:after="0" w:line="324" w:lineRule="auto"/>
        <w:rPr>
          <w:sz w:val="20"/>
          <w:szCs w:val="20"/>
          <w:color w:val="auto"/>
        </w:rPr>
      </w:pPr>
      <w:r>
        <w:rPr>
          <w:rFonts w:ascii="Times New Roman" w:cs="Times New Roman" w:eastAsia="Times New Roman" w:hAnsi="Times New Roman"/>
          <w:sz w:val="14"/>
          <w:szCs w:val="14"/>
          <w:color w:val="auto"/>
        </w:rPr>
        <w:t>Segment operating expenses Segment gross margin</w:t>
      </w:r>
    </w:p>
    <w:p>
      <w:pPr>
        <w:ind w:left="20"/>
        <w:spacing w:after="0" w:line="245" w:lineRule="auto"/>
        <w:rPr>
          <w:sz w:val="20"/>
          <w:szCs w:val="20"/>
          <w:color w:val="auto"/>
        </w:rPr>
      </w:pPr>
      <w:r>
        <w:rPr>
          <w:rFonts w:ascii="Times New Roman" w:cs="Times New Roman" w:eastAsia="Times New Roman" w:hAnsi="Times New Roman"/>
          <w:sz w:val="14"/>
          <w:szCs w:val="14"/>
          <w:color w:val="auto"/>
        </w:rPr>
        <w:t>Segment selling, general, administrative and development expense (2)</w:t>
      </w:r>
    </w:p>
    <w:p>
      <w:pPr>
        <w:spacing w:after="0" w:line="1" w:lineRule="exact"/>
        <w:rPr>
          <w:sz w:val="20"/>
          <w:szCs w:val="20"/>
          <w:color w:val="auto"/>
        </w:rPr>
      </w:pPr>
    </w:p>
    <w:p>
      <w:pPr>
        <w:ind w:left="20" w:right="500"/>
        <w:spacing w:after="0" w:line="363" w:lineRule="auto"/>
        <w:rPr>
          <w:sz w:val="20"/>
          <w:szCs w:val="20"/>
          <w:color w:val="auto"/>
        </w:rPr>
      </w:pPr>
      <w:r>
        <w:rPr>
          <w:rFonts w:ascii="Times New Roman" w:cs="Times New Roman" w:eastAsia="Times New Roman" w:hAnsi="Times New Roman"/>
          <w:sz w:val="14"/>
          <w:szCs w:val="14"/>
          <w:color w:val="auto"/>
        </w:rPr>
        <w:t>Segment operating profit Stock-based compensation expense</w:t>
      </w:r>
    </w:p>
    <w:p>
      <w:pPr>
        <w:ind w:left="20" w:right="180"/>
        <w:spacing w:after="0" w:line="245" w:lineRule="auto"/>
        <w:rPr>
          <w:sz w:val="20"/>
          <w:szCs w:val="20"/>
          <w:color w:val="auto"/>
        </w:rPr>
      </w:pPr>
      <w:r>
        <w:rPr>
          <w:rFonts w:ascii="Times New Roman" w:cs="Times New Roman" w:eastAsia="Times New Roman" w:hAnsi="Times New Roman"/>
          <w:sz w:val="14"/>
          <w:szCs w:val="14"/>
          <w:color w:val="auto"/>
        </w:rPr>
        <w:t>Other selling, general, administrative and development expense</w:t>
      </w:r>
    </w:p>
    <w:p>
      <w:pPr>
        <w:spacing w:after="0" w:line="1" w:lineRule="exact"/>
        <w:rPr>
          <w:sz w:val="20"/>
          <w:szCs w:val="20"/>
          <w:color w:val="auto"/>
        </w:rPr>
      </w:pPr>
    </w:p>
    <w:p>
      <w:pPr>
        <w:ind w:left="20" w:right="200"/>
        <w:spacing w:after="0" w:line="332" w:lineRule="auto"/>
        <w:rPr>
          <w:sz w:val="20"/>
          <w:szCs w:val="20"/>
          <w:color w:val="auto"/>
        </w:rPr>
      </w:pPr>
      <w:r>
        <w:rPr>
          <w:rFonts w:ascii="Times New Roman" w:cs="Times New Roman" w:eastAsia="Times New Roman" w:hAnsi="Times New Roman"/>
          <w:sz w:val="14"/>
          <w:szCs w:val="14"/>
          <w:color w:val="auto"/>
        </w:rPr>
        <w:t>Depreciation, amortization and accretion Other expense (3)</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80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b w:val="1"/>
                <w:bCs w:val="1"/>
                <w:color w:val="auto"/>
                <w:w w:val="99"/>
              </w:rPr>
              <w:t>U.S. &amp;</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7"/>
              </w:rPr>
              <w:t>Africa &amp;</w:t>
            </w:r>
          </w:p>
        </w:tc>
        <w:tc>
          <w:tcPr>
            <w:tcW w:w="14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0" w:type="dxa"/>
            <w:vAlign w:val="bottom"/>
          </w:tcPr>
          <w:p>
            <w:pPr>
              <w:spacing w:after="0"/>
              <w:rPr>
                <w:sz w:val="13"/>
                <w:szCs w:val="13"/>
                <w:color w:val="auto"/>
              </w:rPr>
            </w:pPr>
          </w:p>
        </w:tc>
        <w:tc>
          <w:tcPr>
            <w:tcW w:w="8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Latin</w:t>
            </w: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72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3"/>
                <w:szCs w:val="13"/>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72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APAC (1)</w:t>
            </w: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5,248.1</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1,717.9</w:t>
            </w:r>
          </w:p>
        </w:tc>
        <w:tc>
          <w:tcPr>
            <w:tcW w:w="80" w:type="dxa"/>
            <w:vAlign w:val="bottom"/>
          </w:tcPr>
          <w:p>
            <w:pPr>
              <w:spacing w:after="0"/>
              <w:rPr>
                <w:sz w:val="17"/>
                <w:szCs w:val="17"/>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924.8</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9,933.5</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10,127.2</w:t>
            </w:r>
          </w:p>
        </w:tc>
        <w:tc>
          <w:tcPr>
            <w:tcW w:w="0" w:type="dxa"/>
            <w:vAlign w:val="bottom"/>
          </w:tcPr>
          <w:p>
            <w:pPr>
              <w:spacing w:after="0"/>
              <w:rPr>
                <w:sz w:val="1"/>
                <w:szCs w:val="1"/>
                <w:color w:val="auto"/>
              </w:rPr>
            </w:pPr>
          </w:p>
        </w:tc>
      </w:tr>
      <w:tr>
        <w:trPr>
          <w:trHeight w:val="212"/>
        </w:trPr>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530.2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390.8</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2,481.8</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2,574.4</w:t>
            </w:r>
          </w:p>
        </w:tc>
        <w:tc>
          <w:tcPr>
            <w:tcW w:w="0" w:type="dxa"/>
            <w:vAlign w:val="bottom"/>
          </w:tcPr>
          <w:p>
            <w:pPr>
              <w:spacing w:after="0"/>
              <w:rPr>
                <w:sz w:val="1"/>
                <w:szCs w:val="1"/>
                <w:color w:val="auto"/>
              </w:rPr>
            </w:pPr>
          </w:p>
        </w:tc>
      </w:tr>
      <w:tr>
        <w:trPr>
          <w:trHeight w:val="204"/>
        </w:trPr>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4,377.2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1,187.7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534.0</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7,451.7</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7,552.8</w:t>
            </w:r>
          </w:p>
        </w:tc>
        <w:tc>
          <w:tcPr>
            <w:tcW w:w="0" w:type="dxa"/>
            <w:vAlign w:val="bottom"/>
          </w:tcPr>
          <w:p>
            <w:pPr>
              <w:spacing w:after="0"/>
              <w:rPr>
                <w:sz w:val="1"/>
                <w:szCs w:val="1"/>
                <w:color w:val="auto"/>
              </w:rPr>
            </w:pPr>
          </w:p>
        </w:tc>
      </w:tr>
      <w:tr>
        <w:trPr>
          <w:trHeight w:val="309"/>
        </w:trPr>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111.0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483.7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0" w:type="dxa"/>
            <w:vAlign w:val="bottom"/>
          </w:tcPr>
          <w:p>
            <w:pPr>
              <w:spacing w:after="0"/>
              <w:rPr>
                <w:sz w:val="1"/>
                <w:szCs w:val="1"/>
                <w:color w:val="auto"/>
              </w:rPr>
            </w:pPr>
          </w:p>
        </w:tc>
      </w:tr>
      <w:tr>
        <w:trPr>
          <w:trHeight w:val="204"/>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4,216.1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1,076.7</w:t>
            </w:r>
          </w:p>
        </w:tc>
        <w:tc>
          <w:tcPr>
            <w:tcW w:w="8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455.2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6,968.0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7,048.1</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-802640</wp:posOffset>
            </wp:positionV>
            <wp:extent cx="7135495" cy="142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-526415</wp:posOffset>
            </wp:positionV>
            <wp:extent cx="7135495" cy="142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-175260</wp:posOffset>
            </wp:positionV>
            <wp:extent cx="7135495" cy="1587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8">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tbl>
      <w:tblPr>
        <w:tblLayout w:type="fixed"/>
        <w:tblInd w:w="6640" w:type="dxa"/>
        <w:tblCellMar>
          <w:top w:w="0" w:type="dxa"/>
          <w:left w:w="0" w:type="dxa"/>
          <w:bottom w:w="0" w:type="dxa"/>
          <w:right w:w="0" w:type="dxa"/>
        </w:tblCellMar>
      </w:tblPr>
      <w:tr>
        <w:trPr>
          <w:trHeight w:val="207"/>
        </w:trPr>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192.7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r>
      <w:tr>
        <w:trPr>
          <w:trHeight w:val="329"/>
        </w:trPr>
        <w:tc>
          <w:tcPr>
            <w:tcW w:w="200" w:type="dxa"/>
            <w:vAlign w:val="bottom"/>
          </w:tcPr>
          <w:p>
            <w:pPr>
              <w:spacing w:after="0"/>
              <w:rPr>
                <w:sz w:val="24"/>
                <w:szCs w:val="24"/>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236.0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r>
      <w:tr>
        <w:trPr>
          <w:trHeight w:val="211"/>
        </w:trPr>
        <w:tc>
          <w:tcPr>
            <w:tcW w:w="20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2,028.8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2,028.8</w:t>
            </w:r>
          </w:p>
        </w:tc>
      </w:tr>
      <w:tr>
        <w:trPr>
          <w:trHeight w:val="211"/>
        </w:trPr>
        <w:tc>
          <w:tcPr>
            <w:tcW w:w="20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965.8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-473075</wp:posOffset>
            </wp:positionV>
            <wp:extent cx="7135495" cy="2089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9">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-130175</wp:posOffset>
            </wp:positionV>
            <wp:extent cx="7135495" cy="133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0">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20" w:space="220"/>
            <w:col w:w="85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01"/>
        </w:trPr>
        <w:tc>
          <w:tcPr>
            <w:tcW w:w="274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Income from continuing operations before</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3,624.8</w:t>
            </w:r>
          </w:p>
        </w:tc>
        <w:tc>
          <w:tcPr>
            <w:tcW w:w="0" w:type="dxa"/>
            <w:vAlign w:val="bottom"/>
          </w:tcPr>
          <w:p>
            <w:pPr>
              <w:spacing w:after="0"/>
              <w:rPr>
                <w:sz w:val="1"/>
                <w:szCs w:val="1"/>
                <w:color w:val="auto"/>
              </w:rPr>
            </w:pPr>
          </w:p>
        </w:tc>
      </w:tr>
      <w:tr>
        <w:trPr>
          <w:trHeight w:val="172"/>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 (4) (5) (6)</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00" w:hanging="295"/>
        <w:spacing w:after="0"/>
        <w:tabs>
          <w:tab w:leader="none" w:pos="3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operating results of ATC TIPL, which are reported as discontinued operations. See note 21 for further discussion.</w:t>
      </w:r>
    </w:p>
    <w:p>
      <w:pPr>
        <w:spacing w:after="0" w:line="7"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selling, general, administrative and development expenses exclude stock-based compensation expense of $192.7 million.</w:t>
      </w:r>
    </w:p>
    <w:p>
      <w:pPr>
        <w:spacing w:after="0" w:line="1" w:lineRule="exact"/>
        <w:rPr>
          <w:rFonts w:ascii="Times New Roman" w:cs="Times New Roman" w:eastAsia="Times New Roman" w:hAnsi="Times New Roman"/>
          <w:sz w:val="14"/>
          <w:szCs w:val="14"/>
          <w:color w:val="auto"/>
        </w:rPr>
      </w:pPr>
    </w:p>
    <w:p>
      <w:pPr>
        <w:ind w:left="320" w:right="280" w:hanging="315"/>
        <w:spacing w:after="0" w:line="252" w:lineRule="auto"/>
        <w:tabs>
          <w:tab w:leader="none" w:pos="308"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interest expense and $68.6 million in impairment charges, as further discussed in note 15, partially offset by gains from foreign currency exchange rate fluctuations and an unrealized gain from equity securities of $70.4 million. The year ended December 31, 2024 also includes a net gain of $8.5 million on the sales of ATC Australia and ATC New Zealand.</w:t>
      </w:r>
    </w:p>
    <w:p>
      <w:pPr>
        <w:ind w:left="320" w:right="460" w:hanging="315"/>
        <w:spacing w:after="0" w:line="255" w:lineRule="auto"/>
        <w:tabs>
          <w:tab w:leader="none" w:pos="308"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$4.7 million of finance lease payments included in Repayments of notes payable, credit facilities, term loans, senior notes, secured debt and finance leases in the cash flows from financing activities in the Company’s consolidated statements of cash flows.</w:t>
      </w:r>
    </w:p>
    <w:p>
      <w:pPr>
        <w:ind w:left="320" w:right="400" w:hanging="315"/>
        <w:spacing w:after="0" w:line="245" w:lineRule="auto"/>
        <w:tabs>
          <w:tab w:leader="none" w:pos="308"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$32.7 million of perpetual land easement payments reported in Deferred financing costs and other financing activities in the cash flows from financing activities in the Company’s consolidated statements of cash flows.</w:t>
      </w:r>
    </w:p>
    <w:p>
      <w:pPr>
        <w:ind w:left="300" w:hanging="295"/>
        <w:spacing w:after="0"/>
        <w:tabs>
          <w:tab w:leader="none" w:pos="3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capital expenditures includes capital expenditures associated with discontinued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AMERICAN TOWER CORPORATION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6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30480</wp:posOffset>
            </wp:positionV>
            <wp:extent cx="29781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2">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8" w:lineRule="exact"/>
        <w:rPr>
          <w:sz w:val="20"/>
          <w:szCs w:val="20"/>
          <w:color w:val="auto"/>
        </w:rPr>
      </w:pPr>
    </w:p>
    <w:p>
      <w:pPr>
        <w:ind w:left="20" w:right="660"/>
        <w:spacing w:after="0" w:line="315" w:lineRule="auto"/>
        <w:rPr>
          <w:sz w:val="20"/>
          <w:szCs w:val="20"/>
          <w:color w:val="auto"/>
        </w:rPr>
      </w:pPr>
      <w:r>
        <w:rPr>
          <w:rFonts w:ascii="Times New Roman" w:cs="Times New Roman" w:eastAsia="Times New Roman" w:hAnsi="Times New Roman"/>
          <w:sz w:val="14"/>
          <w:szCs w:val="14"/>
          <w:b w:val="1"/>
          <w:bCs w:val="1"/>
          <w:color w:val="auto"/>
        </w:rPr>
        <w:t xml:space="preserve">Year ended December 31, 2023 </w:t>
      </w:r>
      <w:r>
        <w:rPr>
          <w:rFonts w:ascii="Times New Roman" w:cs="Times New Roman" w:eastAsia="Times New Roman" w:hAnsi="Times New Roman"/>
          <w:sz w:val="14"/>
          <w:szCs w:val="14"/>
          <w:color w:val="auto"/>
        </w:rPr>
        <w:t>Segment revenues</w:t>
      </w:r>
    </w:p>
    <w:p>
      <w:pPr>
        <w:spacing w:after="0" w:line="1" w:lineRule="exact"/>
        <w:rPr>
          <w:sz w:val="20"/>
          <w:szCs w:val="20"/>
          <w:color w:val="auto"/>
        </w:rPr>
      </w:pPr>
    </w:p>
    <w:p>
      <w:pPr>
        <w:ind w:left="20" w:right="900"/>
        <w:spacing w:after="0" w:line="324" w:lineRule="auto"/>
        <w:rPr>
          <w:sz w:val="20"/>
          <w:szCs w:val="20"/>
          <w:color w:val="auto"/>
        </w:rPr>
      </w:pPr>
      <w:r>
        <w:rPr>
          <w:rFonts w:ascii="Times New Roman" w:cs="Times New Roman" w:eastAsia="Times New Roman" w:hAnsi="Times New Roman"/>
          <w:sz w:val="14"/>
          <w:szCs w:val="14"/>
          <w:color w:val="auto"/>
        </w:rPr>
        <w:t>Segment operating expenses Segment gross margin</w:t>
      </w:r>
    </w:p>
    <w:p>
      <w:pPr>
        <w:ind w:left="20"/>
        <w:spacing w:after="0" w:line="245" w:lineRule="auto"/>
        <w:rPr>
          <w:sz w:val="20"/>
          <w:szCs w:val="20"/>
          <w:color w:val="auto"/>
        </w:rPr>
      </w:pPr>
      <w:r>
        <w:rPr>
          <w:rFonts w:ascii="Times New Roman" w:cs="Times New Roman" w:eastAsia="Times New Roman" w:hAnsi="Times New Roman"/>
          <w:sz w:val="14"/>
          <w:szCs w:val="14"/>
          <w:color w:val="auto"/>
        </w:rPr>
        <w:t>Segment selling, general, administrative and development expense (2)</w:t>
      </w:r>
    </w:p>
    <w:p>
      <w:pPr>
        <w:spacing w:after="0" w:line="1" w:lineRule="exact"/>
        <w:rPr>
          <w:sz w:val="20"/>
          <w:szCs w:val="20"/>
          <w:color w:val="auto"/>
        </w:rPr>
      </w:pPr>
    </w:p>
    <w:p>
      <w:pPr>
        <w:ind w:left="20" w:right="500"/>
        <w:spacing w:after="0" w:line="363" w:lineRule="auto"/>
        <w:rPr>
          <w:sz w:val="20"/>
          <w:szCs w:val="20"/>
          <w:color w:val="auto"/>
        </w:rPr>
      </w:pPr>
      <w:r>
        <w:rPr>
          <w:rFonts w:ascii="Times New Roman" w:cs="Times New Roman" w:eastAsia="Times New Roman" w:hAnsi="Times New Roman"/>
          <w:sz w:val="14"/>
          <w:szCs w:val="14"/>
          <w:color w:val="auto"/>
        </w:rPr>
        <w:t>Segment operating profit Stock-based compensation expense</w:t>
      </w:r>
    </w:p>
    <w:p>
      <w:pPr>
        <w:ind w:left="20" w:right="180"/>
        <w:spacing w:after="0" w:line="245" w:lineRule="auto"/>
        <w:rPr>
          <w:sz w:val="20"/>
          <w:szCs w:val="20"/>
          <w:color w:val="auto"/>
        </w:rPr>
      </w:pPr>
      <w:r>
        <w:rPr>
          <w:rFonts w:ascii="Times New Roman" w:cs="Times New Roman" w:eastAsia="Times New Roman" w:hAnsi="Times New Roman"/>
          <w:sz w:val="14"/>
          <w:szCs w:val="14"/>
          <w:color w:val="auto"/>
        </w:rPr>
        <w:t>Other selling, general, administrative and development expense</w:t>
      </w:r>
    </w:p>
    <w:p>
      <w:pPr>
        <w:spacing w:after="0" w:line="1" w:lineRule="exact"/>
        <w:rPr>
          <w:sz w:val="20"/>
          <w:szCs w:val="20"/>
          <w:color w:val="auto"/>
        </w:rPr>
      </w:pPr>
    </w:p>
    <w:p>
      <w:pPr>
        <w:ind w:left="20" w:right="200"/>
        <w:spacing w:after="0" w:line="332" w:lineRule="auto"/>
        <w:rPr>
          <w:sz w:val="20"/>
          <w:szCs w:val="20"/>
          <w:color w:val="auto"/>
        </w:rPr>
      </w:pPr>
      <w:r>
        <w:rPr>
          <w:rFonts w:ascii="Times New Roman" w:cs="Times New Roman" w:eastAsia="Times New Roman" w:hAnsi="Times New Roman"/>
          <w:sz w:val="14"/>
          <w:szCs w:val="14"/>
          <w:color w:val="auto"/>
        </w:rPr>
        <w:t>Depreciation, amortization and accretion Other expense (3)</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U.S. &amp;</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Africa &amp;</w:t>
            </w:r>
          </w:p>
        </w:tc>
        <w:tc>
          <w:tcPr>
            <w:tcW w:w="14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Latin</w:t>
            </w: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4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72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3"/>
                <w:szCs w:val="13"/>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72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APAC (1)</w:t>
            </w: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5,216.2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1,244.4</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775.6</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1,798.3</w:t>
            </w:r>
          </w:p>
        </w:tc>
        <w:tc>
          <w:tcPr>
            <w:tcW w:w="80" w:type="dxa"/>
            <w:vAlign w:val="bottom"/>
          </w:tcPr>
          <w:p>
            <w:pPr>
              <w:spacing w:after="0"/>
              <w:rPr>
                <w:sz w:val="17"/>
                <w:szCs w:val="17"/>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834.7</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9,869.2</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10,012.2</w:t>
            </w:r>
          </w:p>
        </w:tc>
        <w:tc>
          <w:tcPr>
            <w:tcW w:w="0" w:type="dxa"/>
            <w:vAlign w:val="bottom"/>
          </w:tcPr>
          <w:p>
            <w:pPr>
              <w:spacing w:after="0"/>
              <w:rPr>
                <w:sz w:val="1"/>
                <w:szCs w:val="1"/>
                <w:color w:val="auto"/>
              </w:rPr>
            </w:pPr>
          </w:p>
        </w:tc>
      </w:tr>
      <w:tr>
        <w:trPr>
          <w:trHeight w:val="212"/>
        </w:trPr>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566.0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347.6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2,501.4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2,561.5</w:t>
            </w:r>
          </w:p>
        </w:tc>
        <w:tc>
          <w:tcPr>
            <w:tcW w:w="0" w:type="dxa"/>
            <w:vAlign w:val="bottom"/>
          </w:tcPr>
          <w:p>
            <w:pPr>
              <w:spacing w:after="0"/>
              <w:rPr>
                <w:sz w:val="1"/>
                <w:szCs w:val="1"/>
                <w:color w:val="auto"/>
              </w:rPr>
            </w:pPr>
          </w:p>
        </w:tc>
      </w:tr>
      <w:tr>
        <w:trPr>
          <w:trHeight w:val="204"/>
        </w:trPr>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4,366.3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1,232.3</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487.1</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7,367.8</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7,450.7</w:t>
            </w:r>
          </w:p>
        </w:tc>
        <w:tc>
          <w:tcPr>
            <w:tcW w:w="0" w:type="dxa"/>
            <w:vAlign w:val="bottom"/>
          </w:tcPr>
          <w:p>
            <w:pPr>
              <w:spacing w:after="0"/>
              <w:rPr>
                <w:sz w:val="1"/>
                <w:szCs w:val="1"/>
                <w:color w:val="auto"/>
              </w:rPr>
            </w:pPr>
          </w:p>
        </w:tc>
      </w:tr>
      <w:tr>
        <w:trPr>
          <w:trHeight w:val="309"/>
        </w:trPr>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498.3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0" w:type="dxa"/>
            <w:vAlign w:val="bottom"/>
          </w:tcPr>
          <w:p>
            <w:pPr>
              <w:spacing w:after="0"/>
              <w:rPr>
                <w:sz w:val="1"/>
                <w:szCs w:val="1"/>
                <w:color w:val="auto"/>
              </w:rPr>
            </w:pPr>
          </w:p>
        </w:tc>
      </w:tr>
      <w:tr>
        <w:trPr>
          <w:trHeight w:val="204"/>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4,201.2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1,124.4</w:t>
            </w:r>
          </w:p>
        </w:tc>
        <w:tc>
          <w:tcPr>
            <w:tcW w:w="8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414.7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6,869.5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6,929.5</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-802640</wp:posOffset>
            </wp:positionV>
            <wp:extent cx="7135495" cy="142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3">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-526415</wp:posOffset>
            </wp:positionV>
            <wp:extent cx="7135495" cy="142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4">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-175260</wp:posOffset>
            </wp:positionV>
            <wp:extent cx="7135495" cy="1587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5">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tbl>
      <w:tblPr>
        <w:tblLayout w:type="fixed"/>
        <w:tblInd w:w="6640" w:type="dxa"/>
        <w:tblCellMar>
          <w:top w:w="0" w:type="dxa"/>
          <w:left w:w="0" w:type="dxa"/>
          <w:bottom w:w="0" w:type="dxa"/>
          <w:right w:w="0" w:type="dxa"/>
        </w:tblCellMar>
      </w:tblPr>
      <w:tr>
        <w:trPr>
          <w:trHeight w:val="207"/>
        </w:trPr>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183.3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329"/>
        </w:trPr>
        <w:tc>
          <w:tcPr>
            <w:tcW w:w="200" w:type="dxa"/>
            <w:vAlign w:val="bottom"/>
          </w:tcPr>
          <w:p>
            <w:pPr>
              <w:spacing w:after="0"/>
              <w:rPr>
                <w:sz w:val="24"/>
                <w:szCs w:val="24"/>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241.5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w:t>
            </w:r>
          </w:p>
        </w:tc>
      </w:tr>
      <w:tr>
        <w:trPr>
          <w:trHeight w:val="211"/>
        </w:trPr>
        <w:tc>
          <w:tcPr>
            <w:tcW w:w="20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2,928.5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2,928.5</w:t>
            </w:r>
          </w:p>
        </w:tc>
      </w:tr>
      <w:tr>
        <w:trPr>
          <w:trHeight w:val="211"/>
        </w:trPr>
        <w:tc>
          <w:tcPr>
            <w:tcW w:w="200" w:type="dxa"/>
            <w:vAlign w:val="bottom"/>
          </w:tcPr>
          <w:p>
            <w:pPr>
              <w:spacing w:after="0"/>
              <w:rPr>
                <w:sz w:val="18"/>
                <w:szCs w:val="18"/>
                <w:color w:val="auto"/>
              </w:rPr>
            </w:pPr>
          </w:p>
        </w:tc>
        <w:tc>
          <w:tcPr>
            <w:tcW w:w="8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2,046.9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-473075</wp:posOffset>
            </wp:positionV>
            <wp:extent cx="7135495" cy="2089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6">
                      <a:extLst>
                        <a:ext uri="{28A0092B-C50C-407E-A947-70E740481C1C}"/>
                      </a:extLst>
                    </a:blip>
                    <a:srcRect/>
                    <a:stretch>
                      <a:fillRect/>
                    </a:stretch>
                  </pic:blipFill>
                  <pic:spPr bwMode="auto">
                    <a:xfrm>
                      <a:off x="0" y="0"/>
                      <a:ext cx="7135495" cy="20891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-130175</wp:posOffset>
            </wp:positionV>
            <wp:extent cx="7135495" cy="133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20" w:space="220"/>
            <w:col w:w="85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01"/>
        </w:trPr>
        <w:tc>
          <w:tcPr>
            <w:tcW w:w="274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Income from continuing operations before</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1,529.3</w:t>
            </w:r>
          </w:p>
        </w:tc>
        <w:tc>
          <w:tcPr>
            <w:tcW w:w="0" w:type="dxa"/>
            <w:vAlign w:val="bottom"/>
          </w:tcPr>
          <w:p>
            <w:pPr>
              <w:spacing w:after="0"/>
              <w:rPr>
                <w:sz w:val="1"/>
                <w:szCs w:val="1"/>
                <w:color w:val="auto"/>
              </w:rPr>
            </w:pPr>
          </w:p>
        </w:tc>
      </w:tr>
      <w:tr>
        <w:trPr>
          <w:trHeight w:val="172"/>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 (4) (5) (6)</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operating results of ATC TIPL, which are reported as discontinued operations. See note 21 for further discussion.</w:t>
      </w:r>
    </w:p>
    <w:p>
      <w:pPr>
        <w:spacing w:after="0" w:line="6"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selling, general, administrative and development expenses exclude stock-based compensation expense of $183.3 million.</w:t>
      </w:r>
    </w:p>
    <w:p>
      <w:pPr>
        <w:spacing w:after="0" w:line="10" w:lineRule="exact"/>
        <w:rPr>
          <w:rFonts w:ascii="Times New Roman" w:cs="Times New Roman" w:eastAsia="Times New Roman" w:hAnsi="Times New Roman"/>
          <w:sz w:val="14"/>
          <w:szCs w:val="14"/>
          <w:color w:val="auto"/>
        </w:rPr>
      </w:pPr>
    </w:p>
    <w:p>
      <w:pPr>
        <w:ind w:left="320" w:right="260" w:hanging="315"/>
        <w:spacing w:after="0" w:line="248" w:lineRule="auto"/>
        <w:tabs>
          <w:tab w:leader="none" w:pos="308"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interest expense and $200.0 million in impairment charges, $80.0 million of goodwill impairment charges in Spain, as further discussed in note 15, and losses from foreign currency exchange rate fluctuations. The year ended December 31, 2023 also includes a net loss of $78.9 million on the sales of Mexico Fiber and ATC Poland.</w:t>
      </w:r>
    </w:p>
    <w:p>
      <w:pPr>
        <w:ind w:left="320" w:right="460" w:hanging="315"/>
        <w:spacing w:after="0" w:line="252" w:lineRule="auto"/>
        <w:tabs>
          <w:tab w:leader="none" w:pos="308"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 million of finance lease payments included in Repayments of notes payable, credit facilities, term loans, senior notes, secured debt and finance leases in the cash flows from financing activities in the Company’s consolidated statements of cash flows.</w:t>
      </w:r>
    </w:p>
    <w:p>
      <w:pPr>
        <w:ind w:left="320" w:right="400" w:hanging="315"/>
        <w:spacing w:after="0" w:line="255" w:lineRule="auto"/>
        <w:tabs>
          <w:tab w:leader="none" w:pos="308"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$38.7 million of perpetual land easement payments reported in Deferred financing costs and other financing activities in the cash flows from financing activities in the Company’s consolidated statements of cash flows.</w:t>
      </w:r>
    </w:p>
    <w:p>
      <w:pPr>
        <w:ind w:left="300" w:hanging="295"/>
        <w:spacing w:after="0"/>
        <w:tabs>
          <w:tab w:leader="none" w:pos="3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capital expenditures includes capital expenditures associated with discontinued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relating to the total assets of the Company’s operating segments is as follows for the years ended December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
        </w:trPr>
        <w:tc>
          <w:tcPr>
            <w:tcW w:w="8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Total Assets (1):</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&amp; Canada property</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26,798.3</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26,750.1</w:t>
            </w:r>
          </w:p>
        </w:tc>
        <w:tc>
          <w:tcPr>
            <w:tcW w:w="0" w:type="dxa"/>
            <w:vAlign w:val="bottom"/>
          </w:tcPr>
          <w:p>
            <w:pPr>
              <w:spacing w:after="0"/>
              <w:rPr>
                <w:sz w:val="1"/>
                <w:szCs w:val="1"/>
                <w:color w:val="auto"/>
              </w:rPr>
            </w:pPr>
          </w:p>
        </w:tc>
      </w:tr>
      <w:tr>
        <w:trPr>
          <w:trHeight w:val="22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Africa &amp; APAC property</w:t>
            </w:r>
          </w:p>
        </w:tc>
        <w:tc>
          <w:tcPr>
            <w:tcW w:w="3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3,993.1</w:t>
            </w:r>
          </w:p>
        </w:tc>
        <w:tc>
          <w:tcPr>
            <w:tcW w:w="0" w:type="dxa"/>
            <w:vAlign w:val="bottom"/>
          </w:tcPr>
          <w:p>
            <w:pPr>
              <w:spacing w:after="0"/>
              <w:rPr>
                <w:sz w:val="1"/>
                <w:szCs w:val="1"/>
                <w:color w:val="auto"/>
              </w:rPr>
            </w:pPr>
          </w:p>
        </w:tc>
      </w:tr>
      <w:tr>
        <w:trPr>
          <w:trHeight w:val="140"/>
        </w:trPr>
        <w:tc>
          <w:tcPr>
            <w:tcW w:w="8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Europe property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11,267.2</w:t>
            </w:r>
          </w:p>
        </w:tc>
        <w:tc>
          <w:tcPr>
            <w:tcW w:w="0" w:type="dxa"/>
            <w:vAlign w:val="bottom"/>
          </w:tcPr>
          <w:p>
            <w:pPr>
              <w:spacing w:after="0"/>
              <w:rPr>
                <w:sz w:val="1"/>
                <w:szCs w:val="1"/>
                <w:color w:val="auto"/>
              </w:rPr>
            </w:pPr>
          </w:p>
        </w:tc>
      </w:tr>
      <w:tr>
        <w:trPr>
          <w:trHeight w:val="224"/>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Latin America property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7,470.7</w:t>
            </w:r>
          </w:p>
        </w:tc>
        <w:tc>
          <w:tcPr>
            <w:tcW w:w="0" w:type="dxa"/>
            <w:vAlign w:val="bottom"/>
          </w:tcPr>
          <w:p>
            <w:pPr>
              <w:spacing w:after="0"/>
              <w:rPr>
                <w:sz w:val="1"/>
                <w:szCs w:val="1"/>
                <w:color w:val="auto"/>
              </w:rPr>
            </w:pPr>
          </w:p>
        </w:tc>
      </w:tr>
      <w:tr>
        <w:trPr>
          <w:trHeight w:val="224"/>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Data Centers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10,431.6</w:t>
            </w:r>
          </w:p>
        </w:tc>
        <w:tc>
          <w:tcPr>
            <w:tcW w:w="0" w:type="dxa"/>
            <w:vAlign w:val="bottom"/>
          </w:tcPr>
          <w:p>
            <w:pPr>
              <w:spacing w:after="0"/>
              <w:rPr>
                <w:sz w:val="1"/>
                <w:szCs w:val="1"/>
                <w:color w:val="auto"/>
              </w:rPr>
            </w:pPr>
          </w:p>
        </w:tc>
      </w:tr>
      <w:tr>
        <w:trPr>
          <w:trHeight w:val="224"/>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24"/>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0" w:type="dxa"/>
            <w:vAlign w:val="bottom"/>
          </w:tcPr>
          <w:p>
            <w:pPr>
              <w:spacing w:after="0"/>
              <w:rPr>
                <w:sz w:val="1"/>
                <w:szCs w:val="1"/>
                <w:color w:val="auto"/>
              </w:rPr>
            </w:pPr>
          </w:p>
        </w:tc>
      </w:tr>
      <w:tr>
        <w:trPr>
          <w:trHeight w:val="242"/>
        </w:trPr>
        <w:tc>
          <w:tcPr>
            <w:tcW w:w="8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61,077.4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are translated at the applicable period end exchange rate, which may impact comparability between periods.</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include corporate assets such as cash and cash equivalents, certain tangible and intangible assets and income tax accounts that have not been allocated to specific segments.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26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Summarized geographic information related to the Company’s operating revenues for the years ended December 31, 2025, 2024 and 2023 and long-lived assets as of December 31, 2025 and 2024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72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&amp; Canada:</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Canada (1)</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States (2)</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6,182.2</w:t>
            </w:r>
          </w:p>
        </w:tc>
      </w:tr>
      <w:tr>
        <w:trPr>
          <w:trHeight w:val="228"/>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Africa &amp; APAC (1)(3):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40"/>
        </w:trPr>
        <w:tc>
          <w:tcPr>
            <w:tcW w:w="7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Australia (4)</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Bangladesh</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Zealand (4)</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Philippines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Burkina Faso</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Ghana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Kenya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Niger</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Nigeria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w:t>
            </w: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South Africa (4)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Uganda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4"/>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 (1):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France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Germany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Poland (4)</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Spain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24"/>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Latin America (1):</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Argentina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Brazil</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Colombia</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Costa Rica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Mexico</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w:t>
            </w: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Paraguay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4"/>
        </w:trPr>
        <w:tc>
          <w:tcPr>
            <w:tcW w:w="7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Peru</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42"/>
        </w:trPr>
        <w:tc>
          <w:tcPr>
            <w:tcW w:w="72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00" w:hanging="295"/>
        <w:spacing w:after="0"/>
        <w:tabs>
          <w:tab w:leader="none" w:pos="3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are translated at the applicable exchange rate, which may impact comparability between periods.</w:t>
      </w:r>
    </w:p>
    <w:p>
      <w:pPr>
        <w:spacing w:after="0" w:line="7"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include revenue from the Company’s Services and Data Centers segments.</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and 2023, excludes the operating results of ATC TIPL, which are reported as discontinued operations. See note 21 for further discussion.</w:t>
      </w:r>
    </w:p>
    <w:p>
      <w:pPr>
        <w:spacing w:after="0" w:line="1" w:lineRule="exact"/>
        <w:rPr>
          <w:rFonts w:ascii="Times New Roman" w:cs="Times New Roman" w:eastAsia="Times New Roman" w:hAnsi="Times New Roman"/>
          <w:sz w:val="14"/>
          <w:szCs w:val="14"/>
          <w:color w:val="auto"/>
        </w:rPr>
      </w:pPr>
    </w:p>
    <w:p>
      <w:pPr>
        <w:ind w:left="320" w:right="520" w:hanging="315"/>
        <w:spacing w:after="0" w:line="264" w:lineRule="auto"/>
        <w:tabs>
          <w:tab w:leader="none" w:pos="30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2025, the Company completed the sale of South Africa Fiber. During the year ended December 31, 2024, the Company completed the sales of ATC Australia and ATC New Zealand. During the year ended December 31, 2023, the Company completed the sale of ATC Poland.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Long-Lived Assets (1):</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4"/>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&amp; Canada:</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Canada (2)</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States (3)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28,214.3</w:t>
            </w:r>
          </w:p>
        </w:tc>
      </w:tr>
      <w:tr>
        <w:trPr>
          <w:trHeight w:val="228"/>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Africa &amp; APAC (2):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40"/>
        </w:trPr>
        <w:tc>
          <w:tcPr>
            <w:tcW w:w="8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Bangladesh</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4"/>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Philippines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Burkina Faso</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r>
      <w:tr>
        <w:trPr>
          <w:trHeight w:val="224"/>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Ghana</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Kenya</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r>
      <w:tr>
        <w:trPr>
          <w:trHeight w:val="224"/>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Niger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Nigeria</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r>
      <w:tr>
        <w:trPr>
          <w:trHeight w:val="224"/>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South Africa (4)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Uganda</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w:t>
            </w:r>
          </w:p>
        </w:tc>
      </w:tr>
      <w:tr>
        <w:trPr>
          <w:trHeight w:val="224"/>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 (2):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France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w:t>
            </w:r>
          </w:p>
        </w:tc>
      </w:tr>
      <w:tr>
        <w:trPr>
          <w:trHeight w:val="224"/>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Germany</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5,429.5</w:t>
            </w: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Spain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2,834.8</w:t>
            </w:r>
          </w:p>
        </w:tc>
      </w:tr>
      <w:tr>
        <w:trPr>
          <w:trHeight w:val="224"/>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Latin America (2):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Argentina</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24"/>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Brazil</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1,592.1</w:t>
            </w: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Chile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w:t>
            </w:r>
          </w:p>
        </w:tc>
      </w:tr>
      <w:tr>
        <w:trPr>
          <w:trHeight w:val="224"/>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Colombia</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Costa Rica</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4"/>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Mexico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r>
      <w:tr>
        <w:trPr>
          <w:trHeight w:val="224"/>
        </w:trPr>
        <w:tc>
          <w:tcPr>
            <w:tcW w:w="8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Paraguay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4"/>
        </w:trPr>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Peru</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r>
      <w:tr>
        <w:trPr>
          <w:trHeight w:val="217"/>
        </w:trPr>
        <w:tc>
          <w:tcPr>
            <w:tcW w:w="8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long-lived assets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47,142.5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45,299.2</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00" w:hanging="295"/>
        <w:spacing w:after="0"/>
        <w:tabs>
          <w:tab w:leader="none" w:pos="3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Property and equipment, net, Goodwill and Other intangible assets, net.</w:t>
      </w:r>
    </w:p>
    <w:p>
      <w:pPr>
        <w:spacing w:after="0" w:line="6"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are translated at the applicable period end exchange rate, which may impact comparability between periods.</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include the Company’s data centers assets located in the United States and corporate assets.</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included assets associated with South Africa Fiber, which was sold during the year ended December 31, 2025.</w:t>
      </w:r>
    </w:p>
    <w:p>
      <w:pPr>
        <w:spacing w:after="0" w:line="13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following customers within the property and services segments individually accounted for 10% or more of the Company’s consolidated operating revenues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gridSpan w:val="2"/>
          </w:tcPr>
          <w:p>
            <w:pPr>
              <w:ind w:left="7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8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T-Mobile</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AT&amp;T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4"/>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Verizon Wireless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8"/>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Telefónica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3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6"/>
          <w:szCs w:val="16"/>
          <w:b w:val="1"/>
          <w:bCs w:val="1"/>
          <w:color w:val="auto"/>
        </w:rPr>
        <w:t>RELATED PARTY TRANSACTIONS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2024 and 2023, the Company had no significant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200" w:lineRule="exact"/>
        <w:rPr>
          <w:sz w:val="20"/>
          <w:szCs w:val="20"/>
          <w:color w:val="auto"/>
        </w:rPr>
      </w:pPr>
    </w:p>
    <w:p>
      <w:pPr>
        <w:spacing w:after="0" w:line="25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DISCONTINUED OPERATIONS</w:t>
      </w:r>
    </w:p>
    <w:p>
      <w:pPr>
        <w:spacing w:after="0" w:line="13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On January 4, 2024, the Company, through its subsidiaries ATC Asia Pacific Pte. Ltd. and ATC Telecom Infrastructure Private Limited (“ATC TIPL”), entered into an agreement with Data Infrastructure Trust (“DIT”), an infrastructure investment trust sponsored by an affiliate of Brookfield Asset Management, pursuant to which DIT agreed to acquire a 100% ownership interest in ATC TIPL (the “ATC TIPL Transaction”). Per the terms of the agreement, total aggregate consideration represented up to approximately 210 billion Indian Rupees (“INR”) (approximately $2.5 billion), including the value of the VIL OCDs and the VIL Shares (each as defined and further discussed below), payments on certain existing customer receivables, the repayment of existing intercompany debt and the repayment, or assumption, of the Company’s existing term loan in India, by DIT.</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ATC TIPL distributed approximately 29.6 billion INR (approximately $354.1 million) to the Company, which included the value of the VIL Shares and the VIL OCDs and the satisfaction of the economic benefit associated with the rights to payments on certain existing customer receivables. The distributions were deducted from the total aggregate consideration received by the Company at closing.</w:t>
      </w:r>
    </w:p>
    <w:p>
      <w:pPr>
        <w:spacing w:after="0" w:line="11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ATC TIPL Transaction received all government and regulatory approvals during the three months ended September 30, 2024, and on September 12, 2024, the Company completed the sale of ATC TIPL and received total consideration of 182 billion INR (approximately $2.2 billion). The Company used the proceeds from the ATC TIPL Transaction to repay existing indebtedness under the 2021 Multicurrency Credit Facility.</w:t>
      </w:r>
    </w:p>
    <w:p>
      <w:pPr>
        <w:spacing w:after="0" w:line="102"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t>The Company recorded a loss on the sale of ATC TIPL of $1.2 billion, which primarily included the reclassification of the Company’s cumulative translation adjustment in India upon exiting the market of $1.1 billion. The loss on sale of ATC TIPL was included in Loss from discontinued operations, net of taxes in the consolidated statements of operations for year ended 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received at closing</w:t>
            </w: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2,158.8</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at closing</w:t>
            </w:r>
          </w:p>
        </w:tc>
        <w:tc>
          <w:tcPr>
            <w:tcW w:w="1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(2,257.6)</w:t>
            </w: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w:t>
            </w: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 costs</w:t>
            </w:r>
          </w:p>
        </w:tc>
        <w:tc>
          <w:tcPr>
            <w:tcW w:w="1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liability for tax indemnification</w:t>
            </w:r>
          </w:p>
        </w:tc>
        <w:tc>
          <w:tcPr>
            <w:tcW w:w="1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Reclassification of cumulative translation adjustment</w:t>
            </w:r>
          </w:p>
        </w:tc>
        <w:tc>
          <w:tcPr>
            <w:tcW w:w="1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 on sale included in loss from discontinued operations, net of taxes</w:t>
            </w:r>
          </w:p>
        </w:tc>
        <w:tc>
          <w:tcPr>
            <w:tcW w:w="122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key components of Loss from discontinued operations, net of taxes in the consolidated statements of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6"/>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 (1)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r>
      <w:tr>
        <w:trPr>
          <w:trHeight w:val="22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94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w:t>
            </w:r>
          </w:p>
        </w:tc>
      </w:tr>
      <w:tr>
        <w:trPr>
          <w:trHeight w:val="22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2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administrative and development expense</w:t>
            </w:r>
          </w:p>
        </w:tc>
        <w:tc>
          <w:tcPr>
            <w:tcW w:w="94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ATC TIPL (2)</w:t>
            </w:r>
          </w:p>
        </w:tc>
        <w:tc>
          <w:tcPr>
            <w:tcW w:w="94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1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2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1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taxes</w:t>
            </w: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8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9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1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taxes</w:t>
            </w:r>
          </w:p>
        </w:tc>
        <w:tc>
          <w:tcPr>
            <w:tcW w:w="94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0"/>
        </w:trPr>
        <w:tc>
          <w:tcPr>
            <w:tcW w:w="7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2" w:lineRule="exact"/>
        <w:rPr>
          <w:sz w:val="20"/>
          <w:szCs w:val="20"/>
          <w:color w:val="auto"/>
        </w:rPr>
      </w:pPr>
    </w:p>
    <w:p>
      <w:pPr>
        <w:ind w:left="320" w:hanging="315"/>
        <w:spacing w:after="0"/>
        <w:tabs>
          <w:tab w:leader="none" w:pos="3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results of operations for ATC TIPL through September 12, 2024.</w:t>
      </w:r>
    </w:p>
    <w:p>
      <w:pPr>
        <w:spacing w:after="0" w:line="2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the reclassification of the Company’s cumulative translation adjustment in India upon exiting the market of $1.1 billion.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Impairments</w:t>
      </w:r>
    </w:p>
    <w:p>
      <w:pPr>
        <w:spacing w:after="0" w:line="15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The Company reviews goodwill for impairment annually (as of December 31) or whenever events or circumstances indicate the carrying amount of an asset may not be recoverable, as further discussed in note 1.</w:t>
      </w:r>
    </w:p>
    <w:p>
      <w:pPr>
        <w:spacing w:after="0" w:line="10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Company concluded that a triggering event occurred during the year ended December 31, 2023 with respect to its India reporting unit primarily due to indications of value received from third parties in connection with the Company’s review of various strategic alternatives for its India operations, which concluded in the ATC TIPL Transaction. As a result, the Company performed an interim quantitative goodwill impairment test as of September 30, 2023, using, among other things, the information obtained from third parties to compare the estimated fair value of the India reporting unit to its carrying amount, including goodwill. The result of the Company’s interim goodwill impairment test as of September 30, 2023 indicated that the carrying amount of the Company's India reporting unit exceeded its estimated fair value. As a result, the Company recorded a goodwill impairment charge of $322.0 million during the three months ended September 30, 2023.</w:t>
      </w:r>
    </w:p>
    <w:p>
      <w:pPr>
        <w:spacing w:after="0" w:line="11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consolidated statements of cash flows. The following table presents key cash flow and non-cash information related to discontinued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0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 (1)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sale of ATC TIPL</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63"/>
        </w:trPr>
        <w:tc>
          <w:tcPr>
            <w:tcW w:w="70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non-cash items: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171"/>
        </w:trPr>
        <w:tc>
          <w:tcPr>
            <w:tcW w:w="70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Impairments, net loss on sale of long-lived assets, non-cash restructuring and merger related</w:t>
            </w: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7"/>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investments, unrealized foreign currency (gain) loss and other non-cash expense</w:t>
            </w:r>
          </w:p>
        </w:tc>
        <w:tc>
          <w:tcPr>
            <w:tcW w:w="94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ATC TIPL (2)</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cash flows for ATC TIPL through September 12, 2024.</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the reclassification of the Company’s cumulative translation adjustment in India upon exiting the market of $1.1 billion.</w:t>
      </w:r>
    </w:p>
    <w:p>
      <w:pPr>
        <w:spacing w:after="0" w:line="119"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i w:val="1"/>
          <w:iCs w:val="1"/>
          <w:color w:val="auto"/>
        </w:rPr>
        <w:t>VIL Optionally Convertible Debentures</w:t>
      </w:r>
      <w:r>
        <w:rPr>
          <w:rFonts w:ascii="Times New Roman" w:cs="Times New Roman" w:eastAsia="Times New Roman" w:hAnsi="Times New Roman"/>
          <w:sz w:val="18"/>
          <w:szCs w:val="18"/>
          <w:color w:val="auto"/>
        </w:rPr>
        <w:t>—In February 2023, and as amended in August 2023, one of the Company’s customers in India, Vodafone Idea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(“VIL”), issued optionally convertible debentures (the “VIL OCDs”) to the Company’s subsidiary, ATC TIPL, in exchange for VIL’s payment of certain amounts towards accounts receivables. The VIL OCDs were (a) to be repaid by VIL with interest or (b) convertible into equity of VIL. The VIL OCDs were issued for an aggregate face value of 16.0 billion INR (approximately $193.2 million on the date of issuance). The VIL OCDs were to mature in tranches with 8.0 billion INR (approximately $96.6 million on the date of issuance) maturing on August 27, 2023 and 8.0 billion INR (approximately $96.6 million on the date of issuance) maturing on August 27, 2024. In August 2023, the Company amended the agreements governing the VIL OCDs to, among other items, extend the maturity of the first tranche of the VIL OCDs to August 27, 2024. The fair value of the VIL OCDs at issuance was approximately $116.5 million. The VIL OCDs accrued interest at a rate of 11.2% annually. Interest was payable to ATC TIPL semi-annually, with the first payment received in September 2023.</w:t>
      </w:r>
    </w:p>
    <w:p>
      <w:pPr>
        <w:spacing w:after="0" w:line="117"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18"/>
          <w:szCs w:val="18"/>
          <w:color w:val="auto"/>
        </w:rPr>
        <w:t>On March 23, 2024, the Company converted an aggregate face value of 14.4 billion INR (approximately $172.7 million) of VIL OCDs into 1,440 million shares of equity of VIL (the “VIL Shares”).</w:t>
      </w:r>
    </w:p>
    <w:p>
      <w:pPr>
        <w:spacing w:after="0" w:line="10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On April 29, 2024, the Company completed the sale of 1,440 million VIL Shares at a price of 12.78 INR per share. The net proceeds for this transaction were approximately 18.0 billion INR (approximately $216.0 million at the date of settlement) after deducting commissions and fees.</w:t>
      </w:r>
    </w:p>
    <w:p>
      <w:pPr>
        <w:spacing w:after="0" w:line="102"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8"/>
          <w:szCs w:val="18"/>
          <w:color w:val="auto"/>
        </w:rPr>
        <w:t>On June 5, 2024, the Company completed the sale of the remaining aggregate face value of 1.6 billion INR (approximately $19.2 million) of the VIL OCDs. The net proceeds for this transaction, excluding accrued interest, were approximately 1.8 billion INR (approximately $22.0 million at the date of settlement) after deducting fees.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AMERICAN TOWER CORPORATION AND SUBSIDIARIES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(Tabular amounts in millions, unless otherwise disclosed)</w:t>
      </w:r>
    </w:p>
    <w:p>
      <w:pPr>
        <w:spacing w:after="0" w:line="3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a gain of $46.4 million on the sales of the VIL Shares and the VIL OCDs. The gains on the sales of the VIL Shares and the VIL OCDs were recorded in Loss from discontinued operations, net of taxes in the consolidated statements of operations in the current period. As of December 31, 2024, none of the VIL Shares or the VIL OCDs remained outstanding.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8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4.400% Senior Notes—</w:t>
      </w:r>
      <w:r>
        <w:rPr>
          <w:rFonts w:ascii="Times New Roman" w:cs="Times New Roman" w:eastAsia="Times New Roman" w:hAnsi="Times New Roman"/>
          <w:sz w:val="18"/>
          <w:szCs w:val="18"/>
          <w:color w:val="auto"/>
        </w:rPr>
        <w:t>On February 13, 2026, the Company repaid $500.0 million aggregate principal amount of the Company’s 4.400%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notes due 2026 (the “4.400% Notes”) upon their maturity. The 4.400% Notes were repaid using borrowings under the 2021 Credit Facility and cash on hand. Upon completion of the repayment, none of the 4.400%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III—SCHEDULE OF REAL ESTATE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ACCUMULATED DEPRECIATION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1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Gross amount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on which</w:t>
            </w:r>
          </w:p>
        </w:tc>
        <w:tc>
          <w:tcPr>
            <w:tcW w:w="0" w:type="dxa"/>
            <w:vAlign w:val="bottom"/>
          </w:tcPr>
          <w:p>
            <w:pPr>
              <w:spacing w:after="0"/>
              <w:rPr>
                <w:sz w:val="1"/>
                <w:szCs w:val="1"/>
                <w:color w:val="auto"/>
              </w:rPr>
            </w:pPr>
          </w:p>
        </w:tc>
      </w:tr>
      <w:tr>
        <w:trPr>
          <w:trHeight w:val="143"/>
        </w:trPr>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depreciation in</w:t>
            </w:r>
          </w:p>
        </w:tc>
        <w:tc>
          <w:tcPr>
            <w:tcW w:w="0" w:type="dxa"/>
            <w:vAlign w:val="bottom"/>
          </w:tcPr>
          <w:p>
            <w:pPr>
              <w:spacing w:after="0"/>
              <w:rPr>
                <w:sz w:val="1"/>
                <w:szCs w:val="1"/>
                <w:color w:val="auto"/>
              </w:rPr>
            </w:pPr>
          </w:p>
        </w:tc>
      </w:tr>
      <w:tr>
        <w:trPr>
          <w:trHeight w:val="132"/>
        </w:trPr>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Initial cost</w:t>
            </w:r>
          </w:p>
        </w:tc>
        <w:tc>
          <w:tcPr>
            <w:tcW w:w="120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4"/>
                <w:szCs w:val="14"/>
                <w:b w:val="1"/>
                <w:bCs w:val="1"/>
                <w:color w:val="auto"/>
                <w:w w:val="99"/>
              </w:rPr>
              <w:t>capitalized</w:t>
            </w:r>
          </w:p>
        </w:tc>
        <w:tc>
          <w:tcPr>
            <w:tcW w:w="100" w:type="dxa"/>
            <w:vAlign w:val="bottom"/>
          </w:tcPr>
          <w:p>
            <w:pPr>
              <w:spacing w:after="0"/>
              <w:rPr>
                <w:sz w:val="11"/>
                <w:szCs w:val="11"/>
                <w:color w:val="auto"/>
              </w:rPr>
            </w:pPr>
          </w:p>
        </w:tc>
        <w:tc>
          <w:tcPr>
            <w:tcW w:w="1020" w:type="dxa"/>
            <w:vAlign w:val="bottom"/>
          </w:tcPr>
          <w:p>
            <w:pPr>
              <w:jc w:val="center"/>
              <w:ind w:right="30"/>
              <w:spacing w:after="0" w:line="132" w:lineRule="exact"/>
              <w:rPr>
                <w:sz w:val="20"/>
                <w:szCs w:val="20"/>
                <w:color w:val="auto"/>
              </w:rPr>
            </w:pPr>
            <w:r>
              <w:rPr>
                <w:rFonts w:ascii="Times New Roman" w:cs="Times New Roman" w:eastAsia="Times New Roman" w:hAnsi="Times New Roman"/>
                <w:sz w:val="14"/>
                <w:szCs w:val="14"/>
                <w:b w:val="1"/>
                <w:bCs w:val="1"/>
                <w:color w:val="auto"/>
              </w:rPr>
              <w:t>carried at</w:t>
            </w:r>
          </w:p>
        </w:tc>
        <w:tc>
          <w:tcPr>
            <w:tcW w:w="280" w:type="dxa"/>
            <w:vAlign w:val="bottom"/>
          </w:tcPr>
          <w:p>
            <w:pPr>
              <w:spacing w:after="0"/>
              <w:rPr>
                <w:sz w:val="11"/>
                <w:szCs w:val="11"/>
                <w:color w:val="auto"/>
              </w:rPr>
            </w:pPr>
          </w:p>
        </w:tc>
        <w:tc>
          <w:tcPr>
            <w:tcW w:w="118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rPr>
              <w:t>depreciation at</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latest income</w:t>
            </w:r>
          </w:p>
        </w:tc>
        <w:tc>
          <w:tcPr>
            <w:tcW w:w="0" w:type="dxa"/>
            <w:vAlign w:val="bottom"/>
          </w:tcPr>
          <w:p>
            <w:pPr>
              <w:spacing w:after="0"/>
              <w:rPr>
                <w:sz w:val="1"/>
                <w:szCs w:val="1"/>
                <w:color w:val="auto"/>
              </w:rPr>
            </w:pPr>
          </w:p>
        </w:tc>
      </w:tr>
      <w:tr>
        <w:trPr>
          <w:trHeight w:val="145"/>
        </w:trPr>
        <w:tc>
          <w:tcPr>
            <w:tcW w:w="1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Encumbrances</w:t>
            </w:r>
          </w:p>
        </w:tc>
        <w:tc>
          <w:tcPr>
            <w:tcW w:w="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subsequent to</w:t>
            </w:r>
          </w:p>
        </w:tc>
        <w:tc>
          <w:tcPr>
            <w:tcW w:w="100" w:type="dxa"/>
            <w:vAlign w:val="bottom"/>
          </w:tcPr>
          <w:p>
            <w:pPr>
              <w:spacing w:after="0"/>
              <w:rPr>
                <w:sz w:val="12"/>
                <w:szCs w:val="12"/>
                <w:color w:val="auto"/>
              </w:rPr>
            </w:pPr>
          </w:p>
        </w:tc>
        <w:tc>
          <w:tcPr>
            <w:tcW w:w="1020" w:type="dxa"/>
            <w:vAlign w:val="bottom"/>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close of current</w:t>
            </w:r>
          </w:p>
        </w:tc>
        <w:tc>
          <w:tcPr>
            <w:tcW w:w="280" w:type="dxa"/>
            <w:vAlign w:val="bottom"/>
          </w:tcPr>
          <w:p>
            <w:pPr>
              <w:spacing w:after="0"/>
              <w:rPr>
                <w:sz w:val="12"/>
                <w:szCs w:val="12"/>
                <w:color w:val="auto"/>
              </w:rPr>
            </w:pPr>
          </w:p>
        </w:tc>
        <w:tc>
          <w:tcPr>
            <w:tcW w:w="118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close of current</w:t>
            </w:r>
          </w:p>
        </w:tc>
        <w:tc>
          <w:tcPr>
            <w:tcW w:w="11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statements is</w:t>
            </w:r>
          </w:p>
        </w:tc>
        <w:tc>
          <w:tcPr>
            <w:tcW w:w="0" w:type="dxa"/>
            <w:vAlign w:val="bottom"/>
          </w:tcPr>
          <w:p>
            <w:pPr>
              <w:spacing w:after="0"/>
              <w:rPr>
                <w:sz w:val="1"/>
                <w:szCs w:val="1"/>
                <w:color w:val="auto"/>
              </w:rPr>
            </w:pPr>
          </w:p>
        </w:tc>
      </w:tr>
      <w:tr>
        <w:trPr>
          <w:trHeight w:val="192"/>
        </w:trPr>
        <w:tc>
          <w:tcPr>
            <w:tcW w:w="1800" w:type="dxa"/>
            <w:vAlign w:val="bottom"/>
            <w:gridSpan w:val="3"/>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 company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6"/>
                <w:szCs w:val="16"/>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construction</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computed</w:t>
            </w:r>
          </w:p>
        </w:tc>
        <w:tc>
          <w:tcPr>
            <w:tcW w:w="0" w:type="dxa"/>
            <w:vAlign w:val="bottom"/>
          </w:tcPr>
          <w:p>
            <w:pPr>
              <w:spacing w:after="0"/>
              <w:rPr>
                <w:sz w:val="1"/>
                <w:szCs w:val="1"/>
                <w:color w:val="auto"/>
              </w:rPr>
            </w:pPr>
          </w:p>
        </w:tc>
      </w:tr>
      <w:tr>
        <w:trPr>
          <w:trHeight w:val="196"/>
        </w:trPr>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148,824</w:t>
            </w: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Sites (1)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22,161.5</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(9,084.7)</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94"/>
              </w:rPr>
              <w:t>Various</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9"/>
              </w:rPr>
              <w:t>Various</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9"/>
              </w:rPr>
              <w:t>Up to 30 years</w:t>
            </w:r>
          </w:p>
        </w:tc>
        <w:tc>
          <w:tcPr>
            <w:tcW w:w="0" w:type="dxa"/>
            <w:vAlign w:val="bottom"/>
          </w:tcPr>
          <w:p>
            <w:pPr>
              <w:spacing w:after="0"/>
              <w:rPr>
                <w:sz w:val="1"/>
                <w:szCs w:val="1"/>
                <w:color w:val="auto"/>
              </w:rPr>
            </w:pPr>
          </w:p>
        </w:tc>
      </w:tr>
      <w:tr>
        <w:trPr>
          <w:trHeight w:val="183"/>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Data Centers</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7,683.4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(1,581.9)</w:t>
            </w:r>
          </w:p>
        </w:tc>
        <w:tc>
          <w:tcPr>
            <w:tcW w:w="120" w:type="dxa"/>
            <w:vAlign w:val="bottom"/>
          </w:tcPr>
          <w:p>
            <w:pPr>
              <w:spacing w:after="0"/>
              <w:rPr>
                <w:sz w:val="15"/>
                <w:szCs w:val="15"/>
                <w:color w:val="auto"/>
              </w:rPr>
            </w:pP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Various</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Various</w:t>
            </w:r>
          </w:p>
        </w:tc>
        <w:tc>
          <w:tcPr>
            <w:tcW w:w="118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Up to 40 years</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3" w:lineRule="exact"/>
        <w:rPr>
          <w:sz w:val="20"/>
          <w:szCs w:val="20"/>
          <w:color w:val="auto"/>
        </w:rPr>
      </w:pPr>
    </w:p>
    <w:p>
      <w:pPr>
        <w:ind w:left="300" w:hanging="295"/>
        <w:spacing w:after="0"/>
        <w:tabs>
          <w:tab w:leader="none" w:pos="3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single site exceeds 5% of the total amounts indicated in the table above.</w:t>
      </w:r>
    </w:p>
    <w:p>
      <w:pPr>
        <w:spacing w:after="0" w:line="6"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assets secure debt of $1.8 billion.</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omitted this information, as it would be impracticable to compile such information on a site-by-site basis.</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aggregated data center information on a basis consistent with its tower portfolio.</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those sites under construction.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6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 at beginning</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28,239.2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27,060.9</w:t>
            </w:r>
          </w:p>
        </w:tc>
        <w:tc>
          <w:tcPr>
            <w:tcW w:w="0" w:type="dxa"/>
            <w:vAlign w:val="bottom"/>
          </w:tcPr>
          <w:p>
            <w:pPr>
              <w:spacing w:after="0"/>
              <w:rPr>
                <w:sz w:val="1"/>
                <w:szCs w:val="1"/>
                <w:color w:val="auto"/>
              </w:rPr>
            </w:pPr>
          </w:p>
        </w:tc>
      </w:tr>
      <w:tr>
        <w:trPr>
          <w:trHeight w:val="224"/>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during period: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24"/>
        </w:trPr>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Discretionary capital projects (2)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0" w:type="dxa"/>
            <w:vAlign w:val="bottom"/>
          </w:tcPr>
          <w:p>
            <w:pPr>
              <w:spacing w:after="0"/>
              <w:rPr>
                <w:sz w:val="1"/>
                <w:szCs w:val="1"/>
                <w:color w:val="auto"/>
              </w:rPr>
            </w:pPr>
          </w:p>
        </w:tc>
      </w:tr>
      <w:tr>
        <w:trPr>
          <w:trHeight w:val="224"/>
        </w:trPr>
        <w:tc>
          <w:tcPr>
            <w:tcW w:w="6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Discretionary ground lease purchases (3)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24"/>
        </w:trPr>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Redevelopment capital expenditures (4)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0" w:type="dxa"/>
            <w:vAlign w:val="bottom"/>
          </w:tcPr>
          <w:p>
            <w:pPr>
              <w:spacing w:after="0"/>
              <w:rPr>
                <w:sz w:val="1"/>
                <w:szCs w:val="1"/>
                <w:color w:val="auto"/>
              </w:rPr>
            </w:pPr>
          </w:p>
        </w:tc>
      </w:tr>
      <w:tr>
        <w:trPr>
          <w:trHeight w:val="224"/>
        </w:trPr>
        <w:tc>
          <w:tcPr>
            <w:tcW w:w="6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improvements (5)</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24"/>
        </w:trPr>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Start-up capital expenditures (6)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24"/>
        </w:trPr>
        <w:tc>
          <w:tcPr>
            <w:tcW w:w="6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(7)</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3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7"/>
        </w:trPr>
        <w:tc>
          <w:tcPr>
            <w:tcW w:w="6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2,717.3</w:t>
            </w:r>
          </w:p>
        </w:tc>
        <w:tc>
          <w:tcPr>
            <w:tcW w:w="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1,860.7</w:t>
            </w:r>
          </w:p>
        </w:tc>
        <w:tc>
          <w:tcPr>
            <w:tcW w:w="0" w:type="dxa"/>
            <w:vAlign w:val="bottom"/>
          </w:tcPr>
          <w:p>
            <w:pPr>
              <w:spacing w:after="0"/>
              <w:rPr>
                <w:sz w:val="1"/>
                <w:szCs w:val="1"/>
                <w:color w:val="auto"/>
              </w:rPr>
            </w:pPr>
          </w:p>
        </w:tc>
      </w:tr>
      <w:tr>
        <w:trPr>
          <w:trHeight w:val="204"/>
        </w:trPr>
        <w:tc>
          <w:tcPr>
            <w:tcW w:w="650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Deductions during period:</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real estate sold or disposed (8)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4"/>
        </w:trPr>
        <w:tc>
          <w:tcPr>
            <w:tcW w:w="6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(9)</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3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w:t>
            </w:r>
          </w:p>
        </w:tc>
        <w:tc>
          <w:tcPr>
            <w:tcW w:w="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217"/>
        </w:trPr>
        <w:tc>
          <w:tcPr>
            <w:tcW w:w="6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(2,712.1)</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0" w:type="dxa"/>
            <w:vAlign w:val="bottom"/>
          </w:tcPr>
          <w:p>
            <w:pPr>
              <w:spacing w:after="0"/>
              <w:rPr>
                <w:sz w:val="1"/>
                <w:szCs w:val="1"/>
                <w:color w:val="auto"/>
              </w:rPr>
            </w:pPr>
          </w:p>
        </w:tc>
      </w:tr>
      <w:tr>
        <w:trPr>
          <w:trHeight w:val="242"/>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29,844.9</w:t>
            </w:r>
          </w:p>
        </w:tc>
        <w:tc>
          <w:tcPr>
            <w:tcW w:w="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27,582.5</w:t>
            </w:r>
          </w:p>
        </w:tc>
        <w:tc>
          <w:tcPr>
            <w:tcW w:w="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28,239.2</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related to discontinued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00" w:type="dxa"/>
            <w:vAlign w:val="bottom"/>
            <w:gridSpan w:val="2"/>
            <w:vMerge w:val="continue"/>
          </w:tcPr>
          <w:p>
            <w:pPr>
              <w:spacing w:after="0"/>
              <w:rPr>
                <w:sz w:val="17"/>
                <w:szCs w:val="17"/>
                <w:color w:val="auto"/>
              </w:rPr>
            </w:pPr>
          </w:p>
        </w:tc>
        <w:tc>
          <w:tcPr>
            <w:tcW w:w="300" w:type="dxa"/>
            <w:vAlign w:val="bottom"/>
          </w:tcPr>
          <w:p>
            <w:pPr>
              <w:jc w:val="right"/>
              <w:ind w:right="11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7"/>
                <w:szCs w:val="17"/>
                <w:color w:val="auto"/>
              </w:rPr>
            </w:pPr>
          </w:p>
        </w:tc>
        <w:tc>
          <w:tcPr>
            <w:tcW w:w="320" w:type="dxa"/>
            <w:vAlign w:val="bottom"/>
          </w:tcPr>
          <w:p>
            <w:pPr>
              <w:jc w:val="right"/>
              <w:ind w:right="13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320" w:type="dxa"/>
            <w:vAlign w:val="bottom"/>
          </w:tcPr>
          <w:p>
            <w:pPr>
              <w:jc w:val="right"/>
              <w:ind w:right="112"/>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1,516.6</w:t>
            </w:r>
          </w:p>
        </w:tc>
        <w:tc>
          <w:tcPr>
            <w:tcW w:w="0" w:type="dxa"/>
            <w:vAlign w:val="bottom"/>
          </w:tcPr>
          <w:p>
            <w:pPr>
              <w:spacing w:after="0"/>
              <w:rPr>
                <w:sz w:val="1"/>
                <w:szCs w:val="1"/>
                <w:color w:val="auto"/>
              </w:rPr>
            </w:pPr>
          </w:p>
        </w:tc>
      </w:tr>
      <w:tr>
        <w:trPr>
          <w:trHeight w:val="288"/>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6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 of accumulated depreciation at beginning</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(8,669.5)</w:t>
            </w:r>
          </w:p>
        </w:tc>
        <w:tc>
          <w:tcPr>
            <w:tcW w:w="0" w:type="dxa"/>
            <w:vAlign w:val="bottom"/>
          </w:tcPr>
          <w:p>
            <w:pPr>
              <w:spacing w:after="0"/>
              <w:rPr>
                <w:sz w:val="1"/>
                <w:szCs w:val="1"/>
                <w:color w:val="auto"/>
              </w:rPr>
            </w:pPr>
          </w:p>
        </w:tc>
      </w:tr>
      <w:tr>
        <w:trPr>
          <w:trHeight w:val="224"/>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during period:</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0" w:type="dxa"/>
            <w:vAlign w:val="bottom"/>
          </w:tcPr>
          <w:p>
            <w:pPr>
              <w:spacing w:after="0"/>
              <w:rPr>
                <w:sz w:val="1"/>
                <w:szCs w:val="1"/>
                <w:color w:val="auto"/>
              </w:rPr>
            </w:pPr>
          </w:p>
        </w:tc>
      </w:tr>
      <w:tr>
        <w:trPr>
          <w:trHeight w:val="224"/>
        </w:trPr>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0" w:type="dxa"/>
            <w:vAlign w:val="bottom"/>
          </w:tcPr>
          <w:p>
            <w:pPr>
              <w:spacing w:after="0"/>
              <w:rPr>
                <w:sz w:val="1"/>
                <w:szCs w:val="1"/>
                <w:color w:val="auto"/>
              </w:rPr>
            </w:pPr>
          </w:p>
        </w:tc>
      </w:tr>
      <w:tr>
        <w:trPr>
          <w:trHeight w:val="204"/>
        </w:trPr>
        <w:tc>
          <w:tcPr>
            <w:tcW w:w="64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Deductions during period: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 of accumulated depreciation for assets sold or disposed (8)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4"/>
        </w:trPr>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(9)</w:t>
            </w:r>
          </w:p>
        </w:tc>
        <w:tc>
          <w:tcPr>
            <w:tcW w:w="300" w:type="dxa"/>
            <w:vAlign w:val="bottom"/>
          </w:tcPr>
          <w:p>
            <w:pPr>
              <w:spacing w:after="0"/>
              <w:rPr>
                <w:sz w:val="19"/>
                <w:szCs w:val="19"/>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17"/>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(10,666.6)</w:t>
            </w:r>
          </w:p>
        </w:tc>
        <w:tc>
          <w:tcPr>
            <w:tcW w:w="38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(9,683.6)</w:t>
            </w:r>
          </w:p>
        </w:tc>
        <w:tc>
          <w:tcPr>
            <w:tcW w:w="34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related to discontinued operations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320" w:hanging="315"/>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related to the acquisition of data centers.</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incurred primarily for the construction of new sites.</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incurred to purchase or otherwise secure the land under communications sites.</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incurred to increase the capacity of existing sites, which results in new incremental tenant revenue.</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incurred to enhance existing sites by adding additional functionality, capacity or general asset improvements.</w:t>
      </w:r>
    </w:p>
    <w:p>
      <w:pPr>
        <w:spacing w:after="0" w:line="10" w:lineRule="exact"/>
        <w:rPr>
          <w:rFonts w:ascii="Times New Roman" w:cs="Times New Roman" w:eastAsia="Times New Roman" w:hAnsi="Times New Roman"/>
          <w:sz w:val="14"/>
          <w:szCs w:val="14"/>
          <w:color w:val="auto"/>
        </w:rPr>
      </w:pPr>
    </w:p>
    <w:p>
      <w:pPr>
        <w:ind w:left="320" w:right="160" w:hanging="315"/>
        <w:spacing w:after="0" w:line="250" w:lineRule="auto"/>
        <w:tabs>
          <w:tab w:leader="none" w:pos="312"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incurred in connection with acquisitions or new market launches. Start-up capital expenditures includes non-recurring expenditures contemplated in acquisitions, new market launch business cases or initial deployment of new technologies or platform expansion initiatives that lead to an increase in site-level cash flow generation.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320" w:hanging="315"/>
        <w:spacing w:after="0"/>
        <w:tabs>
          <w:tab w:leader="none" w:pos="3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regional improvements, other additions and net adjustments related to the Company’s asset retirement obligations. Also includes foreign currency exchange rate fluctuations.</w:t>
      </w:r>
    </w:p>
    <w:p>
      <w:pPr>
        <w:spacing w:after="0" w:line="2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includes the impact of the sale of South Africa Fiber.</w:t>
      </w:r>
    </w:p>
    <w:p>
      <w:pPr>
        <w:spacing w:after="0" w:line="10" w:lineRule="exact"/>
        <w:rPr>
          <w:rFonts w:ascii="Times New Roman" w:cs="Times New Roman" w:eastAsia="Times New Roman" w:hAnsi="Times New Roman"/>
          <w:sz w:val="14"/>
          <w:szCs w:val="14"/>
          <w:color w:val="auto"/>
        </w:rPr>
      </w:pPr>
    </w:p>
    <w:p>
      <w:pPr>
        <w:ind w:left="320" w:right="80" w:hanging="315"/>
        <w:spacing w:after="0" w:line="250" w:lineRule="auto"/>
        <w:tabs>
          <w:tab w:leader="none" w:pos="312"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foreign currency exchange rate fluctuations and other deductions. For the year ended December 31, 2024, includes the impact of the sales of ATC TIPL, ATC Australia and ATC New Zealand. For the year ended December 31, 2023, includes the impact of the sales of Mexico Fiber and ATC Poland.</w:t>
      </w: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00"/>
          </w:cols>
          <w:pgMar w:left="320" w:top="121" w:right="47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1"/>
          <w:szCs w:val="21"/>
          <w:b w:val="1"/>
          <w:bCs w:val="1"/>
          <w:color w:val="auto"/>
        </w:rPr>
        <w:t>Exhibit 4.35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0" w:lineRule="exact"/>
        <w:rPr>
          <w:sz w:val="20"/>
          <w:szCs w:val="20"/>
          <w:color w:val="auto"/>
        </w:rPr>
      </w:pPr>
    </w:p>
    <w:p>
      <w:pPr>
        <w:spacing w:after="0" w:line="23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As of February 17, 2026, American Tower Corporation has 14 classes of securities registered under Section 12 of the Securities Exchange Act of 1934, as amended (the “Exchange Act”): (1) our common stock; (2) our 1.950% senior notes due 2026 (the “1.950% Notes”); (3) our 0.450% senior notes due 2027 (the “0.450% Notes”); (4) our 0.400% senior notes due 2027 (the “0.400% Notes”); (5) our 4.125% senior notes due 2027 (the “4.125% Notes”); (6) our 0.500% senior notes due 2028 (the “0.500% Notes”); (7) our 0.875% senior notes due 2029 (the “0.875% Notes”); (8) our 3.900% senior notes due 2030 (the “3.900% Notes”); (9) our 0.950% senior notes due 2030 (the “0.950% Notes”); (10) our 4.625% senior notes due 2031 (the “4.625% Notes”); (11) our 1.000% senior notes due 2032 (the “1.000% Notes”); (12) our 3.625% senior notes due 2032 (the “3.625% Notes”); (13) our 1.250% senior notes due 2033 (the “1.250% Notes”); and (14) our 4.100% senior notes due 2034 (the “4.100%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1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The description below summarizes the general terms of our common stock. This section is a summary, and it does not describe every aspect of our common stock. This summary is subject to, and qualified in its entirety by, reference to the provisions of our Restated Certificate of Incorporation (“Certificate of Incorporation”) and our Amended and Restated By-Laws (“By-Laws”), each of which is filed as an exhibit to the Annual Report on Form 10-K (the “Form 10-K”) of which this Exhibit 4.35 is a part. We encourage you to read our Certificate of Incorporation and By-Laws and the applicable provisions of the General Corporation Law of the State of Delaware (“DGCL”) for additional information. References in this “Description of Common Stock” section to “we,” “our” and the “Company” refer to American Tower Corporation and its predecessor, as applicable, individually and collectively with its subsidiaries as the context requires.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17, 2026, we are authorized to issue up to one billion (1,000,000,000) shares of common stock with one cent ($0.01) par value per share.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1"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6"/>
          <w:szCs w:val="16"/>
          <w:color w:val="auto"/>
        </w:rPr>
        <w:t>With respect to all matters upon which stockholders are entitled to vote, the holders of the outstanding shares of common stock are entitled to one (1) vote in person or by proxy for each share of common stock outstanding in the name of such stockholders on the record of stockholders. Generally, all matters to be voted on by stockholders must be approved by a majority (or by a plurality in the case of election of directors where the number of candidates nominated for election exceeds the number of directors to be elected) of the votes entitled to be cast by all shares of common stock present in person or by proxy.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1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color w:val="auto"/>
        </w:rPr>
        <w:t>Subject to applicable law and rights, if any, of the holders of any outstanding series of preferred stock or any class or series of stock having a preference over the common stock with respect to the payment of dividends and other distributions, dividends and other distributions may be declared and paid on the common stock from time to time and in amounts as our board of directors may determine. We pay regular dividends and other distributions, but the amount, timing and frequency of any distribution are at the sole discretion of our board of directors. Dividends and other distributions are declared based upon various factors, including without limitation distributions required to maintain our qualification for taxation as a real estate investment trust (“REIT”). The loan agreements for our credit facilities contain covenants that restrict our ability to pay dividends and other distributions unless certain financial covenants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21" w:right="339" w:bottom="1440" w:gutter="0" w:footer="0" w:header="0"/>
        </w:sectPr>
      </w:pPr>
    </w:p>
    <w:bookmarkStart w:id="140" w:name="page141"/>
    <w:bookmarkEnd w:id="140"/>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1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Upon our liquidation, dissolution or winding up, whether voluntarily or involuntarily, the holders of common stock are entitled to share ratably in all assets available for distribution after payment in full to creditors and payment in full to holders of preferred stock then outstanding of any amount required to be paid to them. Neither the merger, consolidation or business combination of American Tower with or into any other entity in which our stockholders receive capital stock and/or other securities (including debt securities) of the surviving entity (or the direct or indirect parent entity thereof), nor the sale, lease or transfer by us of any part of our business and assets, nor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reduction of our capital stock, shall be deemed to be a voluntary or involuntary liquidation, dissolution or winding up.</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11"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8"/>
          <w:szCs w:val="18"/>
          <w:color w:val="auto"/>
        </w:rPr>
        <w:t>The holders of common stock have no preemptive, subscription or redemption rights and are not entitled to the benefit of any sinking fund. The shares of common stock presently outstanding are validly issued, fully paid and nonassessable.</w:t>
      </w:r>
    </w:p>
    <w:p>
      <w:pPr>
        <w:spacing w:after="0" w:line="16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8"/>
          <w:szCs w:val="18"/>
          <w:color w:val="auto"/>
        </w:rPr>
        <w:t>We may not subdivide, combine, or pay or declare any stock dividend on, the outstanding shares of common stock unless all outstanding shares of common stock are subdivided or combined or the holders of common stock receive a proportionate dividend.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11"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6"/>
          <w:szCs w:val="16"/>
          <w:color w:val="auto"/>
        </w:rPr>
        <w:t>For us to comply with and have maximum business flexibility under the Federal Communications Laws (defined in our Certificate of Incorporation and including the Communications Act of 1934, as amended), and for us to qualify as a REIT under the Internal Revenue Code of 1986, as amended (the “Code”), our Certificate of Incorporation contains restrictions on stock ownership and stock transfers. These ownership and transfer restrictions could delay, defer or prevent a transaction or a change in control that might involve a premium price for our common stock or otherwise be in the best interests of the stockholders.</w:t>
      </w:r>
    </w:p>
    <w:p>
      <w:pPr>
        <w:spacing w:after="0" w:line="15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i w:val="1"/>
          <w:iCs w:val="1"/>
          <w:color w:val="auto"/>
        </w:rPr>
        <w:t>Federal Communications Laws Restrictions</w:t>
      </w:r>
      <w:r>
        <w:rPr>
          <w:rFonts w:ascii="Times New Roman" w:cs="Times New Roman" w:eastAsia="Times New Roman" w:hAnsi="Times New Roman"/>
          <w:sz w:val="18"/>
          <w:szCs w:val="18"/>
          <w:color w:val="auto"/>
        </w:rPr>
        <w:t>. Our Certificate of Incorporation permits us to restrict the ownership or proposed ownership of shares of our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that ownership or proposed ownership (i) is or could be inconsistent with, or in violation of, Federal Communications Laws (as defined in our Certificate of Incorporation); (ii) limits or impairs, or could limit or impair, our business activities or proposed business activities under the Federal Communications Laws; or (iii) subjects or could subject us to CFIUS Review (as defined in our Certificate of Incorporation) or to any provision of the Federal Communications Laws, including those requiring any review, authorization or approval, to which we would not be subject but for that ownership or proposed ownership, including, without limitation, Section 310 of the Communications Act and regulations relating to foreign ownership, multiple ownership or cross-ownership (clauses (i) through (iii) above are collectively referred to as FCC Regulatory Limitations). We reserve the right to require any person to whom a FCC Regulatory Limitation may apply to promptly furnish to us such information (including, without limitation, information with respect to the citizenship, other ownership interests and affiliations) as we may request. If such person fails to furnish all of the information we request, or we conclude that such person’s ownership or proposed ownership of our stock, or the exercise by such person of any rights of stock ownership in connection with our stock, may result in a FCC Regulatory Limitation, we reserve the right to:</w:t>
      </w:r>
    </w:p>
    <w:p>
      <w:pPr>
        <w:spacing w:after="0" w:line="30" w:lineRule="exact"/>
        <w:rPr>
          <w:sz w:val="20"/>
          <w:szCs w:val="20"/>
          <w:color w:val="auto"/>
        </w:rPr>
      </w:pPr>
    </w:p>
    <w:p>
      <w:pPr>
        <w:ind w:left="700" w:hanging="256"/>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transfer of shares of our common stock and/or preferred stock to such person;</w:t>
      </w:r>
    </w:p>
    <w:p>
      <w:pPr>
        <w:spacing w:after="0" w:line="280"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suspend those rights of stock ownership the exercise of which may cause the FCC Regulatory Limitation;</w:t>
      </w:r>
    </w:p>
    <w:p>
      <w:pPr>
        <w:spacing w:after="0" w:line="267" w:lineRule="exact"/>
        <w:rPr>
          <w:rFonts w:ascii="Times New Roman" w:cs="Times New Roman" w:eastAsia="Times New Roman" w:hAnsi="Times New Roman"/>
          <w:sz w:val="18"/>
          <w:szCs w:val="18"/>
          <w:color w:val="auto"/>
        </w:rPr>
      </w:pPr>
    </w:p>
    <w:p>
      <w:pPr>
        <w:ind w:left="700" w:right="360" w:hanging="256"/>
        <w:spacing w:after="0" w:line="269" w:lineRule="auto"/>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conversion of any or all shares of our preferred stock held by such person into a number of shares of our common stock of equivalent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440" w:right="359" w:bottom="1440" w:gutter="0" w:footer="0" w:header="0"/>
        </w:sectPr>
      </w:pPr>
    </w:p>
    <w:bookmarkStart w:id="141" w:name="page142"/>
    <w:bookmarkEnd w:id="141"/>
    <w:p>
      <w:pPr>
        <w:ind w:left="700" w:hanging="256"/>
        <w:spacing w:after="0"/>
        <w:tabs>
          <w:tab w:leader="none" w:pos="7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the shares of our common stock and/or our preferred stock held by such person pursuant to the procedures set forth below; and/or</w:t>
      </w:r>
    </w:p>
    <w:p>
      <w:pPr>
        <w:spacing w:after="0" w:line="200" w:lineRule="exact"/>
        <w:rPr>
          <w:rFonts w:ascii="Times New Roman" w:cs="Times New Roman" w:eastAsia="Times New Roman" w:hAnsi="Times New Roman"/>
          <w:sz w:val="18"/>
          <w:szCs w:val="18"/>
          <w:color w:val="auto"/>
        </w:rPr>
      </w:pPr>
    </w:p>
    <w:p>
      <w:pPr>
        <w:spacing w:after="0" w:line="317" w:lineRule="exact"/>
        <w:rPr>
          <w:rFonts w:ascii="Times New Roman" w:cs="Times New Roman" w:eastAsia="Times New Roman" w:hAnsi="Times New Roman"/>
          <w:sz w:val="18"/>
          <w:szCs w:val="18"/>
          <w:color w:val="auto"/>
        </w:rPr>
      </w:pPr>
    </w:p>
    <w:p>
      <w:pPr>
        <w:ind w:left="700" w:right="320" w:hanging="256"/>
        <w:spacing w:after="0" w:line="269" w:lineRule="auto"/>
        <w:tabs>
          <w:tab w:leader="none" w:pos="7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and all appropriate remedies, at law or in equity, in any court of competent jurisdiction, against any such person, with a view toward obtaining the information or preventing or curing any situation that may cause a FCC Regulatory Limitation.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procedures apply to the redemption of such person’s shares of our common stock and/or preferred stock:</w:t>
      </w:r>
    </w:p>
    <w:p>
      <w:pPr>
        <w:spacing w:after="0" w:line="56" w:lineRule="exact"/>
        <w:rPr>
          <w:sz w:val="20"/>
          <w:szCs w:val="20"/>
          <w:color w:val="auto"/>
        </w:rPr>
      </w:pPr>
    </w:p>
    <w:p>
      <w:pPr>
        <w:ind w:left="700" w:right="380" w:hanging="256"/>
        <w:spacing w:after="0" w:line="269" w:lineRule="auto"/>
        <w:tabs>
          <w:tab w:leader="none" w:pos="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of any redeemed shares of our common stock or preferred stock shall be the fair market value (as defined in our Certificate of Incorporation) of those shares;</w:t>
      </w:r>
    </w:p>
    <w:p>
      <w:pPr>
        <w:spacing w:after="0" w:line="234"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may be paid in cash or any other of our debt or equity securities or any combination thereof;</w:t>
      </w:r>
    </w:p>
    <w:p>
      <w:pPr>
        <w:spacing w:after="0" w:line="280" w:lineRule="exact"/>
        <w:rPr>
          <w:rFonts w:ascii="Times New Roman" w:cs="Times New Roman" w:eastAsia="Times New Roman" w:hAnsi="Times New Roman"/>
          <w:sz w:val="18"/>
          <w:szCs w:val="18"/>
          <w:color w:val="auto"/>
        </w:rPr>
      </w:pPr>
    </w:p>
    <w:p>
      <w:pPr>
        <w:ind w:left="700" w:right="280" w:hanging="256"/>
        <w:spacing w:after="0" w:line="332" w:lineRule="auto"/>
        <w:tabs>
          <w:tab w:leader="none" w:pos="7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in its sole discretion may decide to only redeem some (and not all) of such person’s shares, which may include the selection of the most recently purchased or acquired shares, selection by lot or selection by such other manner as the board of directors may determine;</w:t>
      </w:r>
    </w:p>
    <w:p>
      <w:pPr>
        <w:spacing w:after="0" w:line="176" w:lineRule="exact"/>
        <w:rPr>
          <w:rFonts w:ascii="Times New Roman" w:cs="Times New Roman" w:eastAsia="Times New Roman" w:hAnsi="Times New Roman"/>
          <w:sz w:val="16"/>
          <w:szCs w:val="16"/>
          <w:color w:val="auto"/>
        </w:rPr>
      </w:pPr>
    </w:p>
    <w:p>
      <w:pPr>
        <w:ind w:left="700" w:right="320" w:hanging="256"/>
        <w:spacing w:after="0" w:line="252" w:lineRule="auto"/>
        <w:tabs>
          <w:tab w:leader="none" w:pos="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provide at least 15 days’ prior written notice of the date on which we plan to effect the redemption (unless waived by such person); provided, that the redemption date may be the date on which written notice is given to such person if the cash (or any other of our debt or equity securities) necessary to effect the redemption has been deposited in trust for the benefit of such person and is subject to immediate withdrawal by such person upon surrender of the stock certificates for the redeemed shares;</w:t>
      </w:r>
    </w:p>
    <w:p>
      <w:pPr>
        <w:spacing w:after="0" w:line="250" w:lineRule="exact"/>
        <w:rPr>
          <w:rFonts w:ascii="Times New Roman" w:cs="Times New Roman" w:eastAsia="Times New Roman" w:hAnsi="Times New Roman"/>
          <w:sz w:val="18"/>
          <w:szCs w:val="18"/>
          <w:color w:val="auto"/>
        </w:rPr>
      </w:pPr>
    </w:p>
    <w:p>
      <w:pPr>
        <w:ind w:left="700" w:right="380" w:hanging="256"/>
        <w:spacing w:after="0" w:line="269" w:lineRule="auto"/>
        <w:tabs>
          <w:tab w:leader="none" w:pos="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the redemption, any and all rights relating to the redeemed shares shall cease and terminate and such person shall only possess the right to obtain cash (or such other of our debt or equity securities) payable upon the redemption; and</w:t>
      </w:r>
    </w:p>
    <w:p>
      <w:pPr>
        <w:spacing w:after="0" w:line="234"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terms and conditions as the board of directors may determine.</w:t>
      </w:r>
    </w:p>
    <w:p>
      <w:pPr>
        <w:spacing w:after="0" w:line="31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i w:val="1"/>
          <w:iCs w:val="1"/>
          <w:color w:val="auto"/>
        </w:rPr>
        <w:t>REIT Restrictions</w:t>
      </w:r>
      <w:r>
        <w:rPr>
          <w:rFonts w:ascii="Times New Roman" w:cs="Times New Roman" w:eastAsia="Times New Roman" w:hAnsi="Times New Roman"/>
          <w:sz w:val="18"/>
          <w:szCs w:val="18"/>
          <w:color w:val="auto"/>
        </w:rPr>
        <w:t>. For us to qualify as a REIT under the Code, our stock must be beneficially owned by 100 or more persons during at least 335 days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year of 12 months or during a proportionate part of a shorter taxable year. In addition, not more than 50% of the value of the outstanding shares of our stock may be owned, directly or indirectly, by five or fewer “individuals” (as defined in the Code to include specified tax-exempt entities) during the last half of a taxable year. To ensure that these ownership requirements and other requirements for continued qualification as a REIT are met and to otherwise protect us from the consequences of a concentration of ownership among our stockholders, our Certificate of Incorporation contains provisions restricting the ownership or transfer of shares of our stock.</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relevant sections of our Certificate of Incorporation provide that, subject to the exceptions and the constructive ownership rules described below, no person (as defined in our Certificate of Incorporation) may beneficially or constructively own more than 9.8% in value of our aggregate outstanding stock, or more than 9.8% in value or number (whichever is more restrictive) of the outstanding shares of any class or series of our stock. We refer to these restrictions as the “ownership limits.”</w:t>
      </w:r>
    </w:p>
    <w:p>
      <w:pPr>
        <w:spacing w:after="0" w:line="18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applicable constructive ownership rules under the Code are complex and may cause stock owned, actually or constructively, by a group of related individuals or entities to be treated as owned by one individual or entity. As a result, the acquisition of less than 9.8% in value of our aggregate outstanding stock or less than 9.8% in value or number of our outstanding shares of any class or series of stock (including through the acquisition of an interest in an entity that owns, actually or constructively, any class or series of our stock) by an individual or entity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1438" w:right="359" w:bottom="1440" w:gutter="0" w:footer="0" w:header="0"/>
        </w:sectPr>
      </w:pPr>
    </w:p>
    <w:bookmarkStart w:id="142" w:name="page143"/>
    <w:bookmarkEnd w:id="142"/>
    <w:p>
      <w:pPr>
        <w:spacing w:after="0" w:line="157"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8"/>
          <w:szCs w:val="18"/>
          <w:color w:val="auto"/>
        </w:rPr>
        <w:t>nevertheless cause that individual or entity, or another individual or entity, to own, constructively or beneficially, in excess of 9.8% in value of our aggregate outstanding stock or 9.8% in value or number of our outstanding shares of any class or series of stock.</w:t>
      </w:r>
    </w:p>
    <w:p>
      <w:pPr>
        <w:spacing w:after="0" w:line="168"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In addition to the ownership limits, our Certificate of Incorporation prohibits any person from actually or constructively owning shares of our stock to the extent that such ownership would cause any of our income that would otherwise qualify as “rents from real property” for purposes of Section 856(d) of the Code to fail to qualify as such.</w:t>
      </w:r>
    </w:p>
    <w:p>
      <w:pPr>
        <w:spacing w:after="0" w:line="18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 board of directors may, in its sole discretion, exempt a person from the ownership limits and certain other REIT limits on ownership and transfer of our stock described above, and may establish a different limit on ownership for that person. However, the board of directors may not exempt any person whose ownership of outstanding stock in violation of these limits would result in our failing to qualify as a REIT. In order to be considered by the board of directors for an exemption or a different limit on ownership, a person must make such representations and undertakings as are reasonably necessary to ascertain that the person’s beneficial or constructive ownership of our stock will not now or in the future jeopardize our ability to qualify as a REIT and must agree that any violation or attempted violation of those representations or undertakings (or other action that is contrary to the ownership limits and certain other REIT limits on ownership and transfer of our stock described above) will result in the shares of stock being automatically transferred to a trust as described below. As a condition of its waiver, the board of directors may require an opinion of counsel or United States Internal Revenue Service (“IRS”) ruling satisfactory to it with respect to our qualification as a REIT and may impose such other conditions as it deems appropriate in connection with the granting of the exemption or different limit on ownership.</w:t>
      </w:r>
    </w:p>
    <w:p>
      <w:pPr>
        <w:spacing w:after="0" w:line="18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connection with the waiver of the ownership limits or at any other time, the board of directors may from time to time increase the ownership limits for one or more persons and decrease the ownership limits for all other persons; provided that the new ownership limits may not, after giving effect to such increase and under certain assumptions stated in our Certificate of Incorporation, result in us being “closely held” within the meaning of Section 856(h) of the Code (without regard to whether the ownership interests are held during the last half of a taxable year). Reduced ownership limits will not apply to any person whose percentage ownership of our aggregate outstanding stock or of the shares of a class or series of our stock, as applicable, is in excess of such decreased ownership limits until such time as that person’s percentage of our aggregate outstanding stock or of the shares of a class or series of stock, as applicable, equals or falls below the decreased ownership limits, but any further acquisition of shares of our stock or of a class or series of our stock, as applicable, in excess of such percentage ownership of shares of stock or of a class or series of stock will be in violation of the ownership limits.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further prohibits:</w:t>
      </w:r>
    </w:p>
    <w:p>
      <w:pPr>
        <w:spacing w:after="0" w:line="56" w:lineRule="exact"/>
        <w:rPr>
          <w:sz w:val="20"/>
          <w:szCs w:val="20"/>
          <w:color w:val="auto"/>
        </w:rPr>
      </w:pPr>
    </w:p>
    <w:p>
      <w:pPr>
        <w:ind w:left="700" w:right="300" w:hanging="256"/>
        <w:spacing w:after="0" w:line="269" w:lineRule="auto"/>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from transferring shares of our stock if the transfer would result in our aggregate outstanding stock being beneficially owned by fewer than 100 persons (determined without reference to any rules of attribution); and</w:t>
      </w:r>
    </w:p>
    <w:p>
      <w:pPr>
        <w:spacing w:after="0" w:line="234"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from beneficially or constructively owning shares of our stock if that ownership would result in our failing to qualify as a REIT.</w:t>
      </w:r>
    </w:p>
    <w:p>
      <w:pPr>
        <w:spacing w:after="0" w:line="32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The foregoing provisions on transferability and ownership will not apply if the board of directors determines that it is no longer in our best interests to attempt to qualify, or to continue to qualify, as a REIT.</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person who acquires, or attempts or intends to acquire, beneficial or constructive ownership of shares of our stock that will or may violate the ownership limits or any of the other foregoing restrictions on transferability and ownership will be required to give notice to us immediately (or, in the case of a proposed or attempted transaction, at least 15 days prior to the transaction) and provide us with such other information as we may request in order to determine the effect, if any, of the transfer on our qualification as a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5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Pursuant to our Certificate of Incorporation, if there is any purported transfer of our stock or other event or change of circumstances that, if effective or otherwise, would violate any of the restrictions described above, then the number of shares causing the violation (rounded up to the nearest whole share) will be automatically transferred to a trust for the exclusive benefit of a designated charitable beneficiary, except that any transfer that results in the violation of the restriction relating to our stock being beneficially owned by fewer than 100 persons will be automatically void and of no force or effect. The automatic transfer will be effective as of the close of business on the business day prior to the date of the purported transfer or other event or change of circumstances that requires the transfer to the trust. We refer below to the person that would have owned the shares if they had not been transferred to the trust as the purported transferee. Any ordinary dividend paid to the purported transferee prior to our discovery that the shares had been automatically transferred to a trust as described above must be repaid to the trustee upon demand. Our Certificate of Incorporation also provides for adjustments to the entitlement to receive extraordinary dividends and other distributions as between the purported transferee and the trust. If the transfer to the trust as described above is not automatically effective for any reason, to prevent violation of the applicable restriction contained in our Certificate of Incorporation, the transfer of the excess shares will be automatically void and of no force or effect.</w:t>
      </w:r>
    </w:p>
    <w:p>
      <w:pPr>
        <w:spacing w:after="0" w:line="19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Shares of our stock transferred to the trustee are deemed to be offered for sale to us or our designee at a price per share equal to the lesser of (i) the price per share in the transaction that resulted in the transfer to the trust or, if the purported transferee did not give value for the shares in connection with the event causing the shares to be held in trust (e.g., in the case of a gift, devise or other similar transaction), the market price on the day of the event and (ii) the market price on the date we accept, or our designee accepts, the offer. We have the right to accept the offer until the trustee has sold the shares of our stock held in the trust pursuant to the clauses discussed below. Upon a sale</w:t>
      </w:r>
    </w:p>
    <w:p>
      <w:pPr>
        <w:spacing w:after="0" w:line="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to us, the interest of the charitable beneficiary in the shares sold terminates and the trustee must distribute the net proceeds of the sale to the purported transferee, except that the trustee may reduce the amount payable to the purported transferee by the amount of any ordinary dividends that we paid to the purported transferee prior to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and any ordinary dividends held by the trustee with respect to the stock will be paid to the charitable beneficiary.</w:t>
      </w:r>
    </w:p>
    <w:p>
      <w:pPr>
        <w:spacing w:after="0" w:line="19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If we do not buy the shares, the trustee must, as soon as reasonably practicable (and, if the shares are listed on a national securities exchange, within 20 days) after receiving notice from us of the transfer of shares to the trust, sell the shares to a person or entity who could own the shares without violating the restrictions described above. Upon such a sale, the trustee must distribute to the purported transferee an amount equal to the lesser of (i) the price paid by the purported transferee for the shares or, if the purported transferee did not give value for the shares in connection with the event causing the shares to be held in trust (e.g., in the case of a gift, devise or other such transaction), the market price of the shares on the day of the event causing the shares to be held in the trust, and (ii) the sales proceeds (net of commissions and other expenses of sale) received by the trustee for the shares. The trustee may reduce the amount payable to the purported transferee by the amount of any ordinary dividends that we paid to the purported transferee before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together with any ordinary dividends held by the trustee with respect to such stock. In addition, if prior to discovery by us that shares of stock have been transferred to a trust, the shares of stock are sold by a purported transferee, then the shares will be deemed to have been sold on behalf of the trust and, to the extent that the purported transferee received an amount for or in respect of the shares that exceeds the amount that the purported transferee was entitled to receive as described above, the excess amount will be paid to the trustee upon demand. The purported transferee has no rights in the shares held by the trustee.</w:t>
      </w:r>
    </w:p>
    <w:p>
      <w:pPr>
        <w:spacing w:after="0" w:line="19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trustee will be indemnified by us or from the proceeds of sales of stock in the trust for its costs and expenses reasonably incurred in connection with conducting its duties and satisfying its obligations under our Certificate of Incorporation. The trustee will also be entitled to reasonable compensation for services provided as determined by agreement between the trustee and the board of directors, which compensation may be funded by us or the trust. If we pay any such indemnification or compensation, we are entitled on a first priority basis (subject to the trustee’s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57"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18"/>
          <w:szCs w:val="18"/>
          <w:color w:val="auto"/>
        </w:rPr>
        <w:t>indemnification and compensation rights) to be reimbursed from the trust. To the extent the trust funds any such indemnification and compensation, the amounts available for payment to a purported transferee (or the charitable beneficiary) would be reduced.</w:t>
      </w:r>
    </w:p>
    <w:p>
      <w:pPr>
        <w:spacing w:after="0" w:line="168" w:lineRule="exact"/>
        <w:rPr>
          <w:sz w:val="20"/>
          <w:szCs w:val="20"/>
          <w:color w:val="auto"/>
        </w:rPr>
      </w:pPr>
    </w:p>
    <w:p>
      <w:pPr>
        <w:ind w:right="60"/>
        <w:spacing w:after="0" w:line="332" w:lineRule="auto"/>
        <w:rPr>
          <w:sz w:val="20"/>
          <w:szCs w:val="20"/>
          <w:color w:val="auto"/>
        </w:rPr>
      </w:pPr>
      <w:r>
        <w:rPr>
          <w:rFonts w:ascii="Times New Roman" w:cs="Times New Roman" w:eastAsia="Times New Roman" w:hAnsi="Times New Roman"/>
          <w:sz w:val="16"/>
          <w:szCs w:val="16"/>
          <w:color w:val="auto"/>
        </w:rPr>
        <w:t>The trustee will be designated by us and must be unaffiliated with us and with any purported transferee. Prior to the sale of any shares by the trust, the trustee will receive, in trust for the beneficiary, all distributions paid by us with respect to the shares, and may also exercise all voting rights with respect to the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Subject to the DGCL, effective as of the date that the shares have been transferred to the trust, the trustee will have the authority, at the trustee’s sole discretion:</w:t>
      </w:r>
    </w:p>
    <w:p>
      <w:pPr>
        <w:spacing w:after="0" w:line="79" w:lineRule="exact"/>
        <w:rPr>
          <w:sz w:val="20"/>
          <w:szCs w:val="20"/>
          <w:color w:val="auto"/>
        </w:rPr>
      </w:pPr>
    </w:p>
    <w:p>
      <w:pPr>
        <w:ind w:left="700" w:hanging="256"/>
        <w:spacing w:after="0"/>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rescind as void any vote cast by a purported transferee prior to our discovery that the shares have been transferred to the trust; and</w:t>
      </w:r>
    </w:p>
    <w:p>
      <w:pPr>
        <w:spacing w:after="0" w:line="280"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recast the vote in accordance with the desires of the trustee acting for the benefit of the charitable beneficiary of the trust.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if we have already taken corporate action, then the trustee may not rescind and recast the vote.</w:t>
      </w:r>
    </w:p>
    <w:p>
      <w:pPr>
        <w:spacing w:after="0" w:line="2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if our board of directors determines that a proposed or purported transfer would violate the restrictions on ownership and transfer of our stock set forth in our Certificate of Incorporation, our board of directors may take such action as it deems advisable to refuse to give effect to or to prevent the violation, including but not limited to, causing us to repurchase shares of our stock, refusing to give effect to the transfer on our books or instituting proceedings to enjoin the transfer.</w:t>
      </w:r>
    </w:p>
    <w:p>
      <w:pPr>
        <w:spacing w:after="0" w:line="21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Following the end of each REIT taxable year, every owner of 5% or more (or such lower percentage as required by the Code or the Treasury regulations promulgated thereunder) of the outstanding shares of any class or series of our stock, must, upon request, provide us written notice of the person’s name and address, the number of shares of each class and series of our stock that the person beneficially owns and a description of the manner in which the shares are held. Each such owner must also provide us with such additional information as we may request in order to determine the effect, if any, of such owner’s beneficial ownership on our qualification as a REIT and to ensure compliance with the ownership limits. In addition, each beneficial owner or constructive owner of our stock, and any person (including the stockholder of record) who is holding shares of our stock for a beneficial owner or constructive owner will, upon demand, be required to provide us with such information as we may request in good faith in order to determine our qualification as a REIT and to comply with the requirements of any taxing authority or governmental authority or to determine such compliance.</w:t>
      </w:r>
    </w:p>
    <w:p>
      <w:pPr>
        <w:spacing w:after="0" w:line="19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noted above, the rights, preferences and privileges of the holders of our common stock may be affected by the rights, preferences and privileges granted to holders of preferred stock. Because our board of directors will have the power to establish the preferences and rights of each series of preferred stock, it may afford the stockholders of any series of preferred stock preferences, powers and rights senior to the rights of holders of shares of our common stock that could have the effect of delaying, deferring or preventing a change in control of American Tower. See “Description of Preferred Stock” for more information about our preferred stock.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Provisions</w:t>
      </w:r>
    </w:p>
    <w:p>
      <w:pPr>
        <w:spacing w:after="0" w:line="1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Section 203 prohibits a publicly held Delaware corporation from engaging in a “business combination” with an “interested stockholder” for a period of three years after the person became an interested stockholder, unless the business combination or the transaction in which the stockholder became an interested stockholder is approved in a prescribed manner. A “business combination” includes mergers, asset sales and other transactions resulting in a financial benefit to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5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Subject to certain exceptions, an “interested stockholder” is a person who, together with affiliates and associates, owns, or within the prior three years owned, 15% or more of the corporation’s voting stock.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our Certificate of Incorporation and By-Laws</w:t>
      </w:r>
    </w:p>
    <w:p>
      <w:pPr>
        <w:spacing w:after="0" w:line="11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of directors, other than nominations made by, or at the direction of, our board of directors.</w:t>
      </w:r>
    </w:p>
    <w:p>
      <w:pPr>
        <w:spacing w:after="0" w:line="1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proxy access provisions in our By-Laws permit a stockholder, or a group of up to 20 stockholders who have owned at least three percent (3%) of the voting power of outstanding American Tower common stock continuously for at least three (3) years, to nominate and include in our proxy materials, qualifying director nominees constituting up to 25% of our Board of Directors. To be timely, any proxy access notice must be delivered in writing to our secretary not less than 120 days and not more than 150 days prior to the first anniversary of the preceding year’s annual meeting; provided that in the event that the date of the annual meeting is advanced by more than 30 days or delayed (other than as a result of adjournment) by more than 70 days from the one-year anniversary of the preceding year’s annual meeting, a stockholder’s notice must be received no later than the later of (a) the 120th day prior to such annual meeting and (b) the 10th day following the day on which notice of the date of such annual meeting was first publicly disclosed by us. The complete proxy access provisions for director nominations are set forth in our By-Laws.</w:t>
      </w:r>
    </w:p>
    <w:p>
      <w:pPr>
        <w:spacing w:after="0" w:line="19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These advance notice and proxy access procedures may impede stockholders’ ability to bring matters before a meeting of stockholders or make nominations for directors at a meeting of stockholders.</w:t>
      </w:r>
    </w:p>
    <w:p>
      <w:pPr>
        <w:spacing w:after="0" w:line="16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Our Certificate of Incorporation includes provisions eliminating the personal liability of our directors to the fullest extent permitted by the DGCL and indemnifying our directors and officers to the fullest extent permitted by the DGCL. The limitation of liability and indemnification provisions in our Certificate of Incorporation may discourage stockholders from bringing a lawsuit against directors for breach of their fiduciary duty. These provisions may also have the effect of reducing the likelihood of derivative litigation against directors and officers, even though a derivative action, if successful, might otherwise benefit us and our stockholders. In addition, the value of investments in our securities may be adversely affected to the extent we pay the costs of settlement and damage awards against directors and officers pursuant to these indemnification provisions.</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Our Certificate of Incorporation provides that any or all of the directors may be removed at any time, either with or without cause, by a vote of a majority of the shares outstanding and entitled to vote. This provision may delay or prevent our stockholders from removing incumbent directors.</w:t>
      </w:r>
    </w:p>
    <w:p>
      <w:pPr>
        <w:spacing w:after="0" w:line="168"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8"/>
          <w:szCs w:val="18"/>
          <w:color w:val="auto"/>
        </w:rPr>
        <w:t>The ownership and transfer restrictions contained in our Certificate of Incorporation, and described above, may have the effect of inhibiting or impeding a change in control.</w:t>
      </w:r>
    </w:p>
    <w:p>
      <w:pPr>
        <w:spacing w:after="0" w:line="16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our By-Laws may be altered, amended, changed or repealed by (i) the approval or consent of not less than a majority of the total outstanding shares of stock entitled to vote generally in the election of directors or (ii) a majority of the entire board of directors.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our Debt Obligations</w:t>
      </w:r>
    </w:p>
    <w:p>
      <w:pPr>
        <w:spacing w:after="0" w:line="11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Change of control and merger, consolidation and asset sale provisions in our indentures for our outstanding notes and loan agreements for our credit facilities may discourage a takeover attempt. These provisions may make acquiring us more difficult.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(the “NYSE”) under the symbol “AMT.”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Inc., P.O. Box 43006, Providence, RI 02940, (866) 201-5087.</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1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color w:val="auto"/>
        </w:rPr>
        <w:t>The following description of the 1.950% Notes, 0.500% Notes, the 1.000% Notes, the 0.450% Notes, the 0.875% Notes, the 1.250% Notes, the 0.400% Notes, the 0.950% Notes, the 4.125% Notes, the 4.625% Notes, the 3.900% Notes, the 4.100% Notes and the 3.625% Notes (together, the “notes”), is a summary and does not purport to be complete. The 1.950% Notes are subject to and qualified in their entirety by reference to the indenture, dated as of May 23, 2013 (the “2013 Base Indenture”), by and between the Company and U.S. Bank Trust Company, National Association (“U.S. Bank”), as successor in interest to U.S. Bank National Association, as trustee, as supplemented by the Supplemental Indenture No. 10, dated as of May 22, 2018, by and among the Company, U.S. Bank, as successor in interest to U.S. Bank National Association, as trustee, and Elavon Financial Services DAC, UK Branch (“Elavon”), as paying agent (with the 2013 Base Indenture, the “2013 indenture”), which are incorporated by reference as exhibits to the Form 10-K of which this Exhibit 4.35 is a part. The</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0.500% Notes, the 1.000% Notes, 0.450% Notes, the 0.875% Notes, the 1.250% Notes, the 0.400% Notes and the 0.950% Notes, are subject to and qualified in their entirety by reference to the indenture, dated as of June 4, 2019 (the “2019 Base Indenture”), by and between the Company and U.S. Bank, as successor in interest to U.S. Bank National Association, as trustee, as supplemented, in the case of the 0.500% Notes and the 1.000% Notes, by the Supplemental Indenture No. 5, dated as of September 10, 2020, by and among the Company, U.S. Bank, as successor in interest to U.S. Bank National Association, as trustee, and Elavon, as paying agent, in the case of the 0.450% Notes, the 0.875% Notes and the 1.250% Notes, by the Supplemental Indenture No. 9, dated as of May 21, 2021, by and among the Company, U.S. Bank, as successor in interest to U.S. Bank National Association, as trustee, and Elavon, as paying agent, and in the case of the 0.400% Notes and the 0.950% Notes, by the Supplemental Indenture No. 11, dated as of October 5, 2021, by and among the Company, U.S. Bank, as successor in interest to U.S. Bank National Association, as trustee, and Elavon, as paying agent (collectively with the 2019 Base Indenture, the Supplemental Indenture No. 5 and the Supplemental Indenture No. 9, the “2019 indenture”), which are incorporated by reference as exhibits to the Form 10-K of which this Exhibit 4.35 is a part. The 4.125% Notes, the 4.625% Notes, the 3.900% Notes, the 4.100% Notes and the 3.625% Notes are subject to and qualified in their entirety by reference to the indenture, dated as of June 1, 2022 (the “2022 Base Indenture”), by and between the Company and U.S. Bank, as trustee, as supplemented, in the case of the 4.125% Notes and the 4.625% Notes, by the Supplemental Indenture No. 2 dated as of May 16, 2023, by and among the Company, U.S. Bank, as trustee, and Elavon, as paying agent, in the case of the 3.900% Notes and the 4.100% Notes, by the Supplemental Indenture No. 6, dated as of May 29, 2024, by and among the Company, U.S. Bank, as trustee, and Elavon, as paying agent, and in the case of the 3.625% Notes, by the Supplemental Indenture No. 9, dated as of May 30, 2025, by and among the Company, U.S. Bank, as trustee, and U.S. Bank Europe DAC, UK Branch, as paying agent (collectively with the 2022 Base Indenture, the Supplemental Indenture No. 2 and the Supplemental Indenture No. 6, the “2022 indenture,” and, the 2013 indenture, the 2019 indenture and the 2022 indenture, each an “indenture”), which are incorporated by reference as exhibits to the Form 10-K of which this Exhibit 4.35 is a part.</w:t>
      </w:r>
    </w:p>
    <w:p>
      <w:pPr>
        <w:spacing w:after="0" w:line="1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You can find the definitions of certain terms used in this description under the subheading “—Certain Definitions.” Unless otherwise defined herein, capitalized terms used herein shall have the meanings given to them in the indenture and applicable supplemental indenture. Unless otherwise defined herein, capitalized terms used herein shall have the meanings given to them in the indenture. In this description, the references to “American Tower,” “we,” “us” or “our” refer only to American Tower Corporation (and not to any of its affiliates, including Subsidiaries, as defined below).</w:t>
      </w:r>
    </w:p>
    <w:p>
      <w:pPr>
        <w:spacing w:after="0" w:line="18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1.950% Notes were initially issued in an aggregate principal amount of €500,000,000. The 0.500% Notes were initially issued in an aggregate principal amount of €750,000,000. The 1.000% Notes were initially issued in an aggregate principal amount of €650,000,000. The 0.450% Notes were initially issued in an aggregate principal amount of €750,000,000. The 0.875% Notes were initially issued in an aggregate principal amount of €750,000,000. The 1.250% Notes were initially issued in an aggregate principal amount of €500,000,000. The 0.400% Notes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5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initially issued in an aggregate principal amount of €500,000,000. The 0.950% Notes were initially issued in an aggregate principal amount of €500,000,000. The 4.125% Notes were initially issued in an aggregate principal amount of €600,000,000. The 4.625% Notes were initially issued in an aggregate principal amount of €500,000,000. The 3.900% Notes were initially issued in an aggregate principal amount of €500,000,000. The 4.100% Notes were initially issued in an aggregate principal amount of €500,000,000. The 3.625% Notes were initially issued in an aggregate amount of €500,000,000. The notes are senior unsecured obligations and rank equally with our other unsecured and unsubordinated debt from time to time outstanding. The notes were issued in minimum denominations of €100,000 and multiples of €1,000 thereafter.</w:t>
      </w:r>
    </w:p>
    <w:p>
      <w:pPr>
        <w:spacing w:after="0" w:line="1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1.950% Notes, the 0.450% Notes, the 0.400% Notes, the 4.125% Notes, the 0.500% Notes, the 0.875% Notes, the 3.900% Notes, the 0.950% Notes, the 4.625% Notes, the 1.000% Notes, the 3.625% Notes, 1.250% Notes, and the 4.100% Notes are each traded on the NYSE under the symbols “AMT 26B,” “AMT 27C,” “AMT 27D,” “AMT 27F,” “AMT 28A,” “AMT 29B,” “AMT 30D,” “AMT 30C,” “AMT 31B,” “AMT 32,” “AMT 32B,” “AMT 33” and “AMT 34A” respectively. We may, without the consent of the holders of the notes, issue additional notes having the same ranking, interest rate, maturity and other terms as the notes previously issued. Any additional notes having such similar terms, together with the notes previously issued, will constitute a single series of notes under the indenture. Further, any additional notes shall be issued under a separate CUSIP or ISIN number unless the additional notes are issued pursuant to a “qualified reopening” of the original series, are otherwise treated as part of the same “issue” of debt instruments as the original series or are issued with no more than a de minimis amount of original issue discount, in each case for U.S. federal income tax purposes.</w:t>
      </w:r>
    </w:p>
    <w:p>
      <w:pPr>
        <w:spacing w:after="0" w:line="193"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The 1.950% Notes will mature on May 22, 2026. Accrued and unpaid interest on the 1.950% Notes is payable in euros annually in arrears on May 22 of each year, which we refer to as the “interest payment date,” beginning on May 22, 2019 to the persons in whose names the 1.950% Notes are registered at the close of business on the preceding May 1, which we refer to as the “record date.” Interest on the 1.950% Notes has accrued from May 22, 2018.</w:t>
      </w:r>
    </w:p>
    <w:p>
      <w:pPr>
        <w:spacing w:after="0" w:line="181"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color w:val="auto"/>
        </w:rPr>
        <w:t>The 0.450% Notes will mature on January 15, 2027. Accrued and unpaid interest on the 0.450% Notes is payable in euros annually in arrears on January 15 of each year, which we refer to as the “interest payment date,” beginning on January 15, 2022 to the persons in whose names the 0.450% Notes are registered at the close of business on the preceding January 1, which we refer to as the “record date.” Interest on the 0.450% Notes has accrued from May 21, 2021.</w:t>
      </w:r>
    </w:p>
    <w:p>
      <w:pPr>
        <w:spacing w:after="0" w:line="146" w:lineRule="exact"/>
        <w:rPr>
          <w:sz w:val="20"/>
          <w:szCs w:val="20"/>
          <w:color w:val="auto"/>
        </w:rPr>
      </w:pPr>
    </w:p>
    <w:p>
      <w:pPr>
        <w:jc w:val="both"/>
        <w:ind w:right="60"/>
        <w:spacing w:after="0" w:line="303" w:lineRule="auto"/>
        <w:rPr>
          <w:sz w:val="20"/>
          <w:szCs w:val="20"/>
          <w:color w:val="auto"/>
        </w:rPr>
      </w:pPr>
      <w:r>
        <w:rPr>
          <w:rFonts w:ascii="Times New Roman" w:cs="Times New Roman" w:eastAsia="Times New Roman" w:hAnsi="Times New Roman"/>
          <w:sz w:val="16"/>
          <w:szCs w:val="16"/>
          <w:color w:val="auto"/>
        </w:rPr>
        <w:t>The 0.400% Notes will mature on February 15, 2027. Accrued and unpaid interest on the 0.400% Notes is payable in euros annually in arrears on February 15 of each year, which we refer to as the “interest payment date,” beginning on February 15, 2022 to the persons in whose names the 0.400% Notes are registered at the close of business on the preceding February 1, which we refer to as the “record date.” Interest on the 0.400% Notes has accrued from October 5, 2021.</w:t>
      </w:r>
    </w:p>
    <w:p>
      <w:pPr>
        <w:spacing w:after="0" w:line="146"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The 4.125% Notes will mature on May 16, 2027. Accrued and unpaid interest on the 4.125% Notes is payable in euros annually in arrears on May 16 of each year, which we refer to as the “interest payment date,” beginning on May 16, 2024 to the persons in whose names the 4.125% Notes are registered at the close of business on the preceding May 1, which we refer to as the “record date.” Interest on the 4.125% Notes has accrued from May 16, 2024.</w:t>
      </w:r>
    </w:p>
    <w:p>
      <w:pPr>
        <w:spacing w:after="0" w:line="181"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color w:val="auto"/>
        </w:rPr>
        <w:t>The 0.500% Notes will mature on January 15, 2028. Accrued and unpaid interest on the 0.500% Notes is payable in euros annually in arrears on January 15 of each year, which we refer to as the “interest payment date,” beginning on January 15, 2021 to the persons in whose names the 0.500% Notes are registered at the close of business on the preceding January 1, which we refer to as the “record date.” Interest on the 0.500% Notes has accrued from September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00"/>
          </w:cols>
          <w:pgMar w:left="320" w:top="1440" w:right="379" w:bottom="1440" w:gutter="0" w:footer="0" w:header="0"/>
        </w:sectPr>
      </w:pPr>
    </w:p>
    <w:bookmarkStart w:id="148" w:name="page149"/>
    <w:bookmarkEnd w:id="148"/>
    <w:p>
      <w:pPr>
        <w:spacing w:after="0" w:line="157"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The 0.875% Notes will mature on May 21, 2029. Accrued and unpaid interest on the 0.875% Notes is payable in euros annually in arrears on May 21 of each year, which we refer to as the “interest payment date,” beginning on May 21, 2021 to the persons in whose names the 0.875% Notes are registered at the close of business on the preceding May 6, which we refer to as the “record date.” Interest on the 0.875% Notes has accrued from May 21, 2021.</w:t>
      </w:r>
    </w:p>
    <w:p>
      <w:pPr>
        <w:spacing w:after="0" w:line="18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The 3.900% Notes will mature on May 16, 2030. Accrued and unpaid interest on the 3.900% Notes is payable in euros annually in arrears on May 16 of each year, which we refer to as the “interest payment date,” beginning on May 16, 2025 to the persons in whose names the 3.900% Notes are registered at the close of business on the preceding May 1, which we refer to as the “record date.” Interest on the 3.900% Notes has accrued from May 29, 2024.</w:t>
      </w:r>
    </w:p>
    <w:p>
      <w:pPr>
        <w:spacing w:after="0" w:line="18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color w:val="auto"/>
        </w:rPr>
        <w:t>The 0.950% Notes will mature on October 5, 2030. Accrued and unpaid interest on the 0.950% Notes is payable in euros annually in arrears on October 5 of each year, which we refer to as the “interest payment date,” beginning on October 5, 2022 to the persons in whose names the 0.950% Notes are registered at the close of business on the preceding September 20, which we refer to as the “record date.” Interest on the 0.950% Notes has accrued from October 5, 2021.</w:t>
      </w:r>
    </w:p>
    <w:p>
      <w:pPr>
        <w:spacing w:after="0" w:line="14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The 4.625% Notes will mature on May 16, 2031. Accrued and unpaid interest on the 4.625% Notes is payable in euros annually in arrears on May 16 of each year, which we refer to as the “interest payment date,” beginning on May 16, 2024 to the persons in whose names the 4.625% Notes are registered at the close of business on the preceding May 16, which we refer to as the “record date.” Interest on the 4.625% Notes has accrued from May 16, 2024.</w:t>
      </w:r>
    </w:p>
    <w:p>
      <w:pPr>
        <w:spacing w:after="0" w:line="181"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6"/>
          <w:szCs w:val="16"/>
          <w:color w:val="auto"/>
        </w:rPr>
        <w:t>The 1.000% Notes will mature on January 15, 2032. Accrued and unpaid interest on the 1.000% Notes is payable in euros annually in arrears on January 15 of each year, which we refer to as the “interest payment date,” beginning on January 15, 2021 to the persons in whose names the 1.000% Notes are registered at the close of business on the preceding January 1, which we refer to as the “record date.” Interest on the 0.500% Notes has accrued from September 10, 2020.</w:t>
      </w:r>
    </w:p>
    <w:p>
      <w:pPr>
        <w:spacing w:after="0" w:line="14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The 3.625% Notes will mature on May 30, 2032. Accrued and unpaid interest on the 3.625% Notes is payable in euros annually in arrears on May 30 of each year, which we refer to as the “interest payment date,” beginning on May 30, 2026 to the persons in whose names the 3.625% Notes are registered at the close of business on the preceding May 15, which we refer to as the “record date.” Interest on the 3.625% Notes has accrued from May 30, 2025.</w:t>
      </w:r>
    </w:p>
    <w:p>
      <w:pPr>
        <w:spacing w:after="0" w:line="18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The 1.250% Notes will mature on May 21, 2033. Accrued and unpaid interest on the 1.250% Notes is payable in euros annually in arrears on May 21 of each year, which we refer to as the “interest payment date,” beginning on May 21, 2021 to the persons in whose names the 1.250% Notes are registered at the close of business on the preceding May 6, which we refer to as the “record date.” Interest on the 1.250% Notes has accrued from May 21, 2021.</w:t>
      </w:r>
    </w:p>
    <w:p>
      <w:pPr>
        <w:spacing w:after="0" w:line="18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The 4.100% Notes will mature on May 16, 2034. Accrued and unpaid interest on the 4.100% Notes is payable in euros annually in arrears on May 16 of each year, which we refer to as the “interest payment date,” beginning on May 16, 2025 to the persons in whose names the 4.100% Notes are registered at the close of business on the preceding May 1, which we refer to as the “record date.” Interest on the 4.100% Notes has accrued from May 29, 2024.</w:t>
      </w:r>
    </w:p>
    <w:p>
      <w:pPr>
        <w:spacing w:after="0" w:line="18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Interest on the notes will be computed on the basis of the actual number of days in the period for which interest is being calculated and the actual number of days from and including the last date on which interest was paid on the notes, to but excluding the next scheduled interest payment date. This payment convention is referred to as ACTUAL/ACTUAL (ICMA) as defined in the rulebook of the International Capital Market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57"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8"/>
          <w:szCs w:val="18"/>
          <w:color w:val="auto"/>
        </w:rPr>
        <w:t>Any payment required to be made on any day that is not a Business Day will be made on the next Business Day as if made on the date that the payment was due and no interest will accrue on that payment for the period from the original payment date to the date of that payment on the next Business Day.</w:t>
      </w:r>
    </w:p>
    <w:p>
      <w:pPr>
        <w:spacing w:after="0" w:line="16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We will pay principal, interest, premium, if any, and additional amounts, if any, on the notes in euros and at the office or agency maintained for that purpose, which initially will be the office of the paying agent located at 125 Old Broad Street, Fifth Floor, London EC2N 1AR, United Kingdom. We will register the transfer of the notes and exchange the notes at our office or agency maintained for that purpose, which initially will be the Corporate Trust Office of the trustee. We have initially appointed U.S. Bank Europe DAC, UK Branch (formerly named Elavon) to act as paying agent in connection with the notes, and we have appointed U.S. Bank to act as transfer agent and registrar. We may change the paying agent or transfer agent and registrar without prior notice to the holders of the notes, and we or any of our subsidiaries may act as paying agent or transfer agent and registrar. So long as the notes are represented by global debt securities, the interest payable on the notes will be paid to the nominee of the common depositary, or its registered assigns as the registered owner of such global debt securities, by wire transfer of immediately available funds on each of the applicable interest payment dates. If any of the notes are no longer represented by a global debt security, we have the option to pay interest by check mailed to the address of the person entitled to the interest. No service charge will be made for any transfer or exchange of notes, but we may require payment of a sum sufficient to cover any tax or other governmental charge payable.</w:t>
      </w:r>
    </w:p>
    <w:p>
      <w:pPr>
        <w:spacing w:after="0" w:line="164"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6"/>
          <w:szCs w:val="16"/>
          <w:color w:val="auto"/>
        </w:rPr>
        <w:t>The notes are our senior unsecured obligations and rank equally in right of payment with all our existing and future senior unsecured debt. The notes are effectively junior to all of our secured indebtedness to the extent of the assets securing such indebtedness. Our operations are conducted through our subsidiaries and, therefore, we depend on the cash flow of our subsidiaries to meet our obligations, including our obligations under the notes. Our subsidiaries are not guarantors of the notes. Accordingly, the notes are effectively subordinated to all indebtedness and other obligations of our subsidiaries.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not subject to a sinking fund.</w:t>
      </w:r>
    </w:p>
    <w:p>
      <w:pPr>
        <w:spacing w:after="0" w:line="215" w:lineRule="exact"/>
        <w:rPr>
          <w:sz w:val="20"/>
          <w:szCs w:val="20"/>
          <w:color w:val="auto"/>
        </w:rPr>
      </w:pPr>
    </w:p>
    <w:p>
      <w:pPr>
        <w:jc w:val="both"/>
        <w:ind w:right="260"/>
        <w:spacing w:after="0" w:line="251" w:lineRule="auto"/>
        <w:rPr>
          <w:sz w:val="20"/>
          <w:szCs w:val="20"/>
          <w:color w:val="auto"/>
        </w:rPr>
      </w:pPr>
      <w:r>
        <w:rPr>
          <w:rFonts w:ascii="Times New Roman" w:cs="Times New Roman" w:eastAsia="Times New Roman" w:hAnsi="Times New Roman"/>
          <w:sz w:val="18"/>
          <w:szCs w:val="18"/>
          <w:color w:val="auto"/>
        </w:rPr>
        <w:t>All payments on the notes will be payable in euros; provided that if on or after the date of this prospectus supplement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w:t>
      </w:r>
    </w:p>
    <w:p>
      <w:pPr>
        <w:spacing w:after="0" w:line="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international banking community, then all payments in respect of the notes will be made in U.S. dollars until the euro is again available to us or so used. The amount payable on any date in euros will be converted into U.S. dollars at the rate reported by Bloomberg as of the close of business on the second Business Day prior to the relevant payment date or, in the event that Bloomberg has not reported a rate of conversion, on the basis of the most recent U.S. dollar/euro exchange rate mandated by the U.S. Federal Reserve Board on or prior to the second Business Day prior to the relevant payment date, or in the event the U.S. Federal Reserve Board has not mandated that exchange rate, the rate as determined in our sole discretion on the basis of the most recently available market exchange rate for the euro. Any payment in respect of the notes so made in U.S. dollars will not constitute an event of default under the notes or the indenture. Neither the trustee nor the paying agent will have any responsibility for obtaining exchange rates, effecting conversions or otherwise handling redenominations in connection with the foregoing. Investors will be subject to foreign exchange risks as to payments on the notes, which may have important economic consequences to them.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1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A holder may transfer or exchange notes in accordance with the indenture. The registrar and the trustee may require a holder, among other things, to furnish appropriate endorsements and transfer documents in connection with a transfer of notes. Holders will be required to pay all taxes due on transfer. We are not required to transfer or exchange any note selected for redemption or tendered for repurchase. Also, we are not required to transfer or exchange any note for a period of 15 (10 in the case of the 4.125% Notes, the 4.625% Notes, the 3.900% Notes, the 4.100% Notes and the 3.625% Notes) days preceding the first mailing of notice of redemption of notes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redeemable at our election, in whole or in part, at any time and from time to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redeem the 1.950% Notes prior to February 22, 2026 (three months prior to their maturity date), we will pay a redemption price equal to the greater of:</w:t>
      </w:r>
    </w:p>
    <w:p>
      <w:pPr>
        <w:spacing w:after="0" w:line="79" w:lineRule="exact"/>
        <w:rPr>
          <w:sz w:val="20"/>
          <w:szCs w:val="20"/>
          <w:color w:val="auto"/>
        </w:rPr>
      </w:pPr>
    </w:p>
    <w:p>
      <w:pPr>
        <w:ind w:left="1020" w:hanging="576"/>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1.950% Notes to be redeemed then outstanding; and</w:t>
      </w:r>
    </w:p>
    <w:p>
      <w:pPr>
        <w:spacing w:after="0" w:line="280" w:lineRule="exact"/>
        <w:rPr>
          <w:rFonts w:ascii="Times New Roman" w:cs="Times New Roman" w:eastAsia="Times New Roman" w:hAnsi="Times New Roman"/>
          <w:sz w:val="18"/>
          <w:szCs w:val="18"/>
          <w:color w:val="auto"/>
        </w:rPr>
      </w:pPr>
    </w:p>
    <w:p>
      <w:pPr>
        <w:ind w:left="1020" w:right="200" w:hanging="576"/>
        <w:spacing w:after="0" w:line="25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1.950%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1.950% Notes, plus 25 basis points;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1.950% Notes to be redeemed.</w:t>
      </w:r>
    </w:p>
    <w:p>
      <w:pPr>
        <w:spacing w:after="0" w:line="21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If we redeem the 1.950% Notes on or after February 22, 2026 (three months prior to their maturity date), we will pay a redemption price equal to 100% of the principal amount of the 1.950% Notes to be redeemed plus accrued interest to the redemption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redeem the 0.450% Notes prior to November 15, 2026 (two months prior to their maturity date), we will pay a redemption price equal to the greater of:</w:t>
      </w:r>
    </w:p>
    <w:p>
      <w:pPr>
        <w:spacing w:after="0" w:line="79" w:lineRule="exact"/>
        <w:rPr>
          <w:sz w:val="20"/>
          <w:szCs w:val="20"/>
          <w:color w:val="auto"/>
        </w:rPr>
      </w:pPr>
    </w:p>
    <w:p>
      <w:pPr>
        <w:ind w:left="1020" w:hanging="576"/>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0.450% Notes to be redeemed then outstanding; and</w:t>
      </w:r>
    </w:p>
    <w:p>
      <w:pPr>
        <w:spacing w:after="0" w:line="280" w:lineRule="exact"/>
        <w:rPr>
          <w:rFonts w:ascii="Times New Roman" w:cs="Times New Roman" w:eastAsia="Times New Roman" w:hAnsi="Times New Roman"/>
          <w:sz w:val="18"/>
          <w:szCs w:val="18"/>
          <w:color w:val="auto"/>
        </w:rPr>
      </w:pPr>
    </w:p>
    <w:p>
      <w:pPr>
        <w:ind w:left="1020" w:right="200" w:hanging="576"/>
        <w:spacing w:after="0" w:line="252"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0.450%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0.450% Notes, plus 15 basis points;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0.450% Notes to be redeemed.</w:t>
      </w:r>
    </w:p>
    <w:p>
      <w:pPr>
        <w:spacing w:after="0" w:line="2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If we redeem the 0.450% Notes on or after November 15, 2026 (two months prior to their maturity date), we will pay a redemption price equal to 100% of the principal amount of the 0.450% Notes to be redeemed plus accrued interest to the redemption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redeem the 0.400% Notes prior to December 15, 2026 (two months prior to their maturity date), we will pay a redemption price equal to the greater of:</w:t>
      </w:r>
    </w:p>
    <w:p>
      <w:pPr>
        <w:spacing w:after="0" w:line="79" w:lineRule="exact"/>
        <w:rPr>
          <w:sz w:val="20"/>
          <w:szCs w:val="20"/>
          <w:color w:val="auto"/>
        </w:rPr>
      </w:pPr>
    </w:p>
    <w:p>
      <w:pPr>
        <w:ind w:left="1020" w:hanging="576"/>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0.400% Notes to be redeemed then outstanding; and</w:t>
      </w:r>
    </w:p>
    <w:p>
      <w:pPr>
        <w:spacing w:after="0" w:line="267" w:lineRule="exact"/>
        <w:rPr>
          <w:rFonts w:ascii="Times New Roman" w:cs="Times New Roman" w:eastAsia="Times New Roman" w:hAnsi="Times New Roman"/>
          <w:sz w:val="18"/>
          <w:szCs w:val="18"/>
          <w:color w:val="auto"/>
        </w:rPr>
      </w:pPr>
    </w:p>
    <w:p>
      <w:pPr>
        <w:ind w:left="1020" w:right="200" w:hanging="576"/>
        <w:spacing w:after="0" w:line="252"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0.400%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0.400% Notes, plus 20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120"/>
          </w:cols>
          <w:pgMar w:left="320" w:top="1440" w:right="459" w:bottom="1440" w:gutter="0" w:footer="0" w:header="0"/>
        </w:sectPr>
      </w:pPr>
    </w:p>
    <w:bookmarkStart w:id="151" w:name="page152"/>
    <w:bookmarkEnd w:id="151"/>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0.400% Notes to be redeemed.</w:t>
      </w:r>
    </w:p>
    <w:p>
      <w:pPr>
        <w:spacing w:after="0" w:line="2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If we redeem the 0.400% Notes on or after December 15, 2026 (two months prior to their maturity date), we will pay a redemption price equal to 100% of the principal amount of the 0.400% Notes to be redeemed plus accrued interest to the redemption date.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redeem the 4.125% Notes prior to March 16, 2027 (two months prior to their maturity date), we will pay a redemption price equal to the greater of:</w:t>
      </w:r>
    </w:p>
    <w:p>
      <w:pPr>
        <w:spacing w:after="0" w:line="294" w:lineRule="exact"/>
        <w:rPr>
          <w:sz w:val="20"/>
          <w:szCs w:val="20"/>
          <w:color w:val="auto"/>
        </w:rPr>
      </w:pPr>
    </w:p>
    <w:p>
      <w:pPr>
        <w:ind w:left="1020" w:hanging="576"/>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4.125% Notes to be redeemed then outstanding; and</w:t>
      </w:r>
    </w:p>
    <w:p>
      <w:pPr>
        <w:spacing w:after="0" w:line="280" w:lineRule="exact"/>
        <w:rPr>
          <w:rFonts w:ascii="Times New Roman" w:cs="Times New Roman" w:eastAsia="Times New Roman" w:hAnsi="Times New Roman"/>
          <w:sz w:val="18"/>
          <w:szCs w:val="18"/>
          <w:color w:val="auto"/>
        </w:rPr>
      </w:pPr>
    </w:p>
    <w:p>
      <w:pPr>
        <w:ind w:left="1020" w:right="180" w:hanging="576"/>
        <w:spacing w:after="0" w:line="25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4.125%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4.125% Notes, plus 30 basis points;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4.125% Notes to be redeemed.</w:t>
      </w:r>
    </w:p>
    <w:p>
      <w:pPr>
        <w:spacing w:after="0" w:line="215"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8"/>
          <w:szCs w:val="18"/>
          <w:color w:val="auto"/>
        </w:rPr>
        <w:t>If we redeem the 4.125% Notes on or after March 16, 2027 (two months prior to their maturity date), we will pay a redemption price equal to 100% of the principal amount of the 4.125% Notes to be redeemed plus accrued interest to the redemption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redeem the 0.500% Notes prior to October 15, 2027 (three months prior to their maturity date), we will pay a redemption price equal to the greater of:</w:t>
      </w:r>
    </w:p>
    <w:p>
      <w:pPr>
        <w:spacing w:after="0" w:line="79" w:lineRule="exact"/>
        <w:rPr>
          <w:sz w:val="20"/>
          <w:szCs w:val="20"/>
          <w:color w:val="auto"/>
        </w:rPr>
      </w:pPr>
    </w:p>
    <w:p>
      <w:pPr>
        <w:ind w:left="1020" w:hanging="576"/>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0.500% Notes to be redeemed then outstanding; and</w:t>
      </w:r>
    </w:p>
    <w:p>
      <w:pPr>
        <w:spacing w:after="0" w:line="280" w:lineRule="exact"/>
        <w:rPr>
          <w:rFonts w:ascii="Times New Roman" w:cs="Times New Roman" w:eastAsia="Times New Roman" w:hAnsi="Times New Roman"/>
          <w:sz w:val="18"/>
          <w:szCs w:val="18"/>
          <w:color w:val="auto"/>
        </w:rPr>
      </w:pPr>
    </w:p>
    <w:p>
      <w:pPr>
        <w:ind w:left="1020" w:right="180" w:hanging="576"/>
        <w:spacing w:after="0" w:line="252" w:lineRule="auto"/>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0.500%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0.500% Notes, plus 20 basis points;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0.500% Notes to be redeemed.</w:t>
      </w:r>
    </w:p>
    <w:p>
      <w:pPr>
        <w:spacing w:after="0" w:line="21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8"/>
          <w:szCs w:val="18"/>
          <w:color w:val="auto"/>
        </w:rPr>
        <w:t>If we redeem the 0.500% Notes on or after October 15, 2027 (three months prior to their maturity date), we will pay a redemption price equal to 100% of the principal amount of the 0.500% Notes to be redeemed plus accrued interest to the redemption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redeem the 0.875% Notes prior to February 29, 2029 (three months prior to their maturity date), we will pay a redemption price equal to the greater of:</w:t>
      </w:r>
    </w:p>
    <w:p>
      <w:pPr>
        <w:spacing w:after="0" w:line="79" w:lineRule="exact"/>
        <w:rPr>
          <w:sz w:val="20"/>
          <w:szCs w:val="20"/>
          <w:color w:val="auto"/>
        </w:rPr>
      </w:pPr>
    </w:p>
    <w:p>
      <w:pPr>
        <w:ind w:left="1020" w:hanging="576"/>
        <w:spacing w:after="0"/>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0.875% Notes to be redeemed then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100"/>
          </w:cols>
          <w:pgMar w:left="320" w:top="1440" w:right="479" w:bottom="1440" w:gutter="0" w:footer="0" w:header="0"/>
        </w:sectPr>
      </w:pPr>
    </w:p>
    <w:bookmarkStart w:id="152" w:name="page153"/>
    <w:bookmarkEnd w:id="152"/>
    <w:p>
      <w:pPr>
        <w:ind w:left="1020" w:right="180" w:hanging="576"/>
        <w:spacing w:after="0" w:line="252" w:lineRule="auto"/>
        <w:tabs>
          <w:tab w:leader="none" w:pos="10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0.875%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0.875% Notes, plus 20 basis points;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0.875% Notes to be redeemed.</w:t>
      </w:r>
    </w:p>
    <w:p>
      <w:pPr>
        <w:spacing w:after="0" w:line="2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If we redeem the 0.875% Notes on or after February 29, 2029 (three months prior to their maturity date), we will pay a redemption price equal to 100% of the principal amount of the 0.875% Notes to be redeemed plus accrued interest to the redemption date.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redeem the 3.900% Notes prior to February 16, 2030 (three months prior to their maturity date), we will pay a redemption price equal to the greater of:</w:t>
      </w:r>
    </w:p>
    <w:p>
      <w:pPr>
        <w:spacing w:after="0" w:line="317" w:lineRule="exact"/>
        <w:rPr>
          <w:sz w:val="20"/>
          <w:szCs w:val="20"/>
          <w:color w:val="auto"/>
        </w:rPr>
      </w:pPr>
    </w:p>
    <w:p>
      <w:pPr>
        <w:ind w:left="1020" w:hanging="576"/>
        <w:spacing w:after="0"/>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3.900% Notes to be redeemed then outstanding; and</w:t>
      </w:r>
    </w:p>
    <w:p>
      <w:pPr>
        <w:spacing w:after="0" w:line="161" w:lineRule="exact"/>
        <w:rPr>
          <w:rFonts w:ascii="Times New Roman" w:cs="Times New Roman" w:eastAsia="Times New Roman" w:hAnsi="Times New Roman"/>
          <w:sz w:val="18"/>
          <w:szCs w:val="18"/>
          <w:color w:val="auto"/>
        </w:rPr>
      </w:pPr>
    </w:p>
    <w:p>
      <w:pPr>
        <w:ind w:left="1020" w:right="180" w:hanging="576"/>
        <w:spacing w:after="0" w:line="252"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3.900%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3.900% Notes, plus 25 basis points;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3.900% Notes to be redeemed.</w:t>
      </w:r>
    </w:p>
    <w:p>
      <w:pPr>
        <w:spacing w:after="0" w:line="24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If we redeem the 3.900% Notes on or after February 16, 2030 (three months prior to their maturity date), we will pay a redemption price equal to 100% of the principal amount of the 3.900% Notes to be redeemed plus accrued interest to the redemption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redeem the 0.950% Notes prior to July 5, 2030 (three months prior to their maturity date), we will pay a redemption price equal to the greater of:</w:t>
      </w:r>
    </w:p>
    <w:p>
      <w:pPr>
        <w:spacing w:after="0" w:line="56" w:lineRule="exact"/>
        <w:rPr>
          <w:sz w:val="20"/>
          <w:szCs w:val="20"/>
          <w:color w:val="auto"/>
        </w:rPr>
      </w:pPr>
    </w:p>
    <w:p>
      <w:pPr>
        <w:ind w:left="1020" w:hanging="576"/>
        <w:spacing w:after="0"/>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0.950% Notes to be redeemed then outstanding; and</w:t>
      </w:r>
    </w:p>
    <w:p>
      <w:pPr>
        <w:spacing w:after="0" w:line="280" w:lineRule="exact"/>
        <w:rPr>
          <w:rFonts w:ascii="Times New Roman" w:cs="Times New Roman" w:eastAsia="Times New Roman" w:hAnsi="Times New Roman"/>
          <w:sz w:val="18"/>
          <w:szCs w:val="18"/>
          <w:color w:val="auto"/>
        </w:rPr>
      </w:pPr>
    </w:p>
    <w:p>
      <w:pPr>
        <w:ind w:left="1020" w:right="180" w:hanging="576"/>
        <w:spacing w:after="0" w:line="252" w:lineRule="auto"/>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0.950%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0.950% Notes, plus 25 basis points;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0.950% Notes to be redeemed.</w:t>
      </w:r>
    </w:p>
    <w:p>
      <w:pPr>
        <w:spacing w:after="0" w:line="215"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18"/>
          <w:szCs w:val="18"/>
          <w:color w:val="auto"/>
        </w:rPr>
        <w:t>If we redeem the 0.950% Notes on or after July 5, 2030 (three months prior to their maturity date), we will pay a redemption price equal to 100% of the principal amount of the 0.950% Notes to be redeemed plus accrued interest to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100"/>
          </w:cols>
          <w:pgMar w:left="320" w:top="1439" w:right="479" w:bottom="1440" w:gutter="0" w:footer="0" w:header="0"/>
        </w:sectPr>
      </w:pPr>
    </w:p>
    <w:bookmarkStart w:id="153" w:name="page154"/>
    <w:bookmarkEnd w:id="153"/>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redeem the 4.625% Notes prior to February 16, 2031 (three months prior to their maturity date), we will pay a redemption price equal to the greater of:</w:t>
      </w:r>
    </w:p>
    <w:p>
      <w:pPr>
        <w:spacing w:after="0" w:line="317" w:lineRule="exact"/>
        <w:rPr>
          <w:sz w:val="20"/>
          <w:szCs w:val="20"/>
          <w:color w:val="auto"/>
        </w:rPr>
      </w:pPr>
    </w:p>
    <w:p>
      <w:pPr>
        <w:ind w:left="1020" w:hanging="576"/>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4.625% Notes to be redeemed then outstanding; and</w:t>
      </w:r>
    </w:p>
    <w:p>
      <w:pPr>
        <w:spacing w:after="0" w:line="280" w:lineRule="exact"/>
        <w:rPr>
          <w:rFonts w:ascii="Times New Roman" w:cs="Times New Roman" w:eastAsia="Times New Roman" w:hAnsi="Times New Roman"/>
          <w:sz w:val="18"/>
          <w:szCs w:val="18"/>
          <w:color w:val="auto"/>
        </w:rPr>
      </w:pPr>
    </w:p>
    <w:p>
      <w:pPr>
        <w:ind w:left="1020" w:right="180" w:hanging="576"/>
        <w:spacing w:after="0" w:line="252"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4.625%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4.625% Notes, plus 40 basis points;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4.625% Notes to be redeemed.</w:t>
      </w:r>
    </w:p>
    <w:p>
      <w:pPr>
        <w:spacing w:after="0" w:line="2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If we redeem the 4.625% Notes on or after February 16, 2031 (three months prior to their maturity date), we will pay a redemption price equal to 100% of the principal amount of the 4.625% Notes to be redeemed plus accrued interest to the redemption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redeem the 1.000% Notes prior to October 15, 2031 (three months prior to their maturity date), we will pay a redemption price equal to the greater of:</w:t>
      </w:r>
    </w:p>
    <w:p>
      <w:pPr>
        <w:spacing w:after="0" w:line="79" w:lineRule="exact"/>
        <w:rPr>
          <w:sz w:val="20"/>
          <w:szCs w:val="20"/>
          <w:color w:val="auto"/>
        </w:rPr>
      </w:pPr>
    </w:p>
    <w:p>
      <w:pPr>
        <w:ind w:left="1020" w:hanging="576"/>
        <w:spacing w:after="0"/>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1.000% Notes to be redeemed then outstanding; and</w:t>
      </w:r>
    </w:p>
    <w:p>
      <w:pPr>
        <w:spacing w:after="0" w:line="280" w:lineRule="exact"/>
        <w:rPr>
          <w:rFonts w:ascii="Times New Roman" w:cs="Times New Roman" w:eastAsia="Times New Roman" w:hAnsi="Times New Roman"/>
          <w:sz w:val="18"/>
          <w:szCs w:val="18"/>
          <w:color w:val="auto"/>
        </w:rPr>
      </w:pPr>
    </w:p>
    <w:p>
      <w:pPr>
        <w:ind w:left="1020" w:right="180" w:hanging="576"/>
        <w:spacing w:after="0" w:line="252"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1.000%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1.000% Notes, plus 25 basis points;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1.000% Notes to be redeemed.</w:t>
      </w:r>
    </w:p>
    <w:p>
      <w:pPr>
        <w:spacing w:after="0" w:line="21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8"/>
          <w:szCs w:val="18"/>
          <w:color w:val="auto"/>
        </w:rPr>
        <w:t>If we redeem the 1.000% Notes on or after October 15, 2031 (three months prior to their maturity date), we will pay a redemption price equal to 100% of the principal amount of the 1.000% Notes to be redeemed plus accrued interest to the redemption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redeem the 3.625% Notes prior to March 30, 2032 (two months prior to their maturity date), we will pay a redemption price equal to the greater of:</w:t>
      </w:r>
    </w:p>
    <w:p>
      <w:pPr>
        <w:spacing w:after="0" w:line="56" w:lineRule="exact"/>
        <w:rPr>
          <w:sz w:val="20"/>
          <w:szCs w:val="20"/>
          <w:color w:val="auto"/>
        </w:rPr>
      </w:pPr>
    </w:p>
    <w:p>
      <w:pPr>
        <w:ind w:left="1020" w:hanging="576"/>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3.625% Notes to be redeemed then outstanding; and</w:t>
      </w:r>
    </w:p>
    <w:p>
      <w:pPr>
        <w:spacing w:after="0" w:line="267" w:lineRule="exact"/>
        <w:rPr>
          <w:rFonts w:ascii="Times New Roman" w:cs="Times New Roman" w:eastAsia="Times New Roman" w:hAnsi="Times New Roman"/>
          <w:sz w:val="18"/>
          <w:szCs w:val="18"/>
          <w:color w:val="auto"/>
        </w:rPr>
      </w:pPr>
    </w:p>
    <w:p>
      <w:pPr>
        <w:ind w:left="1020" w:right="180" w:hanging="576"/>
        <w:spacing w:after="0" w:line="252" w:lineRule="auto"/>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3.625%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3.625% Notes, plus 20 basis points;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3.625% Notes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100"/>
          </w:cols>
          <w:pgMar w:left="320" w:top="1440" w:right="479" w:bottom="1440" w:gutter="0" w:footer="0" w:header="0"/>
        </w:sectPr>
      </w:pPr>
    </w:p>
    <w:bookmarkStart w:id="154" w:name="page155"/>
    <w:bookmarkEnd w:id="154"/>
    <w:p>
      <w:pPr>
        <w:spacing w:after="0" w:line="157"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8"/>
          <w:szCs w:val="18"/>
          <w:color w:val="auto"/>
        </w:rPr>
        <w:t>If we redeem the 3.625% Notes on or after March 30, 2032 (two months prior to their maturity date), we will pay a redemption price equal to 100% of the principal amount of the 3.625% Notes to be redeemed plus accrued interest to the redemption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redeem the 1.250% Notes prior to February 21, 2033 (three months prior to their maturity date), we will pay a redemption price equal to the greater of:</w:t>
      </w:r>
    </w:p>
    <w:p>
      <w:pPr>
        <w:spacing w:after="0" w:line="79" w:lineRule="exact"/>
        <w:rPr>
          <w:sz w:val="20"/>
          <w:szCs w:val="20"/>
          <w:color w:val="auto"/>
        </w:rPr>
      </w:pPr>
    </w:p>
    <w:p>
      <w:pPr>
        <w:ind w:left="1020" w:hanging="576"/>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1.250% Notes to be redeemed then outstanding; and</w:t>
      </w:r>
    </w:p>
    <w:p>
      <w:pPr>
        <w:spacing w:after="0" w:line="280" w:lineRule="exact"/>
        <w:rPr>
          <w:rFonts w:ascii="Times New Roman" w:cs="Times New Roman" w:eastAsia="Times New Roman" w:hAnsi="Times New Roman"/>
          <w:sz w:val="18"/>
          <w:szCs w:val="18"/>
          <w:color w:val="auto"/>
        </w:rPr>
      </w:pPr>
    </w:p>
    <w:p>
      <w:pPr>
        <w:ind w:left="1020" w:right="220" w:hanging="576"/>
        <w:spacing w:after="0" w:line="252"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1.250%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1.250% Notes, plus 25 basis points;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1.250% Notes to be redeemed.</w:t>
      </w:r>
    </w:p>
    <w:p>
      <w:pPr>
        <w:spacing w:after="0" w:line="21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If we redeem the 1.250% Notes on or after February 21, 2033 (three months prior to their maturity date), we will pay a redemption price equal to 100% of the principal amount of the 1.250% Notes to be redeemed plus accrued interest to the redemption date.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we redeem the 4.100% Notes prior to February 16, 2034 (three months prior to their maturity date), we will pay a redemption price equal to the greater of:</w:t>
      </w:r>
    </w:p>
    <w:p>
      <w:pPr>
        <w:spacing w:after="0" w:line="317" w:lineRule="exact"/>
        <w:rPr>
          <w:sz w:val="20"/>
          <w:szCs w:val="20"/>
          <w:color w:val="auto"/>
        </w:rPr>
      </w:pPr>
    </w:p>
    <w:p>
      <w:pPr>
        <w:ind w:left="1020" w:hanging="576"/>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4.100% Notes to be redeemed then outstanding; and</w:t>
      </w:r>
    </w:p>
    <w:p>
      <w:pPr>
        <w:spacing w:after="0" w:line="175" w:lineRule="exact"/>
        <w:rPr>
          <w:rFonts w:ascii="Times New Roman" w:cs="Times New Roman" w:eastAsia="Times New Roman" w:hAnsi="Times New Roman"/>
          <w:sz w:val="18"/>
          <w:szCs w:val="18"/>
          <w:color w:val="auto"/>
        </w:rPr>
      </w:pPr>
    </w:p>
    <w:p>
      <w:pPr>
        <w:ind w:left="1020" w:right="220" w:hanging="576"/>
        <w:spacing w:after="0" w:line="252" w:lineRule="auto"/>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an Independent Investment Banker, the sum of the present values of the remaining scheduled payments of principal and interest on the 4.100% Notes to be redeemed that would be due if such notes matured on the First Par Call Date (not including any portion of such payments of interest accrued to the date of redemption) discounted to the redemption date on an annual basis (ACTUAL/ACTUAL (ICMA)) at the applicable Comparable Government Bond Rate for the 4.100% Notes, plus 25 basis points;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of the above cases, accrued and unpaid interest to the date of redemption on the 4.100% Notes to be redeemed.</w:t>
      </w:r>
    </w:p>
    <w:p>
      <w:pPr>
        <w:spacing w:after="0" w:line="24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If we redeem the 4.100% Notes on or after February 16, 2034 (three months prior to their maturity date), we will pay a redemption price equal to 100% of the principal amount of the 4.100% Notes to be redeemed plus accrued interest to the redemption date.</w:t>
      </w:r>
    </w:p>
    <w:p>
      <w:pPr>
        <w:spacing w:after="0" w:line="19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If the optional redemption date is on or after an interest record date and on or before the related interest payment date, the accrued and unpaid interest, if any, will be paid to the person in whose name the note is registered at the close of business on such record date.</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will mail or cause to be mailed a notice of redemption at least 15 (30 in the case of the 1.950% Notes, and 10 in the case of the 3.900% Notes, the 4.100% Notes and the 3.625% Notes) days but not more than 60 days before the redemption date to each holder of the notes to be redeemed at their registered address, except that redemption notices may be mailed more than 60 days prior to a redemption date if the notice is issued in connection with a defeasance of the notes or a satisfaction and discharge of the indenture. Notices of redemption may not be conditional.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140"/>
          </w:cols>
          <w:pgMar w:left="320" w:top="1440" w:right="439" w:bottom="1440" w:gutter="0" w:footer="0" w:header="0"/>
        </w:sectPr>
      </w:pPr>
    </w:p>
    <w:bookmarkStart w:id="155" w:name="page156"/>
    <w:bookmarkEnd w:id="155"/>
    <w:p>
      <w:pPr>
        <w:spacing w:after="0" w:line="15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 Notes called for redemption become due on the date fixed for redemption.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less than all of the notes are to be redeemed, the trustee will select notes for redemption as follows:</w:t>
      </w:r>
    </w:p>
    <w:p>
      <w:pPr>
        <w:spacing w:after="0" w:line="56" w:lineRule="exact"/>
        <w:rPr>
          <w:sz w:val="20"/>
          <w:szCs w:val="20"/>
          <w:color w:val="auto"/>
        </w:rPr>
      </w:pPr>
    </w:p>
    <w:p>
      <w:pPr>
        <w:ind w:left="1020" w:right="440" w:hanging="576"/>
        <w:spacing w:after="0" w:line="269"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listed on any national securities exchange, in compliance with the requirements of the principal national securities exchange on which the notes are listed; or</w:t>
      </w:r>
    </w:p>
    <w:p>
      <w:pPr>
        <w:spacing w:after="0" w:line="234" w:lineRule="exact"/>
        <w:rPr>
          <w:rFonts w:ascii="Times New Roman" w:cs="Times New Roman" w:eastAsia="Times New Roman" w:hAnsi="Times New Roman"/>
          <w:sz w:val="18"/>
          <w:szCs w:val="18"/>
          <w:color w:val="auto"/>
        </w:rPr>
      </w:pPr>
    </w:p>
    <w:p>
      <w:pPr>
        <w:ind w:left="1020" w:right="300" w:hanging="576"/>
        <w:spacing w:after="0" w:line="269"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not so listed, on a pro rata basis (subject to the procedures of Clearstream and Euroclear or, to the extent a pro rata basis is not permitted, by lot or in such other manner as the trustee shall deem to be fair and appropriate.</w:t>
      </w:r>
    </w:p>
    <w:p>
      <w:pPr>
        <w:spacing w:after="0" w:line="2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no note of €100,000 in principal amount or less shall be redeemed in part. If any note is to be redeemed in part only, the notice of redemption relating to such note will state the portion of the principal amount to be redeemed. A new note in principal amount equal to the unredeemed portion will be issued in the name of the holder thereof upon cancellation of the original note.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Notes Upon a Change of Control Triggering Event</w:t>
      </w:r>
    </w:p>
    <w:p>
      <w:pPr>
        <w:spacing w:after="0" w:line="21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If a Change of Control Triggering Event occurs with respect to the notes, each holder of notes will have the right to require us to repurchase all or any part, equal to €100,000 or an integral multiple of €1,000 thereafter, of that holder’s notes, provided that any unpurchased portion of the notes will equal €100,000 or an integral multiple of €1,000 thereafter, pursuant to a Change of Control Offer on the terms set forth in the indenture. In the Change of Control Offer, we will offer a Change of Control Payment in cash equal to 101% of the aggregate principal amount of notes repurchased plus accrued and unpaid interest on the notes up to but excluding the date of repurchase. Within 30 days following any Change of Control Triggering Event, if we had not, prior to the Change of Control Triggering Event, sent a redemption notice for all the notes in connection with an optional redemption permitted by the indenture, we will mail or cause to be mailed a notice to each registered holder briefly describing the transaction or transactions that constitute a Change of Control Triggering Event and offering to repurchase notes on the date specified in such notice (the “Change of Control Payment Date”), which date will be no earlier than 15 days (30 days in the case of the 1.950% Notes, and 10 in the case of the 3.900% Notes, the 4.100% Notes and the 3.625% Notes) and no later than 60 days from the date the notice is mailed, pursuant to the procedures required by the indenture and described in such notice.</w:t>
      </w:r>
    </w:p>
    <w:p>
      <w:pPr>
        <w:spacing w:after="0" w:line="18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will comply with the requirements of Rule 14e-1 under the Exchange Act and any other securities laws and regulations thereunder to the extent such laws and regulations are applicable to any Change of Control Offer. To</w:t>
      </w:r>
    </w:p>
    <w:p>
      <w:pPr>
        <w:spacing w:after="0" w:line="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extent that the provisions of any securities laws or regulations conflict with the provisions of the indenture relating to the covenant described above, we will comply with the applicable securities laws and regulations and will not be deemed to have breached our obligations under the provisions of the indenture relating to the covenant described above by virtue of such conflict.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Change of Control Payment Date, we will, to the extent lawful:</w:t>
      </w:r>
    </w:p>
    <w:p>
      <w:pPr>
        <w:spacing w:after="0" w:line="175" w:lineRule="exact"/>
        <w:rPr>
          <w:sz w:val="20"/>
          <w:szCs w:val="20"/>
          <w:color w:val="auto"/>
        </w:rPr>
      </w:pPr>
    </w:p>
    <w:p>
      <w:pPr>
        <w:ind w:left="260" w:hanging="255"/>
        <w:spacing w:after="0"/>
        <w:tabs>
          <w:tab w:leader="none" w:pos="2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thereof properly tendered pursuant to the Change of Control Offer;</w:t>
      </w:r>
    </w:p>
    <w:p>
      <w:pPr>
        <w:spacing w:after="0" w:line="175"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thereof properly tendered; and</w:t>
      </w:r>
    </w:p>
    <w:p>
      <w:pPr>
        <w:spacing w:after="0" w:line="188" w:lineRule="exact"/>
        <w:rPr>
          <w:rFonts w:ascii="Times New Roman" w:cs="Times New Roman" w:eastAsia="Times New Roman" w:hAnsi="Times New Roman"/>
          <w:sz w:val="18"/>
          <w:szCs w:val="18"/>
          <w:color w:val="auto"/>
        </w:rPr>
      </w:pPr>
    </w:p>
    <w:p>
      <w:pPr>
        <w:ind w:right="140" w:firstLine="5"/>
        <w:spacing w:after="0" w:line="269" w:lineRule="auto"/>
        <w:tabs>
          <w:tab w:leader="none" w:pos="24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so accepted together with an Officers’ Certificate stating the aggregate principal amount of notes or portions thereof being purchased by us.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paying agent will promptly mail to each registered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1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that each such new note will be in a principal amount of €100,000 or an integral multiple of €1,000 thereafter. Any note so accepted for payment will cease to accrue interest on and after the Change of Control Payment Date.</w:t>
      </w:r>
    </w:p>
    <w:p>
      <w:pPr>
        <w:spacing w:after="0" w:line="142"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Except as described above, the provisions described above will be applicable regardless of whether or not any other provisions of the indenture are applicable. Other than with respect to a Change of Control Triggering Event, the indenture does not contain provisions that permit the holders of the notes to require that we repurchase or redeem the notes in the event of a takeover, recapitalization or similar transaction.</w:t>
      </w:r>
    </w:p>
    <w:p>
      <w:pPr>
        <w:spacing w:after="0" w:line="14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Holders will not be entitled to require us to purchase their notes in the event of a takeover, recapitalization, leveraged buyout or similar transaction that is not a Change of Control. We may nonetheless incur significant additional indebtedness in connection with such a transaction.</w:t>
      </w:r>
    </w:p>
    <w:p>
      <w:pPr>
        <w:spacing w:after="0" w:line="129"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For the avoidance of doubt, a Change of Control will not be deemed to have occurred if we merge with an affiliate solely for the purpose of reincorporating American Tower in its current or another jurisdiction within the United States of America.</w:t>
      </w:r>
    </w:p>
    <w:p>
      <w:pPr>
        <w:spacing w:after="0" w:line="1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Holders may not be able to require us to purchase their notes in certain circumstances involving a significant change in the composition of our board of directors, including a proxy contest where our board of directors does not endorse the dissident slate of directors but approves them as Continuing Directors. In this regard, a decision of the Delaware Chancery Court (not involving us or our securities) considered a change of control redemption provision of an indenture governing publicly traded debt securities that is substantially similar to the change of control event described in clause (3) of the definition of “Change of Control.” In its decision, the court noted that a board of directors may “approve” a dissident shareholder’s nominees solely for purposes of such an indenture, provided the board of directors determines in good faith that the election of the dissident nominees would not be materially adverse to the interests of the corporation or its stockholders (without taking into consideration the interests of the holders of debt securities in making this determination). See “Risk Factors —We may be unable to repay the notes when due or repurchase the notes when we are required to do so and holders may be unable to require us to repurchase their notes in certain circumstances.”</w:t>
      </w:r>
    </w:p>
    <w:p>
      <w:pPr>
        <w:spacing w:after="0" w:line="151"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a Change of Control Triggering Event if a third party makes the Change of Control Offer in the manner, at the times and otherwise in compliance with the requirements set forth in the indenture applicable to a Change of Control Offer made by us and purchases all notes properly tendered and not withdrawn under the Change of Control Offer.</w:t>
      </w:r>
    </w:p>
    <w:p>
      <w:pPr>
        <w:spacing w:after="0" w:line="141" w:lineRule="exact"/>
        <w:rPr>
          <w:sz w:val="20"/>
          <w:szCs w:val="20"/>
          <w:color w:val="auto"/>
        </w:rPr>
      </w:pPr>
    </w:p>
    <w:p>
      <w:pPr>
        <w:ind w:right="60"/>
        <w:spacing w:after="0" w:line="332" w:lineRule="auto"/>
        <w:rPr>
          <w:sz w:val="20"/>
          <w:szCs w:val="20"/>
          <w:color w:val="auto"/>
        </w:rPr>
      </w:pPr>
      <w:r>
        <w:rPr>
          <w:rFonts w:ascii="Times New Roman" w:cs="Times New Roman" w:eastAsia="Times New Roman" w:hAnsi="Times New Roman"/>
          <w:sz w:val="16"/>
          <w:szCs w:val="16"/>
          <w:color w:val="auto"/>
        </w:rPr>
        <w:t>A Change of Control Offer may be made in advance of a Change of Control Triggering Event, and conditional upon the occurrence of such Change of Control Triggering Event, if a definitive agreement is in place for the Change of Control Triggering Event at the time of making the Change of Control Offer.</w:t>
      </w:r>
    </w:p>
    <w:p>
      <w:pPr>
        <w:spacing w:after="0" w:line="9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have sufficient funds available at the time of any Change of Control Triggering Event, and consummate a Change of Control Offer for all notes then outstanding, at a purchase price for</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101% of their principal amount, plus accrued and unpaid interest to the Change of Control Payment Date. The indentures for our other outstanding indebtedness also provide for repurchase rights upon a change in control and, in some cases, certain other events under different terms. As a result, holders of our other indebtedness may have the ability to require us to repurchase their debt securities before the holders of the notes offered hereby would have such repurchase rights. In addition, a Change of Control (as described herein) and certain other change of control events may constitute an event of default under the 2021 Multicurrency Credit Facility, the 2021 Credit Facility and certain other outstanding indebtedness. As a result, we may not be able to make any of the required payments on, or repurchases of, the notes without obtaining the consent of the lenders under the 2021 Multicurrency Credit Facility, the 2021 Credit Facility and certain other outstanding indebtedness with respect to such payment or repurchase.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1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payments of principal and interest in respect of the notes will be made free and clear of, and without deduction or withholding for or on account of, any present or future taxes, duties, assessments or other governmental charges of whatsoever nature required to be deducted or withheld by the United States or any political subdivision or taxing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00"/>
          </w:cols>
          <w:pgMar w:left="320" w:top="1440" w:right="379" w:bottom="1440" w:gutter="0" w:footer="0" w:header="0"/>
        </w:sectPr>
      </w:pPr>
    </w:p>
    <w:bookmarkStart w:id="157" w:name="page158"/>
    <w:bookmarkEnd w:id="157"/>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of or in the United States, unless such withholding or deduction is required by law or the official interpretation or administration thereof.</w:t>
      </w:r>
    </w:p>
    <w:p>
      <w:pPr>
        <w:spacing w:after="0" w:line="1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the event any withholding or deduction on payments in respect of the notes for or on account of any present or future tax, assessment or other governmental charge is required to be deducted or withheld by the United States or any political subdivision or taxing authority thereof or therein, we will pay such additional amounts on the notes as will result in receipt by each holder of a note that is not a U.S. Person (as defined below) of such amounts (after all such withholding or deduction, including on any additional amounts) as would have been received by such holder had no such withholding or deduction been required. We will not be required, however, to make any payment of additional amounts for or on account of:</w:t>
      </w:r>
    </w:p>
    <w:p>
      <w:pPr>
        <w:spacing w:after="0" w:line="147" w:lineRule="exact"/>
        <w:rPr>
          <w:sz w:val="20"/>
          <w:szCs w:val="20"/>
          <w:color w:val="auto"/>
        </w:rPr>
      </w:pPr>
    </w:p>
    <w:p>
      <w:pPr>
        <w:ind w:firstLine="5"/>
        <w:spacing w:after="0" w:line="247" w:lineRule="auto"/>
        <w:tabs>
          <w:tab w:leader="none" w:pos="23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that would not have been imposed but for (1) the existence of any present or former connection (other than a connection arising solely from the ownership of those notes or the receipt of payments in respect of those notes) between a holder of a note (or the beneficial owner for whose benefit such holder holds such note), or between a fiduciary, settlor, beneficiary of, member or shareholder of, or possessor of a power over, that holder or beneficial owner (if that holder or beneficial owner is an estate, trust, partnership or corporation) and the United States, including that holder or beneficial owner, or that fiduciary, settlor, beneficiary, member, shareholder or possessor, being or having been a citizen or resident or treated as a resident of the United States or being or having been engaged in a trade or business or present in the United States or having had a permanent establishment in the United States or (2) the presentation of a note for payment on a date more than 30 days after the later of the date on which that payment becomes due and payable and the date on which payment is duly provided for;</w:t>
      </w:r>
    </w:p>
    <w:p>
      <w:pPr>
        <w:spacing w:after="0" w:line="153"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transfer, capital gains, excise, personal property, wealth or similar tax, assessment or other governmental charge;</w:t>
      </w:r>
    </w:p>
    <w:p>
      <w:pPr>
        <w:spacing w:after="0" w:line="188" w:lineRule="exact"/>
        <w:rPr>
          <w:rFonts w:ascii="Times New Roman" w:cs="Times New Roman" w:eastAsia="Times New Roman" w:hAnsi="Times New Roman"/>
          <w:sz w:val="18"/>
          <w:szCs w:val="18"/>
          <w:color w:val="auto"/>
        </w:rPr>
      </w:pPr>
    </w:p>
    <w:p>
      <w:pPr>
        <w:ind w:right="80" w:firstLine="5"/>
        <w:spacing w:after="0" w:line="256" w:lineRule="auto"/>
        <w:tabs>
          <w:tab w:leader="none" w:pos="23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imposed by reason of the holder’s or beneficial owner’s past or present status as a passive foreign investment company, a controlled foreign corporation, a foreign tax exempt organization or a personal holding company with respect to the United States or as a corporation that accumulates earnings to avoid U.S. federal income tax;</w:t>
      </w:r>
    </w:p>
    <w:p>
      <w:pPr>
        <w:spacing w:after="0" w:line="141" w:lineRule="exact"/>
        <w:rPr>
          <w:rFonts w:ascii="Times New Roman" w:cs="Times New Roman" w:eastAsia="Times New Roman" w:hAnsi="Times New Roman"/>
          <w:sz w:val="18"/>
          <w:szCs w:val="18"/>
          <w:color w:val="auto"/>
        </w:rPr>
      </w:pPr>
    </w:p>
    <w:p>
      <w:pPr>
        <w:ind w:right="20" w:firstLine="5"/>
        <w:spacing w:after="0" w:line="269" w:lineRule="auto"/>
        <w:tabs>
          <w:tab w:leader="none" w:pos="24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which is payable otherwise than by withholding or deducting from payment of principal of or premium, if any, or interest on such notes;</w:t>
      </w:r>
    </w:p>
    <w:p>
      <w:pPr>
        <w:spacing w:after="0" w:line="128" w:lineRule="exact"/>
        <w:rPr>
          <w:rFonts w:ascii="Times New Roman" w:cs="Times New Roman" w:eastAsia="Times New Roman" w:hAnsi="Times New Roman"/>
          <w:sz w:val="18"/>
          <w:szCs w:val="18"/>
          <w:color w:val="auto"/>
        </w:rPr>
      </w:pPr>
    </w:p>
    <w:p>
      <w:pPr>
        <w:ind w:right="300" w:firstLine="5"/>
        <w:spacing w:after="0" w:line="269" w:lineRule="auto"/>
        <w:tabs>
          <w:tab w:leader="none" w:pos="23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required to be withheld by any paying agent from any payment of principal of and premium, if any, or interest on any note if that payment can be made without withholding by at least one other paying agent;</w:t>
      </w:r>
    </w:p>
    <w:p>
      <w:pPr>
        <w:spacing w:after="0" w:line="142" w:lineRule="exact"/>
        <w:rPr>
          <w:rFonts w:ascii="Times New Roman" w:cs="Times New Roman" w:eastAsia="Times New Roman" w:hAnsi="Times New Roman"/>
          <w:sz w:val="18"/>
          <w:szCs w:val="18"/>
          <w:color w:val="auto"/>
        </w:rPr>
      </w:pPr>
    </w:p>
    <w:p>
      <w:pPr>
        <w:ind w:right="20" w:firstLine="5"/>
        <w:spacing w:after="0" w:line="249" w:lineRule="auto"/>
        <w:tabs>
          <w:tab w:leader="none" w:pos="21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which would not have been imposed but for the failure of a beneficial owner or any holder of notes to comply with a request to satisfy certification, information, documentation or other reporting requirements concerning the nationality, residence, identity or connections with the United States of the beneficial owner or any holder of the notes (including, but not limited to, the requirement to provide Internal Revenue Service Forms W-8BEN, W-8BEN-E, W-8ECI, or any subsequent versions thereof or successor thereto, and including, without limitation, any documentation requirement under an applicable income tax treaty), provided such beneficial owner or holder is legally able to so comply and compliance is a precondition to exemption from such tax, assessment or other governmental charge;</w:t>
      </w:r>
    </w:p>
    <w:p>
      <w:pPr>
        <w:spacing w:after="0" w:line="147"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assessment or other governmental charge imposed on interest received by or on behalf of (1) a 10-percent shareholder (as defined in Section 871(h)</w:t>
      </w:r>
    </w:p>
    <w:p>
      <w:pPr>
        <w:spacing w:after="0" w:line="44" w:lineRule="exact"/>
        <w:rPr>
          <w:rFonts w:ascii="Times New Roman" w:cs="Times New Roman" w:eastAsia="Times New Roman" w:hAnsi="Times New Roman"/>
          <w:sz w:val="16"/>
          <w:szCs w:val="16"/>
          <w:color w:val="auto"/>
        </w:rPr>
      </w:pPr>
    </w:p>
    <w:p>
      <w:pPr>
        <w:ind w:right="10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(3)(B) of the U.S. Internal Revenue Code of 1986, as amended (the “Code”), and the regulations that may be promulgated thereunder) of us, (2) a controlled foreign corporation that is related to us within the meaning of Section 864(d)(4) of the Code, or (3) a bank receiving interest described in Section 881(c)(3)(A) of the Code, to the extent such tax, assessment or other governmental charge would not have been imposed but for the holder’s or beneficial owner’s status as described in clauses (1) through (3) of this paragraph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8" w:lineRule="exact"/>
        <w:rPr>
          <w:sz w:val="20"/>
          <w:szCs w:val="20"/>
          <w:color w:val="auto"/>
        </w:rPr>
      </w:pPr>
    </w:p>
    <w:p>
      <w:pPr>
        <w:ind w:right="140" w:firstLine="5"/>
        <w:spacing w:after="0" w:line="252" w:lineRule="auto"/>
        <w:tabs>
          <w:tab w:leader="none" w:pos="24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required to be withheld or deducted under Sections 1471 through 1474 of the Code (or any amended or successor version of such Sections that is substantively comparable) (“FATCA”), any regulations or other guidance thereunder, or any agreement (including any intergovernmental agreement) entered into in connection therewith; or any law, regulation or other official guidance enacted in any jurisdiction implementing FATCA or an intergovernmental agreement in respect of FATCA; or</w:t>
      </w:r>
    </w:p>
    <w:p>
      <w:pPr>
        <w:spacing w:after="0" w:line="158"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(a), (b), (c), (d), (e), (f), (g) and (h);</w:t>
      </w:r>
    </w:p>
    <w:p>
      <w:pPr>
        <w:spacing w:after="0" w:line="21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nor will we pay any additional amounts to any holder that is not the sole beneficial owner of such notes, or a portion of such notes, or that is a fiduciary or partnership or a limited liability company, to the extent that a beneficiary or settlor with respect to that fiduciary or a member of that partnership or limited liability company or a beneficial owner thereof would not have been entitled to the payment of those additional amounts had that beneficiary, settlor, member or beneficial owner been the holder of those notes.</w:t>
      </w:r>
    </w:p>
    <w:p>
      <w:pPr>
        <w:spacing w:after="0" w:line="18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8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As used under this heading “—Payment of Additional Amounts” and under the heading “—Redemption for Tax Reasons,” the term “United States” means the United States of America, the states of the United States, and the District of Columbia, and the term “U.S.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U.S. Treasury regulations), or any estate or trust the income of which is subject to United States federal income taxation regardless of its source.</w:t>
      </w:r>
    </w:p>
    <w:p>
      <w:pPr>
        <w:spacing w:after="0" w:line="157"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Any reference in the terms of the notes to any amounts in respect of the notes shall be deemed also to refer to any additional amounts which may be payable under this provision.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for Tax Reasons</w:t>
      </w:r>
    </w:p>
    <w:p>
      <w:pPr>
        <w:spacing w:after="0" w:line="17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6"/>
          <w:szCs w:val="16"/>
          <w:color w:val="auto"/>
        </w:rPr>
        <w:t>If, as a result of any change in, or amendment to, the laws (or any regulations or rulings promulgated under the laws) of the United States (or any political subdivision of or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there is a substantial probability that we will become, obligated to pay additional amounts as described under the heading “—Payment of Additional Amounts” with respect to the notes, then we may at any time at our option redeem the note, in whole, but not in part, on not less than 30 nor more than 60 days’ prior notice, at a redemption price equal to 100% of their principal amount, together with accrued and unpaid interest on the notes to, but not including, the date fixed for redemption.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liens</w:t>
      </w:r>
    </w:p>
    <w:p>
      <w:pPr>
        <w:spacing w:after="0" w:line="1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indenture, we will not, and will not permit any of our Subsidiaries to, allow any Lien (other than Permitted Liens) on any of our or our Subsidiaries’ property or assets (which includes Capital Stock) securing Indebtedness, unless the Lien secures the notes equally and ratably with, or prior to, any other Indebtedness secured by such Lien, so long as such other Indebtedness is so secured.</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foregoing, we may, and may permit any of our Subsidiaries to, incur Liens securing Indebtedness without equally and ratably securing the notes if, after giving effect to the incurrence of such Liens, the aggregate amount (without duplication) of the Indebtedness secured by Liens (other than Permitted Liens)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180"/>
          </w:cols>
          <w:pgMar w:left="320" w:top="1440" w:right="399" w:bottom="1440" w:gutter="0" w:footer="0" w:header="0"/>
        </w:sectPr>
      </w:pPr>
    </w:p>
    <w:bookmarkStart w:id="159" w:name="page160"/>
    <w:bookmarkEnd w:id="159"/>
    <w:p>
      <w:pPr>
        <w:spacing w:after="0" w:line="9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property or assets (which includes Capital Stock) of us and our Subsidiaries shall not exceed the Permitted Amount at the time of the incurrence of such Liens (it being understood that Liens securing the SpectraSite ABS Facility shall be deemed to be incurred pursuant to this paragraph).</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5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6"/>
          <w:szCs w:val="16"/>
          <w:color w:val="auto"/>
        </w:rPr>
        <w:t>The trustee for the notes is U.S. Bank, and we have initially appointed the trustee as the transfer agent and registrar with regard to the notes. Except during the continuance of an Event of Default, the trustee will perform only such duties as are specifically set forth in the indenture. During the existence of an Event of Default, the trustee will exercise such of the rights and powers vested in it under the indenture and use the same degree of care and skill in its exercise as a prudent person would exercise under the circumstances in the conduct of such person’s own affairs. The holders of a majority in principal amount of the then outstanding notes will have the right to direct the time, method and place of conducting any proceeding for exercising any remedy available to the trustee, subject to certain exceptions. Subject to these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96"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6"/>
          <w:szCs w:val="16"/>
          <w:color w:val="auto"/>
        </w:rPr>
        <w:t>Pursuant and subject to the Trust Indenture Act, the trustee will be permitted to engage in other transactions with us; however, if the trustee acquires any conflicting interest (as defined in the Trust Indenture Act), it would be required to eliminate such conflict within 90 days, apply to the SEC for permission to continue as trustee or resign. The trustee is also the trustee under the trust and servicing agreement related to our securitization transaction.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and the notes will be governed by and construed in accordance with the laws of the State of New York.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9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systems could change their rules and procedures at any time.</w:t>
      </w:r>
    </w:p>
    <w:p>
      <w:pPr>
        <w:spacing w:after="0" w:line="10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notes will initially be represented by one or more fully registered global notes. Each such global note will be deposited with, or on behalf of, a common depositary and registered in the name of the nominee of the common depositary, for, and in respect of interests held through, Clearstream and Euroclear. Except as set forth below, the global notes may be transferred, in whole and not in part, only to Clearstream or Euroclear or their respective nominees. 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21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except as described under the heading “—Issuance in Euros; Payment on the Notes.”</w:t>
      </w:r>
    </w:p>
    <w:p>
      <w:pPr>
        <w:spacing w:after="0" w:line="11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91"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8"/>
          <w:szCs w:val="18"/>
          <w:color w:val="auto"/>
        </w:rPr>
        <w:t>The policies of Clearstream and Euroclear will govern payments, transfers, exchanges and other matters relating to an investor’s interest in the notes held by them. We have no responsibility for any aspect of the records kept by Clearstream or Euroclear or any of their direct or indirect participants. We also do not supervise these systems in any way.</w:t>
      </w:r>
    </w:p>
    <w:p>
      <w:pPr>
        <w:spacing w:after="0" w:line="1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1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common depositary and, if such person is not a participant, on the procedures of the participant through which such person owns its interest, in order to exercise any rights of a holder of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4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If the common depositary for any of the notes represented by a registered global note is at any time unwilling or unable to continue as common depositary and a successor common depositary is not appointed by us within 90 days, we will issue registered notes in definitive form in exchange for the registered global note that had been held by the common depositary. Any notes issued in definitive form in exchange for a registered global note will be registered in the name or names that the common depositary gives to the trustee or other relevant agent of the trustee. It is expected that the common depositary’s instructions will be based upon directions received by the common depositary from participants with respect to ownership of beneficial interests in the registered global note that had been held by the common depositary. In addition, we may at any time determine that the notes shall no longer be represented by a global note and will issue registered notes in definitive form in exchange for such global note pursuant to the procedure described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11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2013 Base Indenture provides that we will furnish to the trustee, within 15 days after we are required to file such annual and quarterly reports, information, documents and other reports with the SEC, copies of our annual report and of the information, documents and other reports that we are required to file with the SEC pursuant to Section 13 or 15(d) of the Securities Exchange Act of 1934, which we refer to as the Exchange Act. We will also comply with the other provisions of Section 314(a) of the Trust Indenture Act of 1939, as amended, which we refer to as the Trust Indenture Act.</w:t>
      </w:r>
    </w:p>
    <w:p>
      <w:pPr>
        <w:spacing w:after="0" w:line="7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2019 Base Indenture and the 2022 Base Indenture provide that we will furnish to the trustee, within 30 calendar days after we are required to file such annual and quarterly reports, information, documents and other reports with the SEC, copies of our annual report and of the information, documents and other reports that we are required to file with the SEC pursuant to Section 13 or 15(d) of the Exchange Act.We will also comply with the other provisions of Section 314(a) of the Trust Indenture Act of 1939, as amended, which we refer to as the Trust Indenture 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1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The indenture provides that we may not consolidate or merge with or into, or sell or convey all or substantially all of our assets in any one transaction or series of related transactions to another person, unless:</w:t>
      </w:r>
    </w:p>
    <w:p>
      <w:pPr>
        <w:spacing w:after="0" w:line="10" w:lineRule="exact"/>
        <w:rPr>
          <w:sz w:val="20"/>
          <w:szCs w:val="20"/>
          <w:color w:val="auto"/>
        </w:rPr>
      </w:pPr>
    </w:p>
    <w:p>
      <w:pPr>
        <w:ind w:left="700" w:right="380" w:hanging="256"/>
        <w:spacing w:after="0" w:line="256" w:lineRule="auto"/>
        <w:tabs>
          <w:tab w:leader="none" w:pos="7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resulting, surviving or transferee corporation, or our successor is a corporation organized under the laws of the United States, any state or the District of Columbia and expressly assumes by supplemental indenture all of our obligations under the indenture and all the debt securities; and</w:t>
      </w:r>
    </w:p>
    <w:p>
      <w:pPr>
        <w:spacing w:after="0" w:line="246"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9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The term “default” for the purpose of this provision means any event that is, or with the passage of time or the giving of notice or both would become, an event of default.</w:t>
      </w:r>
    </w:p>
    <w:p>
      <w:pPr>
        <w:spacing w:after="0" w:line="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Except in the case of a lease of all or substantially all of our assets, the successor will be substituted for us in the indenture with the same effect as if it had been an original party to such indenture. Thereafter, the successor may exercise our rights and powers under the indenture.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indenture, the term “event of default” with respect to debt securities of any series (including the notes) means any of the following:</w:t>
      </w:r>
    </w:p>
    <w:p>
      <w:pPr>
        <w:spacing w:after="0" w:line="56" w:lineRule="exact"/>
        <w:rPr>
          <w:sz w:val="20"/>
          <w:szCs w:val="20"/>
          <w:color w:val="auto"/>
        </w:rPr>
      </w:pPr>
    </w:p>
    <w:p>
      <w:pPr>
        <w:ind w:left="700" w:hanging="256"/>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pay interest, if any, on the debt securities of that series for 30 days after the date payment is due and payable;</w:t>
      </w:r>
    </w:p>
    <w:p>
      <w:pPr>
        <w:spacing w:after="0" w:line="267" w:lineRule="exact"/>
        <w:rPr>
          <w:rFonts w:ascii="Times New Roman" w:cs="Times New Roman" w:eastAsia="Times New Roman" w:hAnsi="Times New Roman"/>
          <w:sz w:val="18"/>
          <w:szCs w:val="18"/>
          <w:color w:val="auto"/>
        </w:rPr>
      </w:pPr>
    </w:p>
    <w:p>
      <w:pPr>
        <w:ind w:left="700" w:right="1020" w:hanging="256"/>
        <w:spacing w:after="0" w:line="269" w:lineRule="auto"/>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pay principal of or premium, if any, on the debt securities of that series when due, at maturity, upon any redemption, by declaration or otherwise;</w:t>
      </w:r>
    </w:p>
    <w:p>
      <w:pPr>
        <w:spacing w:after="0" w:line="234" w:lineRule="exact"/>
        <w:rPr>
          <w:rFonts w:ascii="Times New Roman" w:cs="Times New Roman" w:eastAsia="Times New Roman" w:hAnsi="Times New Roman"/>
          <w:sz w:val="18"/>
          <w:szCs w:val="18"/>
          <w:color w:val="auto"/>
        </w:rPr>
      </w:pPr>
    </w:p>
    <w:p>
      <w:pPr>
        <w:ind w:left="700" w:right="640" w:hanging="256"/>
        <w:spacing w:after="0" w:line="269" w:lineRule="auto"/>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comply with other covenants in the indenture or the debt securities of that series for 90 days after notice that compliance was required; and</w:t>
      </w:r>
    </w:p>
    <w:p>
      <w:pPr>
        <w:spacing w:after="0" w:line="234" w:lineRule="exact"/>
        <w:rPr>
          <w:rFonts w:ascii="Times New Roman" w:cs="Times New Roman" w:eastAsia="Times New Roman" w:hAnsi="Times New Roman"/>
          <w:sz w:val="18"/>
          <w:szCs w:val="18"/>
          <w:color w:val="auto"/>
        </w:rPr>
      </w:pPr>
    </w:p>
    <w:p>
      <w:pPr>
        <w:ind w:left="700" w:right="380" w:hanging="256"/>
        <w:spacing w:after="0" w:line="269" w:lineRule="auto"/>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of us (and in the case of the 2013 Base Indenture, certain events of bankruptcy or insolvency of us or any of our significant subsidiaries).</w:t>
      </w:r>
    </w:p>
    <w:p>
      <w:pPr>
        <w:spacing w:after="0" w:line="379" w:lineRule="exact"/>
        <w:rPr>
          <w:sz w:val="20"/>
          <w:szCs w:val="20"/>
          <w:color w:val="auto"/>
        </w:rPr>
      </w:pPr>
    </w:p>
    <w:p>
      <w:pPr>
        <w:ind w:right="380"/>
        <w:spacing w:after="0" w:line="332" w:lineRule="auto"/>
        <w:rPr>
          <w:sz w:val="20"/>
          <w:szCs w:val="20"/>
          <w:color w:val="auto"/>
        </w:rPr>
      </w:pPr>
      <w:r>
        <w:rPr>
          <w:rFonts w:ascii="Times New Roman" w:cs="Times New Roman" w:eastAsia="Times New Roman" w:hAnsi="Times New Roman"/>
          <w:sz w:val="16"/>
          <w:szCs w:val="16"/>
          <w:color w:val="auto"/>
        </w:rPr>
        <w:t>The term “significant subsidiaries” for the purpose of this provision in our 2013 Base Indenture means any of our subsidiaries that would be a “significant subsidiary” as defined in Rule 1-02(w) of Regulation S-X of the Securities Act of 1933, as amended, which we refer to as the Securities Act.</w:t>
      </w:r>
    </w:p>
    <w:p>
      <w:pPr>
        <w:spacing w:after="0" w:line="5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relating to certain events of bankruptcy or insolvency of us or breach of our reporting obligation) has occurred and is continuing, the trustee or the holders of not less than 25% in aggregate principal amount of the debt securities of that series may declare the entire principal of all the debt securities of the affected series to be due and payable immediately.</w:t>
      </w:r>
    </w:p>
    <w:p>
      <w:pPr>
        <w:spacing w:after="0" w:line="115"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If an event of default relating to certain events of bankruptcy or insolvency of us occurs and is continuing, then the principal amount of all of the outstanding debt securities and any accrued interest thereon will automatically become due and payable immediately, without any declaration or other act by the trustee or any holder.</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holders of not less than a majority in aggregate principal amount of the debt securities of any series may, after satisfying conditions, rescind and annul any of the above-described declarations and consequences involving the debt securities of that series, except a continuing default or event of default in the payment of principal of, or interest or premium, if any, on the debt securities of the affected series.</w:t>
      </w:r>
    </w:p>
    <w:p>
      <w:pPr>
        <w:spacing w:after="0" w:line="11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of any series against us. Except for actions for payment of overdue principal or interest, no holder of a debt security of any series may institute any action against us under the indenture unless:</w:t>
      </w:r>
    </w:p>
    <w:p>
      <w:pPr>
        <w:spacing w:after="0" w:line="10" w:lineRule="exact"/>
        <w:rPr>
          <w:sz w:val="20"/>
          <w:szCs w:val="20"/>
          <w:color w:val="auto"/>
        </w:rPr>
      </w:pPr>
    </w:p>
    <w:p>
      <w:pPr>
        <w:ind w:left="700" w:hanging="256"/>
        <w:spacing w:after="0"/>
        <w:tabs>
          <w:tab w:leader="none" w:pos="7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an event of default and the continuance of that event of default;</w:t>
      </w:r>
    </w:p>
    <w:p>
      <w:pPr>
        <w:spacing w:after="0" w:line="280" w:lineRule="exact"/>
        <w:rPr>
          <w:rFonts w:ascii="Times New Roman" w:cs="Times New Roman" w:eastAsia="Times New Roman" w:hAnsi="Times New Roman"/>
          <w:sz w:val="18"/>
          <w:szCs w:val="18"/>
          <w:color w:val="auto"/>
        </w:rPr>
      </w:pPr>
    </w:p>
    <w:p>
      <w:pPr>
        <w:ind w:left="700" w:right="340" w:hanging="256"/>
        <w:spacing w:after="0" w:line="269" w:lineRule="auto"/>
        <w:tabs>
          <w:tab w:leader="none" w:pos="7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of at least 25% in aggregate principal amount of the outstanding debt securities of that series have requested that the trustee pursue the remedy;</w:t>
      </w:r>
    </w:p>
    <w:p>
      <w:pPr>
        <w:spacing w:after="0" w:line="221" w:lineRule="exact"/>
        <w:rPr>
          <w:rFonts w:ascii="Times New Roman" w:cs="Times New Roman" w:eastAsia="Times New Roman" w:hAnsi="Times New Roman"/>
          <w:sz w:val="18"/>
          <w:szCs w:val="18"/>
          <w:color w:val="auto"/>
        </w:rPr>
      </w:pPr>
    </w:p>
    <w:p>
      <w:pPr>
        <w:ind w:left="700" w:right="700" w:hanging="256"/>
        <w:spacing w:after="0" w:line="269" w:lineRule="auto"/>
        <w:tabs>
          <w:tab w:leader="none" w:pos="7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reasonably satisfactory to the trustee against the costs, expenses and liabilities to be incurred in compliance with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20"/>
          </w:cols>
          <w:pgMar w:left="320" w:top="1440" w:right="359" w:bottom="1440" w:gutter="0" w:footer="0" w:header="0"/>
        </w:sectPr>
      </w:pPr>
    </w:p>
    <w:bookmarkStart w:id="162" w:name="page163"/>
    <w:bookmarkEnd w:id="162"/>
    <w:p>
      <w:pPr>
        <w:ind w:left="700" w:hanging="256"/>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the receipt of such notice, request and offer of indemnity; and</w:t>
      </w:r>
    </w:p>
    <w:p>
      <w:pPr>
        <w:spacing w:after="0" w:line="280"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inconsistent direction by the holders of a majority in principal amount of the outstanding debt securities of that series.</w:t>
      </w:r>
    </w:p>
    <w:p>
      <w:pPr>
        <w:spacing w:after="0" w:line="21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We will be required to file annually with the trustee a certificate, signed by two officers of our company, stating whether or not the officers know of any default by us in the performance, observance or fulfillment of any condition or covenant of the indenture.</w:t>
      </w:r>
    </w:p>
    <w:p>
      <w:pPr>
        <w:spacing w:after="0" w:line="1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sole remedy for any breach of our obligation under the indenture to file or furnish reports or other financial information pursuant to section 314(a)(1) of the Trust Indenture Act (or as otherwise required by the indenture) shall be the payment of liquidated damages, and the holders will not have any right under the indenture to accelerate the maturity of the debt securities of the affected series as a result of any such breach.</w:t>
      </w:r>
    </w:p>
    <w:p>
      <w:pPr>
        <w:spacing w:after="0" w:line="20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Under the 2013 Base Indenture, if any such breach continues for 90 days after notice thereof is given in accordance with the indenture, we will pay liquidated damages to all the holders of the debt securities of that series at a rate per annum equal to (i) 0.25% per annum of the principal amount of the debt securities of that series from the 90th day following such notice to but not including the 180th day following such notice (or such earlier date on which the event of default relating to the reporting obligations referred to in this paragraph shall have been cured or waived) and (ii) 0.50% per annum of the principal amount of the debt securities of that series from the 180th day following such notice to but not including the 365th day following such notice (or such earlier date on which the event of default relating to the reporting obligations referred to in this paragraph shall have been cured or waived). On such 365th day (or earlier, if the event of default relating to the reporting obligations referred to in this paragraph shall have been cured or waived prior to such 365th day), such additional interest will cease to accrue, and the debt securities of that series will be subject to acceleration as provided above if the event of default is continuing.</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2019 Base Indenture and the 2022 Base Indenture, if any such breach continues for 90 days after notice thereof is given in accordance with the indenture, the Company shall pay liquidated damages to all the holders of the debt securities of such series at a rate per annum equal to 0.25% per annum of the principal amount of the debt securities of the affected series from the 90th day following such notice to but not including the date on which the event of default relating to the reporting obligations referred to in this paragraph shall have been cured or waived.</w:t>
      </w:r>
    </w:p>
    <w:p>
      <w:pPr>
        <w:spacing w:after="0" w:line="21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The provisions of the 2013 Base Indenture, the 2019 Base Indenture and the 2022 Base Indenture described in the above paragraphs will not affect the rights of the holders of the debt securities of any series in the event of the occurrence of any other event of default.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Except as provided in the two succeeding paragraphs, the indenture provides that we and the trustee thereunder may, with the consent of the holders of not less than a majority in aggregate principal amount of the debt securities of any series then outstanding, including the notes (including, without limitation, consents obtained in connection with a purchase of, or tender offer or exchange offer for, debt securities of that series), voting as one class, add any provisions to, or change in any manner, eliminate or modify in any way the provisions of, the indenture or modify in any manner the rights of the holders of the debt securities of that series.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of any series, including the notes, without the consent of any holder to:</w:t>
      </w:r>
    </w:p>
    <w:p>
      <w:pPr>
        <w:spacing w:after="0" w:line="56" w:lineRule="exact"/>
        <w:rPr>
          <w:sz w:val="20"/>
          <w:szCs w:val="20"/>
          <w:color w:val="auto"/>
        </w:rPr>
      </w:pPr>
    </w:p>
    <w:p>
      <w:pPr>
        <w:ind w:left="700" w:hanging="256"/>
        <w:spacing w:after="0"/>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debt securities of any series;</w:t>
      </w:r>
    </w:p>
    <w:p>
      <w:pPr>
        <w:spacing w:after="0" w:line="267" w:lineRule="exact"/>
        <w:rPr>
          <w:rFonts w:ascii="Times New Roman" w:cs="Times New Roman" w:eastAsia="Times New Roman" w:hAnsi="Times New Roman"/>
          <w:sz w:val="18"/>
          <w:szCs w:val="18"/>
          <w:color w:val="auto"/>
        </w:rPr>
      </w:pPr>
    </w:p>
    <w:p>
      <w:pPr>
        <w:ind w:left="700" w:right="540" w:hanging="256"/>
        <w:spacing w:after="0" w:line="269" w:lineRule="auto"/>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assumption by a successor corporation of our obligations under the indenture and the debt securities of any series in the case of a merger, amalgamation, consolidation or sale of all or substantially all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20"/>
          </w:cols>
          <w:pgMar w:left="320" w:top="1439" w:right="359" w:bottom="1440" w:gutter="0" w:footer="0" w:header="0"/>
        </w:sectPr>
      </w:pPr>
    </w:p>
    <w:bookmarkStart w:id="163" w:name="page164"/>
    <w:bookmarkEnd w:id="163"/>
    <w:p>
      <w:pPr>
        <w:ind w:left="700" w:hanging="256"/>
        <w:spacing w:after="0"/>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or events of default(s) for the protection of the holders of all or any series of debt securities;</w:t>
      </w:r>
    </w:p>
    <w:p>
      <w:pPr>
        <w:spacing w:after="0" w:line="280" w:lineRule="exact"/>
        <w:rPr>
          <w:rFonts w:ascii="Times New Roman" w:cs="Times New Roman" w:eastAsia="Times New Roman" w:hAnsi="Times New Roman"/>
          <w:sz w:val="18"/>
          <w:szCs w:val="18"/>
          <w:color w:val="auto"/>
        </w:rPr>
      </w:pPr>
    </w:p>
    <w:p>
      <w:pPr>
        <w:ind w:left="700" w:right="140" w:hanging="256"/>
        <w:spacing w:after="0" w:line="269" w:lineRule="auto"/>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defect or inconsistency in the indenture or make any other provisions as we may deem necessary or desirable; provided, however, that no such provisions will materially adversely affect the interests of the holders of any debt securities;</w:t>
      </w:r>
    </w:p>
    <w:p>
      <w:pPr>
        <w:spacing w:after="0" w:line="221"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 in accordance with the indenture;</w:t>
      </w:r>
    </w:p>
    <w:p>
      <w:pPr>
        <w:spacing w:after="0" w:line="280" w:lineRule="exact"/>
        <w:rPr>
          <w:rFonts w:ascii="Times New Roman" w:cs="Times New Roman" w:eastAsia="Times New Roman" w:hAnsi="Times New Roman"/>
          <w:sz w:val="18"/>
          <w:szCs w:val="18"/>
          <w:color w:val="auto"/>
        </w:rPr>
      </w:pPr>
    </w:p>
    <w:p>
      <w:pPr>
        <w:ind w:left="700" w:hanging="256"/>
        <w:spacing w:after="0" w:line="269" w:lineRule="auto"/>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debt securities in addition to, or in place of, certificated debt securities of any series in a manner that does not materially and adversely affect any holders of the debt securities of that series;</w:t>
      </w:r>
    </w:p>
    <w:p>
      <w:pPr>
        <w:spacing w:after="0" w:line="234" w:lineRule="exact"/>
        <w:rPr>
          <w:rFonts w:ascii="Times New Roman" w:cs="Times New Roman" w:eastAsia="Times New Roman" w:hAnsi="Times New Roman"/>
          <w:sz w:val="18"/>
          <w:szCs w:val="18"/>
          <w:color w:val="auto"/>
        </w:rPr>
      </w:pPr>
    </w:p>
    <w:p>
      <w:pPr>
        <w:ind w:left="700" w:right="140" w:hanging="256"/>
        <w:spacing w:after="0" w:line="256" w:lineRule="auto"/>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text of the indenture or the debt securities of any series to any provision of the “Description of Debt Securities” in the prospectus or “Description of Securities” in the prospectus supplement for that series to the extent that the provision in that description was intended to be a verbatim recitation of a provision of the indenture or the debt securities of that series;</w:t>
      </w:r>
    </w:p>
    <w:p>
      <w:pPr>
        <w:spacing w:after="0" w:line="233" w:lineRule="exact"/>
        <w:rPr>
          <w:rFonts w:ascii="Times New Roman" w:cs="Times New Roman" w:eastAsia="Times New Roman" w:hAnsi="Times New Roman"/>
          <w:sz w:val="18"/>
          <w:szCs w:val="18"/>
          <w:color w:val="auto"/>
        </w:rPr>
      </w:pPr>
    </w:p>
    <w:p>
      <w:pPr>
        <w:ind w:left="700" w:right="60" w:hanging="256"/>
        <w:spacing w:after="0" w:line="269" w:lineRule="auto"/>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additional debt securities of any series in accordance with the limitations set forth in the indenture as of the date of the indenture;</w:t>
      </w:r>
    </w:p>
    <w:p>
      <w:pPr>
        <w:spacing w:after="0" w:line="234" w:lineRule="exact"/>
        <w:rPr>
          <w:rFonts w:ascii="Times New Roman" w:cs="Times New Roman" w:eastAsia="Times New Roman" w:hAnsi="Times New Roman"/>
          <w:sz w:val="18"/>
          <w:szCs w:val="18"/>
          <w:color w:val="auto"/>
        </w:rPr>
      </w:pPr>
    </w:p>
    <w:p>
      <w:pPr>
        <w:ind w:left="700" w:right="240" w:hanging="256"/>
        <w:spacing w:after="0" w:line="332" w:lineRule="auto"/>
        <w:tabs>
          <w:tab w:leader="none" w:pos="7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that would provide any additional rights or benefits to the holders of all or any series of debt securities or that does not adversely affect the legal rights under the indenture of any such holder or any holder of a beneficial interest in the debt securities of that series;</w:t>
      </w:r>
    </w:p>
    <w:p>
      <w:pPr>
        <w:spacing w:after="0" w:line="189" w:lineRule="exact"/>
        <w:rPr>
          <w:rFonts w:ascii="Times New Roman" w:cs="Times New Roman" w:eastAsia="Times New Roman" w:hAnsi="Times New Roman"/>
          <w:sz w:val="16"/>
          <w:szCs w:val="16"/>
          <w:color w:val="auto"/>
        </w:rPr>
      </w:pPr>
    </w:p>
    <w:p>
      <w:pPr>
        <w:ind w:left="700" w:hanging="256"/>
        <w:spacing w:after="0"/>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requirements of the SEC in order to effect or maintain the qualification of the indenture under the Trust Indenture Act;</w:t>
      </w:r>
    </w:p>
    <w:p>
      <w:pPr>
        <w:spacing w:after="0" w:line="267"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debt securities of any series as permitted by the indenture;</w:t>
      </w:r>
    </w:p>
    <w:p>
      <w:pPr>
        <w:spacing w:after="0" w:line="280"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our obligations in respect of the debt securities of any series;</w:t>
      </w:r>
    </w:p>
    <w:p>
      <w:pPr>
        <w:spacing w:after="0" w:line="280" w:lineRule="exact"/>
        <w:rPr>
          <w:rFonts w:ascii="Times New Roman" w:cs="Times New Roman" w:eastAsia="Times New Roman" w:hAnsi="Times New Roman"/>
          <w:sz w:val="18"/>
          <w:szCs w:val="18"/>
          <w:color w:val="auto"/>
        </w:rPr>
      </w:pPr>
    </w:p>
    <w:p>
      <w:pPr>
        <w:ind w:left="700" w:right="120" w:hanging="256"/>
        <w:spacing w:after="0" w:line="252" w:lineRule="auto"/>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convertible or exchangeable debt securities of any series, subject to the provisions of the supplemental indenture for that series, to provide for conversion rights, exchange rights and/or repurchase rights of holders of that series in connection with any reclassification or change of our common stock or in the event of any amalgamation, consolidation, merger or sale of all or substantially all of the assets of us or our subsidiaries substantially as an entirety occurs;</w:t>
      </w:r>
    </w:p>
    <w:p>
      <w:pPr>
        <w:spacing w:after="0" w:line="237"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convertible or exchangeable debt securities of any series, to reduce the conversion price or exchange price applicable to that series;</w:t>
      </w:r>
    </w:p>
    <w:p>
      <w:pPr>
        <w:spacing w:after="0" w:line="303" w:lineRule="exact"/>
        <w:rPr>
          <w:rFonts w:ascii="Times New Roman" w:cs="Times New Roman" w:eastAsia="Times New Roman" w:hAnsi="Times New Roman"/>
          <w:sz w:val="16"/>
          <w:szCs w:val="16"/>
          <w:color w:val="auto"/>
        </w:rPr>
      </w:pPr>
    </w:p>
    <w:p>
      <w:pPr>
        <w:ind w:left="700" w:right="120" w:hanging="256"/>
        <w:spacing w:after="0" w:line="256" w:lineRule="auto"/>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convertible or exchangeable debt securities of any series, to increase the conversion rate or exchange ratio in the manner described in the supplemental indenture for that series, provided that the increase will not adversely affect the interests of the holders of that series in any material respect; or</w:t>
      </w:r>
    </w:p>
    <w:p>
      <w:pPr>
        <w:spacing w:after="0" w:line="246" w:lineRule="exact"/>
        <w:rPr>
          <w:rFonts w:ascii="Times New Roman" w:cs="Times New Roman" w:eastAsia="Times New Roman" w:hAnsi="Times New Roman"/>
          <w:sz w:val="18"/>
          <w:szCs w:val="18"/>
          <w:color w:val="auto"/>
        </w:rPr>
      </w:pPr>
    </w:p>
    <w:p>
      <w:pPr>
        <w:ind w:left="700" w:right="120" w:hanging="256"/>
        <w:spacing w:after="0" w:line="269" w:lineRule="auto"/>
        <w:tabs>
          <w:tab w:leader="none" w:pos="7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to amend or supplement the indenture or the debt securities of any series as described in the prospectus supplement with respect to that series of debt securities.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trustee may not, without the consent of the holder of each outstanding debt security affected thereby:</w:t>
      </w:r>
    </w:p>
    <w:p>
      <w:pPr>
        <w:spacing w:after="0" w:line="56" w:lineRule="exact"/>
        <w:rPr>
          <w:sz w:val="20"/>
          <w:szCs w:val="20"/>
          <w:color w:val="auto"/>
        </w:rPr>
      </w:pPr>
    </w:p>
    <w:p>
      <w:pPr>
        <w:ind w:left="700" w:hanging="256"/>
        <w:spacing w:after="0"/>
        <w:tabs>
          <w:tab w:leader="none" w:pos="7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final maturity of any debt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0980"/>
          </w:cols>
          <w:pgMar w:left="320" w:top="1439" w:right="599" w:bottom="1440" w:gutter="0" w:footer="0" w:header="0"/>
        </w:sectPr>
      </w:pPr>
    </w:p>
    <w:bookmarkStart w:id="164" w:name="page165"/>
    <w:bookmarkEnd w:id="164"/>
    <w:p>
      <w:pPr>
        <w:ind w:left="700" w:hanging="256"/>
        <w:spacing w:after="0"/>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aggregate principal amount on any debt security;</w:t>
      </w:r>
    </w:p>
    <w:p>
      <w:pPr>
        <w:spacing w:after="0" w:line="280"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amend or modify the calculation, or time of payment, of interest, including defaulted interest on any debt security;</w:t>
      </w:r>
    </w:p>
    <w:p>
      <w:pPr>
        <w:spacing w:after="0" w:line="267" w:lineRule="exact"/>
        <w:rPr>
          <w:rFonts w:ascii="Times New Roman" w:cs="Times New Roman" w:eastAsia="Times New Roman" w:hAnsi="Times New Roman"/>
          <w:sz w:val="18"/>
          <w:szCs w:val="18"/>
          <w:color w:val="auto"/>
        </w:rPr>
      </w:pPr>
    </w:p>
    <w:p>
      <w:pPr>
        <w:ind w:left="700" w:right="200" w:hanging="256"/>
        <w:spacing w:after="0" w:line="256" w:lineRule="auto"/>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alter the method of computation of any amount payable on any debt security upon redemption, prepayment or purchase of any debt security or otherwise alter or waive any of the provisions with respect to the redemption of any debt security, or waive a redemption payment with respect to any debt security;</w:t>
      </w:r>
    </w:p>
    <w:p>
      <w:pPr>
        <w:spacing w:after="0" w:line="141"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the principal of, or interest or premium, if any, on any debt security is payable;</w:t>
      </w:r>
    </w:p>
    <w:p>
      <w:pPr>
        <w:spacing w:after="0" w:line="280" w:lineRule="exact"/>
        <w:rPr>
          <w:rFonts w:ascii="Times New Roman" w:cs="Times New Roman" w:eastAsia="Times New Roman" w:hAnsi="Times New Roman"/>
          <w:sz w:val="18"/>
          <w:szCs w:val="18"/>
          <w:color w:val="auto"/>
        </w:rPr>
      </w:pPr>
    </w:p>
    <w:p>
      <w:pPr>
        <w:ind w:left="700" w:right="320" w:hanging="256"/>
        <w:spacing w:after="0" w:line="256" w:lineRule="auto"/>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any debt security when due, or otherwise make any change in the provisions of the indenture relating to waivers of past defaults or the rights of holders of any debt security to receive payments of principal of, or premium, if any, or interest on any debt security;</w:t>
      </w:r>
    </w:p>
    <w:p>
      <w:pPr>
        <w:spacing w:after="0" w:line="233" w:lineRule="exact"/>
        <w:rPr>
          <w:rFonts w:ascii="Times New Roman" w:cs="Times New Roman" w:eastAsia="Times New Roman" w:hAnsi="Times New Roman"/>
          <w:sz w:val="18"/>
          <w:szCs w:val="18"/>
          <w:color w:val="auto"/>
        </w:rPr>
      </w:pPr>
    </w:p>
    <w:p>
      <w:pPr>
        <w:ind w:left="700" w:right="280" w:hanging="256"/>
        <w:spacing w:after="0" w:line="256" w:lineRule="auto"/>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provisions of the indenture with respect to modification and waiver (including waiver of certain covenants, waiver of a default or event of default in respect of debt securities of any series), except to increase the percentage required for modification or waiver or to provide for the consent of each affected holder;</w:t>
      </w:r>
    </w:p>
    <w:p>
      <w:pPr>
        <w:spacing w:after="0" w:line="246" w:lineRule="exact"/>
        <w:rPr>
          <w:rFonts w:ascii="Times New Roman" w:cs="Times New Roman" w:eastAsia="Times New Roman" w:hAnsi="Times New Roman"/>
          <w:sz w:val="18"/>
          <w:szCs w:val="18"/>
          <w:color w:val="auto"/>
        </w:rPr>
      </w:pPr>
    </w:p>
    <w:p>
      <w:pPr>
        <w:ind w:left="700" w:right="300" w:hanging="256"/>
        <w:spacing w:after="0" w:line="269" w:lineRule="auto"/>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principal amount of outstanding debt securities of any series whose holders must consent to an amendment, supplement or waiver of the indenture or the debt securities of that series;</w:t>
      </w:r>
    </w:p>
    <w:p>
      <w:pPr>
        <w:spacing w:after="0" w:line="234" w:lineRule="exact"/>
        <w:rPr>
          <w:rFonts w:ascii="Times New Roman" w:cs="Times New Roman" w:eastAsia="Times New Roman" w:hAnsi="Times New Roman"/>
          <w:sz w:val="18"/>
          <w:szCs w:val="18"/>
          <w:color w:val="auto"/>
        </w:rPr>
      </w:pPr>
    </w:p>
    <w:p>
      <w:pPr>
        <w:ind w:left="700" w:right="760" w:hanging="256"/>
        <w:spacing w:after="0" w:line="269" w:lineRule="auto"/>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provisions of the Subordinated Indenture in a manner adverse to the holders of debt securities issued thereunder in any material respect;</w:t>
      </w:r>
    </w:p>
    <w:p>
      <w:pPr>
        <w:spacing w:after="0" w:line="221" w:lineRule="exact"/>
        <w:rPr>
          <w:rFonts w:ascii="Times New Roman" w:cs="Times New Roman" w:eastAsia="Times New Roman" w:hAnsi="Times New Roman"/>
          <w:sz w:val="18"/>
          <w:szCs w:val="18"/>
          <w:color w:val="auto"/>
        </w:rPr>
      </w:pPr>
    </w:p>
    <w:p>
      <w:pPr>
        <w:ind w:left="700" w:right="1120" w:hanging="256"/>
        <w:spacing w:after="0" w:line="269" w:lineRule="auto"/>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rights of holders of debt securities of any series that are exchangeable or convertible to receive payment or delivery of any consideration due upon the conversion or exchange of the debt securities of that series; or</w:t>
      </w:r>
    </w:p>
    <w:p>
      <w:pPr>
        <w:spacing w:after="0" w:line="234" w:lineRule="exact"/>
        <w:rPr>
          <w:rFonts w:ascii="Times New Roman" w:cs="Times New Roman" w:eastAsia="Times New Roman" w:hAnsi="Times New Roman"/>
          <w:sz w:val="18"/>
          <w:szCs w:val="18"/>
          <w:color w:val="auto"/>
        </w:rPr>
      </w:pPr>
    </w:p>
    <w:p>
      <w:pPr>
        <w:ind w:left="700" w:right="600" w:hanging="256"/>
        <w:spacing w:after="0" w:line="269" w:lineRule="auto"/>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to modify or amend the indenture or the debt securities of any series as may be described in the prospectus supplement with respect to that series of debt securities as requiring the consent of each holder affected thereby.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those debt securities), upon the deposit with the applicable trustee, in trust, of money and/or U.S. government obligations, which through the payment of interest and principal of the U.S. government obligations in accordance with their terms will provide money in an amount sufficient to pay any installment of principal and premium, if any, and interest, if any, on the debt securities of that series on the stated maturity date thereof in accordance with the terms of the indenture and the debt securities of that series. Also, the establishment of such a trust will be conditioned on the delivery by us to the trustee of an opinion of counsel reasonably satisfactory to the trustee to the effect that, based upon applicable U.S. federal income tax law or a ruling published by the United States Internal Revenue Service, or the IRS, such a defeasance and discharge will not be deemed, or result in, a taxable event with respect to the holders. For the avoidance of doubt, such an opinion would require a change in current U.S. tax law.</w:t>
      </w:r>
    </w:p>
    <w:p>
      <w:pPr>
        <w:spacing w:after="0" w:line="96"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We may also omit to comply with the restrictive covenants, if any, of any particular series of debt securities, other than our covenant to pay the amounts due and owing with respect to that series. Any such omission will not be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180"/>
          </w:cols>
          <w:pgMar w:left="320" w:top="1439" w:right="399" w:bottom="1440" w:gutter="0" w:footer="0" w:header="0"/>
        </w:sectPr>
      </w:pPr>
    </w:p>
    <w:bookmarkStart w:id="165" w:name="page166"/>
    <w:bookmarkEnd w:id="165"/>
    <w:p>
      <w:pPr>
        <w:spacing w:after="0" w:line="9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event of default with respect to the debt securities of that series, upon the deposit with the applicable trustee, in trust, of money and/or U.S. government obligations, which through the payment of interest and principal of the U.S. government obligations in accordance with their terms will provide money in an amount sufficient to pay any installment of principal and premium, if any, and interest, if any, on the debt securities of that series on the stated maturity date thereof in accordance with the terms of the indenture and the debt securities of that series. Our obligations under the indenture and the debt securities of that series other than with respect to those covenants will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7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At our option, we may satisfy and discharge the indenture with respect to the debt securities of any series (except for specified obligations of the trustee and ours, including, among others, the obligations to apply money held in trust) when:</w:t>
      </w:r>
    </w:p>
    <w:p>
      <w:pPr>
        <w:spacing w:after="0" w:line="10" w:lineRule="exact"/>
        <w:rPr>
          <w:sz w:val="20"/>
          <w:szCs w:val="20"/>
          <w:color w:val="auto"/>
        </w:rPr>
      </w:pPr>
    </w:p>
    <w:p>
      <w:pPr>
        <w:ind w:left="700" w:right="240" w:hanging="256"/>
        <w:spacing w:after="0" w:line="250" w:lineRule="auto"/>
        <w:tabs>
          <w:tab w:leader="none" w:pos="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all debt securities of that series previously authenticated under the indenture have been delivered to the trustee for cancellation or (b) all debt securities of that series not yet delivered to the trustee for cancellation (i) have become due and payable by reason of the mailing of a notice of redemption or otherwise or (ii) will become due and payable within one year, and we have irrevocably deposited or caused to be deposited with the trustee as trust funds in trust solely for the benefit of the holders an amount sufficient to pay and discharge the entire indebtedness on debt securities of that series;</w:t>
      </w:r>
    </w:p>
    <w:p>
      <w:pPr>
        <w:spacing w:after="0" w:line="252" w:lineRule="exact"/>
        <w:rPr>
          <w:rFonts w:ascii="Times New Roman" w:cs="Times New Roman" w:eastAsia="Times New Roman" w:hAnsi="Times New Roman"/>
          <w:sz w:val="18"/>
          <w:szCs w:val="18"/>
          <w:color w:val="auto"/>
        </w:rPr>
      </w:pPr>
    </w:p>
    <w:p>
      <w:pPr>
        <w:ind w:left="700" w:right="240" w:hanging="256"/>
        <w:spacing w:after="0" w:line="269" w:lineRule="auto"/>
        <w:tabs>
          <w:tab w:leader="none" w:pos="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debt securities of that series has occurred or is continuing on the date of the deposit or will occur as a result of the deposit and the deposit will not result in a breach or violation of any other instrument to which we are bound;</w:t>
      </w:r>
    </w:p>
    <w:p>
      <w:pPr>
        <w:spacing w:after="0" w:line="221" w:lineRule="exact"/>
        <w:rPr>
          <w:rFonts w:ascii="Times New Roman" w:cs="Times New Roman" w:eastAsia="Times New Roman" w:hAnsi="Times New Roman"/>
          <w:sz w:val="18"/>
          <w:szCs w:val="18"/>
          <w:color w:val="auto"/>
        </w:rPr>
      </w:pPr>
    </w:p>
    <w:p>
      <w:pPr>
        <w:ind w:left="700" w:right="300" w:hanging="256"/>
        <w:spacing w:after="0" w:line="269" w:lineRule="auto"/>
        <w:tabs>
          <w:tab w:leader="none" w:pos="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and any applicable supplemental indenture with respect to the debt securities of that series;</w:t>
      </w:r>
    </w:p>
    <w:p>
      <w:pPr>
        <w:spacing w:after="0" w:line="234" w:lineRule="exact"/>
        <w:rPr>
          <w:rFonts w:ascii="Times New Roman" w:cs="Times New Roman" w:eastAsia="Times New Roman" w:hAnsi="Times New Roman"/>
          <w:sz w:val="18"/>
          <w:szCs w:val="18"/>
          <w:color w:val="auto"/>
        </w:rPr>
      </w:pPr>
    </w:p>
    <w:p>
      <w:pPr>
        <w:ind w:left="700" w:right="400" w:hanging="256"/>
        <w:spacing w:after="0" w:line="269" w:lineRule="auto"/>
        <w:tabs>
          <w:tab w:leader="none" w:pos="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irrevocable instructions to the trustee to apply the deposited funds toward the payment of securities of that series at the stated maturity date or the redemption date, as applicable; and</w:t>
      </w:r>
    </w:p>
    <w:p>
      <w:pPr>
        <w:spacing w:after="0" w:line="234" w:lineRule="exact"/>
        <w:rPr>
          <w:rFonts w:ascii="Times New Roman" w:cs="Times New Roman" w:eastAsia="Times New Roman" w:hAnsi="Times New Roman"/>
          <w:sz w:val="18"/>
          <w:szCs w:val="18"/>
          <w:color w:val="auto"/>
        </w:rPr>
      </w:pPr>
    </w:p>
    <w:p>
      <w:pPr>
        <w:ind w:left="700" w:right="440" w:hanging="256"/>
        <w:spacing w:after="0" w:line="269" w:lineRule="auto"/>
        <w:tabs>
          <w:tab w:leader="none" w:pos="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relating to the satisfaction and discharge of the indenture as to that series have been satisfied.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“Adjusted EBITDA” means, for the 12-month period preceding the calculation date, for us and our Subsidiaries on a consolidated basis in accordance with GAAP, the sum of (a) Net Income, plus (b) to the extent deducted in determining Net Income, the sum of (i) Interest Expense, (ii) income tax expense, including, without limitation, taxes paid or accrued based on income, profits or capital, including state, franchise and similar taxes and foreign withholding taxes, (iii) depreciation and amortization (including, without limitation, amortization of goodwill and other intangible assets), (iv) extraordinary losses and non-recurring non-cash charges and expenses, (v) all other non-cash charges, expenses and interest (including, without limitation, any non-cash losses in respect of Commodity Agreements, Currency Agreements or Interest Rate Agreements, non-cash impairment charges, non-cash valuation charges for stock option grants or vesting of restricted stock awards or any other non-cash compensation charges, and losses from the early extinguishment of Indebtedness) and (vi) nonrecurring charges and expenses, restructuring charges, transaction expenses (including, without limitation, transaction expenses incurred in connection with any merger or acquisition) and underwriters’ fees or discounts, and severance and retention payments in connection with any merger or acquisition, in each case for such period, less extraordinary gains and cash payments (not otherwise deducted in determining net income) made during such period with respect to non-cash charges that were added back in a prior period; provided, however, (I) with respect to any Person that became a Subsidiary, or was merged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5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with or consolidated into us or any Subsidiary, during such period, or any acquisition by us or any Subsidiary of the assets of any Person during such period, “Adjusted EBITDA” shall, at our option in respect of any or all of the foregoing, also include the Adjusted EBITDA of such Person or attributable to such assets, as applicable, during such period as if such acquisition, merger or consolidation had occurred on the first day of such period and (II) with respect to any Person that has ceased to be a Subsidiary during such period, or any material assets of us or any Subsidiary sold or otherwise disposed of by us or any Subsidiary during such period, “Adjusted EBITDA” shall exclude the Adjusted EBITDA of such Person or attributable to such assets, as applicable, during such period as if such sale or disposition of such Subsidiary or such assets had occurred on the first day of such period.</w:t>
      </w:r>
    </w:p>
    <w:p>
      <w:pPr>
        <w:spacing w:after="0" w:line="14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“Beneficial Owner” has the meaning assigned to such term in Rule 13d-3 and Rule 13d-5 under the Exchange Act, except that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means either our Board of Directors or any committee of such Board duly authorized to act on our behalf.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Resolution” means one or more resolutions duly adopted or consented to by the Board of Directors and in full force and effect.</w:t>
      </w:r>
    </w:p>
    <w:p>
      <w:pPr>
        <w:spacing w:after="0" w:line="175"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“Business Day” means any day, other than a Saturday or Sunday, (1) which is not a day on which banking institutions in The City of New York or The City of London are authorized or required by law, regulation or executive order to close and (2) on which the Trans-European Automated Real-time Gross Settlement Express Transfer system (the TARGET2 system), or any successor thereto, operates.</w:t>
      </w:r>
    </w:p>
    <w:p>
      <w:pPr>
        <w:spacing w:after="0" w:line="15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“Capital Lease Obligations” means, at the time any determination is to be made, the amount of the liability in respect of a capital lease that would at that time be required to be capitalized on a balance sheet in accordance with GAAP.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Stock” means:</w:t>
      </w:r>
    </w:p>
    <w:p>
      <w:pPr>
        <w:spacing w:after="0" w:line="175" w:lineRule="exact"/>
        <w:rPr>
          <w:sz w:val="20"/>
          <w:szCs w:val="20"/>
          <w:color w:val="auto"/>
        </w:rPr>
      </w:pPr>
    </w:p>
    <w:p>
      <w:pPr>
        <w:ind w:left="260" w:hanging="255"/>
        <w:spacing w:after="0"/>
        <w:tabs>
          <w:tab w:leader="none" w:pos="2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240" w:lineRule="exact"/>
        <w:rPr>
          <w:rFonts w:ascii="Times New Roman" w:cs="Times New Roman" w:eastAsia="Times New Roman" w:hAnsi="Times New Roman"/>
          <w:sz w:val="18"/>
          <w:szCs w:val="18"/>
          <w:color w:val="auto"/>
        </w:rPr>
      </w:pPr>
    </w:p>
    <w:p>
      <w:pPr>
        <w:ind w:right="320" w:firstLine="5"/>
        <w:spacing w:after="0" w:line="269" w:lineRule="auto"/>
        <w:tabs>
          <w:tab w:leader="none" w:pos="24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142"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175" w:lineRule="exact"/>
        <w:rPr>
          <w:rFonts w:ascii="Times New Roman" w:cs="Times New Roman" w:eastAsia="Times New Roman" w:hAnsi="Times New Roman"/>
          <w:sz w:val="18"/>
          <w:szCs w:val="18"/>
          <w:color w:val="auto"/>
        </w:rPr>
      </w:pPr>
    </w:p>
    <w:p>
      <w:pPr>
        <w:ind w:right="280" w:firstLine="5"/>
        <w:spacing w:after="0" w:line="269" w:lineRule="auto"/>
        <w:tabs>
          <w:tab w:leader="none" w:pos="24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means the occurrence of any of the following:</w:t>
      </w:r>
    </w:p>
    <w:p>
      <w:pPr>
        <w:spacing w:after="0" w:line="188" w:lineRule="exact"/>
        <w:rPr>
          <w:sz w:val="20"/>
          <w:szCs w:val="20"/>
          <w:color w:val="auto"/>
        </w:rPr>
      </w:pPr>
    </w:p>
    <w:p>
      <w:pPr>
        <w:ind w:left="260" w:hanging="255"/>
        <w:spacing w:after="0"/>
        <w:tabs>
          <w:tab w:leader="none" w:pos="2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our liquidation or dissolution;</w:t>
      </w:r>
    </w:p>
    <w:p>
      <w:pPr>
        <w:spacing w:after="0" w:line="175" w:lineRule="exact"/>
        <w:rPr>
          <w:rFonts w:ascii="Times New Roman" w:cs="Times New Roman" w:eastAsia="Times New Roman" w:hAnsi="Times New Roman"/>
          <w:sz w:val="18"/>
          <w:szCs w:val="18"/>
          <w:color w:val="auto"/>
        </w:rPr>
      </w:pPr>
    </w:p>
    <w:p>
      <w:pPr>
        <w:ind w:firstLine="5"/>
        <w:spacing w:after="0" w:line="249" w:lineRule="auto"/>
        <w:tabs>
          <w:tab w:leader="none" w:pos="24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 13(d)(3) of the Exchange Act, becomes the Beneficial Owner, directly or indirectly, of more than 50% of the voting power of our Voting Stock; provided that a transaction in which we become a Subsidiary of another Person shall not constitute a Change of Control if (a) our stockholders immediately prior to such transaction Beneficially Own, directly or indirectly through one or more intermediaries, 50% or more of the voting power of the outstanding Voting Stock of such other Person of whom we are a Subsidiary immediately following such transaction and (b) immediately following such transaction no person (as defined above) other than such other Person, Beneficially Owns, directly or indirectly, more than 50% of the voting power of our Voting Stock; or</w:t>
      </w:r>
    </w:p>
    <w:p>
      <w:pPr>
        <w:spacing w:after="0" w:line="147"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majority of the members of our Board of Directors are not Continuing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Ratings Decline.</w:t>
      </w:r>
    </w:p>
    <w:p>
      <w:pPr>
        <w:spacing w:after="0" w:line="18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“Commodity Agreement” of any Person means any commodity forward contract, commodity swap agreement, commodity option agreement or other similar agreement or arrangement to which such Person is a party.</w:t>
      </w:r>
    </w:p>
    <w:p>
      <w:pPr>
        <w:spacing w:after="0" w:line="12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“Comparable Government Bond” means, in relation to any Comparable Government Bond Rate calculation, a German government bond (Bundesanleihe) whose maturity is closest to the maturity of the notes, or if an Independent Investment Banker selected by the Company in its discretion determines that such similar bond is not in issue, another German government bond as the Independent Investment Banker may, with the advice of three brokers of, and/or market makers in, German government bonds selected by such Independent Investment Banker, determine to be appropriate for determining the Comparable Government Bond Rate.</w:t>
      </w:r>
    </w:p>
    <w:p>
      <w:pPr>
        <w:spacing w:after="0" w:line="14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“Comparable Government Bond Rate” means, with respect to any redemption date, the price, expressed as a percentage (rounded to three decimal places, with 0.0005 being rounded upwards), at which the gross redemption yield on the notes,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Banker selected by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Director” means, as of any date of determination, any member of our Board of Directors who:</w:t>
      </w:r>
    </w:p>
    <w:p>
      <w:pPr>
        <w:spacing w:after="0" w:line="175" w:lineRule="exact"/>
        <w:rPr>
          <w:sz w:val="20"/>
          <w:szCs w:val="20"/>
          <w:color w:val="auto"/>
        </w:rPr>
      </w:pPr>
    </w:p>
    <w:p>
      <w:pPr>
        <w:ind w:left="260" w:hanging="255"/>
        <w:spacing w:after="0"/>
        <w:tabs>
          <w:tab w:leader="none" w:pos="2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Issue Date; or</w:t>
      </w:r>
    </w:p>
    <w:p>
      <w:pPr>
        <w:spacing w:after="0" w:line="175" w:lineRule="exact"/>
        <w:rPr>
          <w:rFonts w:ascii="Times New Roman" w:cs="Times New Roman" w:eastAsia="Times New Roman" w:hAnsi="Times New Roman"/>
          <w:sz w:val="18"/>
          <w:szCs w:val="18"/>
          <w:color w:val="auto"/>
        </w:rPr>
      </w:pPr>
    </w:p>
    <w:p>
      <w:pPr>
        <w:ind w:right="220" w:firstLine="5"/>
        <w:spacing w:after="0" w:line="269" w:lineRule="auto"/>
        <w:tabs>
          <w:tab w:leader="none" w:pos="24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nominated for election or elected to such Board of Directors with the approval of a majority of the Continuing Directors who were members of such Board at the time of such nomination or election.</w:t>
      </w:r>
    </w:p>
    <w:p>
      <w:pPr>
        <w:spacing w:after="0" w:line="14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“Corporate Trust Office” means the designated office of the trustee at which at any time its corporate trust business shall be administered, which office at the date hereof is located at One Federal Street, 3rd Floor, EX-MA-FED, Boston, MA 02110, Attention: David W. Doucette, Vice President, or such other address as the trustee may designate from time to time by notice to the holders of the notes and us, or the principal corporate trust office of any successor trustee (or such other address as such successor trustee may designate from time to time by notice to the holders of the notes and us).</w:t>
      </w:r>
    </w:p>
    <w:p>
      <w:pPr>
        <w:spacing w:after="0" w:line="14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8"/>
          <w:szCs w:val="18"/>
          <w:color w:val="auto"/>
        </w:rPr>
        <w:t>“Currency Agreement” of any Person means any foreign exchange contract, currency swap agreement or other similar agreement or arrangement as to which such Person is a party.</w:t>
      </w:r>
    </w:p>
    <w:p>
      <w:pPr>
        <w:spacing w:after="0" w:line="129"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6"/>
          <w:szCs w:val="16"/>
          <w:color w:val="auto"/>
        </w:rPr>
        <w:t>“Disqualified Stock”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Stated Maturity of the notes.</w:t>
      </w:r>
    </w:p>
    <w:p>
      <w:pPr>
        <w:spacing w:after="0" w:line="12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“Fair Market Value” means, with respect to any asset, the price that (after taking into account any liabilities relating to such asset) would be paid in an arm’s-length transaction between an informed and willing seller under no compulsion to sell and an informed and willing buyer under no compulsion to buy, as determined in good faith by the Board of Directors, whose determination shall be conclusive if evidenced by a Board Resolution.</w:t>
      </w:r>
    </w:p>
    <w:p>
      <w:pPr>
        <w:spacing w:after="0" w:line="19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6"/>
          <w:szCs w:val="16"/>
          <w:color w:val="auto"/>
        </w:rPr>
        <w:t>“First Par Call Date” means, in the case of the 1.950% Notes, February 22, 2026, in the case of the 0.450% Notes, November 15, 2026, in the case of the 0.400% Notes, December 15, 2026, in the case of the 4.125% Notes, March 16, 2027, in the case of the 0.500% Notes, October 15, 2027, in the case of the</w:t>
      </w:r>
    </w:p>
    <w:p>
      <w:pPr>
        <w:spacing w:after="0" w:line="233" w:lineRule="auto"/>
        <w:rPr>
          <w:sz w:val="20"/>
          <w:szCs w:val="20"/>
          <w:color w:val="auto"/>
        </w:rPr>
      </w:pPr>
      <w:r>
        <w:rPr>
          <w:rFonts w:ascii="Times New Roman" w:cs="Times New Roman" w:eastAsia="Times New Roman" w:hAnsi="Times New Roman"/>
          <w:sz w:val="18"/>
          <w:szCs w:val="18"/>
          <w:color w:val="auto"/>
        </w:rPr>
        <w:t>0.875% Notes, February 21, 2029, in the case of the 3.900% Notes, February 16, 2030, in the case of the 0.950% Notes, July 5, 2030, in the case of the 4.625% Notes, February 16, 2031, in the case of the 3.900% Notes, October 15, 2031, in the case of the 3.625% Notes, March 30, 2032, in the case of the 1.250% Notes, February 21, 2033, and, in the case of the 4.100% Notes, February 16, 2034.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“Fitch” means Fitch, Inc. or any successor to the rating agency business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00"/>
          </w:cols>
          <w:pgMar w:left="320" w:top="1440" w:right="379" w:bottom="1440" w:gutter="0" w:footer="0" w:header="0"/>
        </w:sectPr>
      </w:pPr>
    </w:p>
    <w:bookmarkStart w:id="168" w:name="page169"/>
    <w:bookmarkEnd w:id="168"/>
    <w:p>
      <w:pPr>
        <w:spacing w:after="0" w:line="1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“Foreign Subsidiary” means, with respect to any Person, (a) any Subsidiary of such Person that is not organized or existing under the laws of, and whose principal business is conducted outside of, the United States, any state thereof, the District of Columbia, or any territory thereof (for purposes of this definition only, the “United States”), or (b) any Subsidiary of such Person that is organized or existing under the laws of the United States whose only material assets are the Capital Stock of Foreign Subsidiaries meeting clause (a) of this definition.</w:t>
      </w:r>
    </w:p>
    <w:p>
      <w:pPr>
        <w:spacing w:after="0" w:line="15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“GAAP” means generally accepted accounting principles set forth in the standards, statements and pronouncements of the Financial Accounting Standards Board, or in such other statements by such other entity as may be approved by a significant segment of the accounting profession of the United States, which are in effect on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the 0.500% Notes and the 1.000% Notes, leases shall continue to be classified and accounted for on a basis consistent with that reflected in the financial statements of the Company for the fiscal year ended December 31, 2018 for all purposes, notwithstanding any change in GAAP relating thereto, including with respect to Accounting Standards Codification 842.</w:t>
      </w:r>
    </w:p>
    <w:p>
      <w:pPr>
        <w:spacing w:after="0" w:line="147"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The term “Guarantee” used as a verb has a corresponding meaning.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means, with respect to any Person, any indebtedness of such Person, whether or not contingent:</w:t>
      </w:r>
    </w:p>
    <w:p>
      <w:pPr>
        <w:spacing w:after="0" w:line="188" w:lineRule="exact"/>
        <w:rPr>
          <w:sz w:val="20"/>
          <w:szCs w:val="20"/>
          <w:color w:val="auto"/>
        </w:rPr>
      </w:pPr>
    </w:p>
    <w:p>
      <w:pPr>
        <w:ind w:left="260" w:hanging="255"/>
        <w:spacing w:after="0"/>
        <w:tabs>
          <w:tab w:leader="none" w:pos="2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borrowed money;</w:t>
      </w:r>
    </w:p>
    <w:p>
      <w:pPr>
        <w:spacing w:after="0" w:line="175"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bonds, notes, debentures or similar instruments or letters of credit (or reimbursement agreements in respect thereof);</w:t>
      </w:r>
    </w:p>
    <w:p>
      <w:pPr>
        <w:spacing w:after="0" w:line="175"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188"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Capital Lease Obligations;</w:t>
      </w:r>
    </w:p>
    <w:p>
      <w:pPr>
        <w:spacing w:after="0" w:line="175" w:lineRule="exact"/>
        <w:rPr>
          <w:rFonts w:ascii="Times New Roman" w:cs="Times New Roman" w:eastAsia="Times New Roman" w:hAnsi="Times New Roman"/>
          <w:sz w:val="18"/>
          <w:szCs w:val="18"/>
          <w:color w:val="auto"/>
        </w:rPr>
      </w:pPr>
    </w:p>
    <w:p>
      <w:pPr>
        <w:ind w:right="280" w:firstLine="5"/>
        <w:spacing w:after="0" w:line="269" w:lineRule="auto"/>
        <w:tabs>
          <w:tab w:leader="none" w:pos="24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balance deferred and unpaid of the purchase price of any property, except any such balance that constitutes an accrued expense or trade payable;</w:t>
      </w:r>
    </w:p>
    <w:p>
      <w:pPr>
        <w:spacing w:after="0" w:line="128" w:lineRule="exact"/>
        <w:rPr>
          <w:rFonts w:ascii="Times New Roman" w:cs="Times New Roman" w:eastAsia="Times New Roman" w:hAnsi="Times New Roman"/>
          <w:sz w:val="18"/>
          <w:szCs w:val="18"/>
          <w:color w:val="auto"/>
        </w:rPr>
      </w:pPr>
    </w:p>
    <w:p>
      <w:pPr>
        <w:ind w:right="420" w:firstLine="5"/>
        <w:spacing w:after="0" w:line="269" w:lineRule="auto"/>
        <w:tabs>
          <w:tab w:leader="none" w:pos="24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obligations under any Interest Rate Agreements, Commodity Agreements and Currency Agreements except for those entered into for the purpose of fixing, hedging or swapping interest rate, commodity price or foreign currency exchange risk; or</w:t>
      </w:r>
    </w:p>
    <w:p>
      <w:pPr>
        <w:spacing w:after="0" w:line="194" w:lineRule="exact"/>
        <w:rPr>
          <w:rFonts w:ascii="Times New Roman" w:cs="Times New Roman" w:eastAsia="Times New Roman" w:hAnsi="Times New Roman"/>
          <w:sz w:val="18"/>
          <w:szCs w:val="18"/>
          <w:color w:val="auto"/>
        </w:rPr>
      </w:pPr>
    </w:p>
    <w:p>
      <w:pPr>
        <w:ind w:firstLine="5"/>
        <w:spacing w:after="0" w:line="249" w:lineRule="auto"/>
        <w:tabs>
          <w:tab w:leader="none" w:pos="24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Disqualified Stock issued by such Person with the amount of Indebtedness represented by such Disqualified Stock being equal to the greater of its voluntary or involuntary liquidation preference and its maximum fixed repurchase price, but excluding accrued dividends, if any; provided that (a) if the Disqualified Stock does not have a fixed repurchase price, such maximum fixed repurchase price shall be calculated in accordance with the terms of the Disqualified Stock as if the Disqualified Stock were purchased on any date on which Indebtedness shall be required to be determined pursuant to the indenture, and (b) if the maximum fixed repurchase price is based upon, or measured by, the fair market value of the Disqualified Capital Stock, the fair market value shall be the Fair Market Value thereof;</w:t>
      </w:r>
    </w:p>
    <w:p>
      <w:pPr>
        <w:spacing w:after="0" w:line="16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if and to the extent any of the preceding items (other than letters of credit and obligations under Interest Rate Agreements, Commodity Agreements and Currency Agreements) would appear as a liability upon a balance sheet of such Person prepared in accordance with GAAP. In addition, the term “Indebtedness” includes all Indebtedness of others secured by a Lien on any asset of such Person whether or not such Indebtedness is assumed by such Person (the amount of such Indebtedness as of any date being deemed to be the lesser of the Fair Market Value of such property or assets as of such date or the principal amount of such Indebtedness of such other Person so secured) and, to the extent not otherwise included, the Guarantee by such Person of any Indebtedness of any other Person.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00"/>
          </w:cols>
          <w:pgMar w:left="320" w:top="1440" w:right="379" w:bottom="1440" w:gutter="0" w:footer="0" w:header="0"/>
        </w:sectPr>
      </w:pPr>
    </w:p>
    <w:bookmarkStart w:id="169" w:name="page170"/>
    <w:bookmarkEnd w:id="169"/>
    <w:p>
      <w:pPr>
        <w:spacing w:after="0" w:line="118" w:lineRule="exact"/>
        <w:rPr>
          <w:sz w:val="20"/>
          <w:szCs w:val="20"/>
          <w:color w:val="auto"/>
        </w:rPr>
      </w:pPr>
    </w:p>
    <w:p>
      <w:pPr>
        <w:ind w:left="260" w:hanging="255"/>
        <w:spacing w:after="0"/>
        <w:tabs>
          <w:tab w:leader="none" w:pos="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issued with original issue discount; and</w:t>
      </w:r>
    </w:p>
    <w:p>
      <w:pPr>
        <w:spacing w:after="0" w:line="188" w:lineRule="exact"/>
        <w:rPr>
          <w:rFonts w:ascii="Times New Roman" w:cs="Times New Roman" w:eastAsia="Times New Roman" w:hAnsi="Times New Roman"/>
          <w:sz w:val="18"/>
          <w:szCs w:val="18"/>
          <w:color w:val="auto"/>
        </w:rPr>
      </w:pPr>
    </w:p>
    <w:p>
      <w:pPr>
        <w:ind w:right="640" w:firstLine="5"/>
        <w:spacing w:after="0" w:line="269" w:lineRule="auto"/>
        <w:tabs>
          <w:tab w:leader="none" w:pos="24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together with any interest on the Indebtedness that is more than 30 days past due, in the case of any other Indebtedness.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Investment Banker” means one of the Reference Government Bond Dealers appointed by us.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Expense” means, for any period, all cash interest expense (including imputed interest with respect to Capital Lease Obligations and commitment fees) with respect to any of our Indebtedness and our Subsidiaries’ Indebtedness on a consolidated basis during such period pursuant to the terms of such Indebtedness.</w:t>
      </w:r>
    </w:p>
    <w:p>
      <w:pPr>
        <w:spacing w:after="0" w:line="15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“Interest Rate Agreement” of any Person means any interest rate protection agreement, interest rate future agreement, interest rate option agreement, interest rate swap agreement, interest rate cap agreement, interest rate collar agreement, interest rate hedge agreement, option or future contract or other similar agreement or arrangement as to which such Person is a party.</w:t>
      </w:r>
    </w:p>
    <w:p>
      <w:pPr>
        <w:spacing w:after="0" w:line="14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“Investment Grade Rating” means a rating equal to or greater than BBB- by S&amp;P and Fitch and Baa3 by Moody’s or the equivalent thereof under any new ratings system if the ratings system of any such agency shall be modified after the Issue Date, or the equivalent rating or any other Ratings Agency selected by us as provided in the definition of Ratings Agency.</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“Issue Date” means, in the case of the 1.950% Notes, May 22, 2018, in the case of the 0.500% Notes and the 1.000% Notes, September 10, 2020, in the case of the 0.450% Notes, the 0.875% Notes and the 1.250% Notes, May 21, 2021, in the case of the 0.400% Notes and the 0.950% Notes, October 5, 2021, in the case of the 4.125% Notes and the 4.615% Notes, May 16, 2023, in the case of the 3.900% Notes and the 4.100% Notes, May 29, 2024 and in the case of the 3.625% Notes, May 30, 2025.</w:t>
      </w:r>
    </w:p>
    <w:p>
      <w:pPr>
        <w:spacing w:after="0" w:line="14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“Licenses” means, collectively, any telephone, microwave, radio transmissions, personal communications or other license, authorization, certificate of compliance, franchise, approval or permit, whether for the construction, ownership or operation of any communications tower facilities, granted or issued by the Federal Communications Commission (or other similar or successor agency of the federal government administering the Communications Act of 1934 or any similar or successor federal statute) and held by us or any of our Subsidiaries.</w:t>
      </w:r>
    </w:p>
    <w:p>
      <w:pPr>
        <w:spacing w:after="0" w:line="15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“Lien” means, with respect to any property or assets, including Capital Stock,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“Moody’s” means Moody’s Investors Services, Inc. or any successor to the rating agency business thereof.</w:t>
      </w:r>
    </w:p>
    <w:p>
      <w:pPr>
        <w:spacing w:after="0" w:line="175"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8"/>
          <w:szCs w:val="18"/>
          <w:color w:val="auto"/>
        </w:rPr>
        <w:t>“Net Income” means, for any period of determination, net income (loss) of us and our Subsidiaries, on a consolidated basis, determined in accordance with GAAP.</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“Newly Created Subsidiary” means a newly created direct or indirect Subsidiary of us that is formed or organized after the Issue Date; provided that neither we nor any of our Subsidiaries shall have transferred, or may in the future transfer, any assets (other than cash or cash equivalents) to such Newly Created Subsidiary for so long as such Newly Created Subsidiary remains designated as an Unrestricted Subsidiary.</w:t>
      </w:r>
    </w:p>
    <w:p>
      <w:pPr>
        <w:spacing w:after="0" w:line="1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“Officers' Certificate” means, with respect to any Person, a certificate signed by the Company’s chairman of the Board of Directors, the chief executive officer, the president, the chief operating officer, the chief financial officer, or any vice president and by the treasurer, any assistant treasurer, the controller, any assistant controller, the secretary or any assistant secretary of such Person in accordance with the applicable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11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“Permitted Amount” means, on any date, an amount equal to 3.5 times Adjusted EBITDA as of the most recent fiscal quarter for which our financial statements are internally available immediately preceding such date.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175" w:lineRule="exact"/>
        <w:rPr>
          <w:sz w:val="20"/>
          <w:szCs w:val="20"/>
          <w:color w:val="auto"/>
        </w:rPr>
      </w:pPr>
    </w:p>
    <w:p>
      <w:pPr>
        <w:ind w:left="260" w:hanging="255"/>
        <w:spacing w:after="0"/>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our Subsidiaries;</w:t>
      </w:r>
    </w:p>
    <w:p>
      <w:pPr>
        <w:spacing w:after="0" w:line="175"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Issue Date (other than those securing the SpectraSite ABS Facility) and renewals and replacements thereof;</w:t>
      </w:r>
    </w:p>
    <w:p>
      <w:pPr>
        <w:spacing w:after="0" w:line="188" w:lineRule="exact"/>
        <w:rPr>
          <w:rFonts w:ascii="Times New Roman" w:cs="Times New Roman" w:eastAsia="Times New Roman" w:hAnsi="Times New Roman"/>
          <w:sz w:val="18"/>
          <w:szCs w:val="18"/>
          <w:color w:val="auto"/>
        </w:rPr>
      </w:pPr>
    </w:p>
    <w:p>
      <w:pPr>
        <w:ind w:right="440" w:firstLine="5"/>
        <w:spacing w:after="0" w:line="256" w:lineRule="auto"/>
        <w:tabs>
          <w:tab w:leader="none" w:pos="2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or claims that are not yet delinquent or that are being contested in good faith by appropriate proceedings promptly instituted and diligently conducted; provided that any reserve or other appropriate provision as shall be required in conformity with GAAP shall have been made therefor;</w:t>
      </w:r>
    </w:p>
    <w:p>
      <w:pPr>
        <w:spacing w:after="0" w:line="141" w:lineRule="exact"/>
        <w:rPr>
          <w:rFonts w:ascii="Times New Roman" w:cs="Times New Roman" w:eastAsia="Times New Roman" w:hAnsi="Times New Roman"/>
          <w:sz w:val="18"/>
          <w:szCs w:val="18"/>
          <w:color w:val="auto"/>
        </w:rPr>
      </w:pPr>
    </w:p>
    <w:p>
      <w:pPr>
        <w:ind w:right="220" w:firstLine="5"/>
        <w:spacing w:after="0" w:line="332" w:lineRule="auto"/>
        <w:tabs>
          <w:tab w:leader="none" w:pos="249"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of carriers, warehousemen, mechanics, vendors (solely to the extent arising by operation of law), laborers and materialmen incurred in the ordinary course of business for sums not yet due or being diligently contested in good faith, if reserves or appropriate provisions shall have been made therefor;</w:t>
      </w:r>
    </w:p>
    <w:p>
      <w:pPr>
        <w:spacing w:after="0" w:line="83" w:lineRule="exact"/>
        <w:rPr>
          <w:rFonts w:ascii="Times New Roman" w:cs="Times New Roman" w:eastAsia="Times New Roman" w:hAnsi="Times New Roman"/>
          <w:sz w:val="16"/>
          <w:szCs w:val="16"/>
          <w:color w:val="auto"/>
        </w:rPr>
      </w:pPr>
    </w:p>
    <w:p>
      <w:pPr>
        <w:ind w:right="440" w:firstLine="5"/>
        <w:spacing w:after="0" w:line="269" w:lineRule="auto"/>
        <w:tabs>
          <w:tab w:leader="none" w:pos="2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in connection with worker’s compensation and unemployment insurance, social security obligations, assessments or government charges which are not overdue for more than 60 days;</w:t>
      </w:r>
    </w:p>
    <w:p>
      <w:pPr>
        <w:spacing w:after="0" w:line="142" w:lineRule="exact"/>
        <w:rPr>
          <w:rFonts w:ascii="Times New Roman" w:cs="Times New Roman" w:eastAsia="Times New Roman" w:hAnsi="Times New Roman"/>
          <w:sz w:val="18"/>
          <w:szCs w:val="18"/>
          <w:color w:val="auto"/>
        </w:rPr>
      </w:pPr>
    </w:p>
    <w:p>
      <w:pPr>
        <w:ind w:right="20" w:firstLine="5"/>
        <w:spacing w:after="0" w:line="252" w:lineRule="auto"/>
        <w:tabs>
          <w:tab w:leader="none" w:pos="2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Licenses or assets of us or any of our Subsidiaries imposed by any of the Licenses as in effect on the Issue Date or imposed by the Communications Act of 1934, any similar or successor federal statute or the rules and regulations of the Federal Communications Commission (or other similar or successor agency of the federal government administering such Act or successor statute) thereunder, all as the same may be in effect from time to time;</w:t>
      </w:r>
    </w:p>
    <w:p>
      <w:pPr>
        <w:spacing w:after="0" w:line="145" w:lineRule="exact"/>
        <w:rPr>
          <w:rFonts w:ascii="Times New Roman" w:cs="Times New Roman" w:eastAsia="Times New Roman" w:hAnsi="Times New Roman"/>
          <w:sz w:val="18"/>
          <w:szCs w:val="18"/>
          <w:color w:val="auto"/>
        </w:rPr>
      </w:pPr>
    </w:p>
    <w:p>
      <w:pPr>
        <w:ind w:right="460" w:firstLine="5"/>
        <w:spacing w:after="0" w:line="269" w:lineRule="auto"/>
        <w:tabs>
          <w:tab w:leader="none" w:pos="2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operation of law in favor of purchasers in connection with the sale of an asset; provided, however, that such Lien only encumbers the property being sold;</w:t>
      </w:r>
    </w:p>
    <w:p>
      <w:pPr>
        <w:spacing w:after="0" w:line="128"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performance of statutory obligations, surety or appeal bonds, performance bonds, bids or tenders;</w:t>
      </w:r>
    </w:p>
    <w:p>
      <w:pPr>
        <w:spacing w:after="0" w:line="188"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w:t>
      </w:r>
    </w:p>
    <w:p>
      <w:pPr>
        <w:spacing w:after="0" w:line="175" w:lineRule="exact"/>
        <w:rPr>
          <w:rFonts w:ascii="Times New Roman" w:cs="Times New Roman" w:eastAsia="Times New Roman" w:hAnsi="Times New Roman"/>
          <w:sz w:val="18"/>
          <w:szCs w:val="18"/>
          <w:color w:val="auto"/>
        </w:rPr>
      </w:pPr>
    </w:p>
    <w:p>
      <w:pPr>
        <w:ind w:left="340" w:hanging="335"/>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escrow or security deposits made in connection with any acquisition of assets;</w:t>
      </w:r>
    </w:p>
    <w:p>
      <w:pPr>
        <w:spacing w:after="0" w:line="240" w:lineRule="exact"/>
        <w:rPr>
          <w:rFonts w:ascii="Times New Roman" w:cs="Times New Roman" w:eastAsia="Times New Roman" w:hAnsi="Times New Roman"/>
          <w:sz w:val="18"/>
          <w:szCs w:val="18"/>
          <w:color w:val="auto"/>
        </w:rPr>
      </w:pPr>
    </w:p>
    <w:p>
      <w:pPr>
        <w:jc w:val="both"/>
        <w:ind w:right="200" w:firstLine="5"/>
        <w:spacing w:after="0" w:line="294" w:lineRule="auto"/>
        <w:tabs>
          <w:tab w:leader="none" w:pos="33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Indebtedness since the Issue Date represented by Capital Lease Obligations, mortgage financings or purchase money obligations, in each case incurred for the purpose of financing all or any part of the purchase price or cost of construction or improvement of property, plant or equipment used in any business of us or any of our Subsidiaries in an aggregate principal amount, including all Indebtedness incurred to refund, refinance or replace any other Indebtedness of the type described under this clause (11), not to exceed $500.0 million at any time outstanding for us and any of our Subsidiaries;</w:t>
      </w:r>
    </w:p>
    <w:p>
      <w:pPr>
        <w:spacing w:after="0" w:line="112" w:lineRule="exact"/>
        <w:rPr>
          <w:rFonts w:ascii="Times New Roman" w:cs="Times New Roman" w:eastAsia="Times New Roman" w:hAnsi="Times New Roman"/>
          <w:sz w:val="16"/>
          <w:szCs w:val="16"/>
          <w:color w:val="auto"/>
        </w:rPr>
      </w:pPr>
    </w:p>
    <w:p>
      <w:pPr>
        <w:ind w:left="340" w:hanging="335"/>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under Interest Rate Agreements, Commodity Agreements and Currency Agreements not for speculative purposes;</w:t>
      </w:r>
    </w:p>
    <w:p>
      <w:pPr>
        <w:spacing w:after="0" w:line="188" w:lineRule="exact"/>
        <w:rPr>
          <w:rFonts w:ascii="Times New Roman" w:cs="Times New Roman" w:eastAsia="Times New Roman" w:hAnsi="Times New Roman"/>
          <w:sz w:val="18"/>
          <w:szCs w:val="18"/>
          <w:color w:val="auto"/>
        </w:rPr>
      </w:pPr>
    </w:p>
    <w:p>
      <w:pPr>
        <w:ind w:left="340" w:hanging="335"/>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zoning restrictions, licenses or restrictions on use and other similar encumbrances on the use of real property that:</w:t>
      </w:r>
    </w:p>
    <w:p>
      <w:pPr>
        <w:spacing w:after="0" w:line="175" w:lineRule="exact"/>
        <w:rPr>
          <w:sz w:val="20"/>
          <w:szCs w:val="20"/>
          <w:color w:val="auto"/>
        </w:rPr>
      </w:pPr>
    </w:p>
    <w:p>
      <w:pPr>
        <w:ind w:right="700" w:firstLine="5"/>
        <w:spacing w:after="0" w:line="269" w:lineRule="auto"/>
        <w:tabs>
          <w:tab w:leader="none" w:pos="23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incurred in connection with the borrowing of money or the obtaining of advances or credit (other than trade credit in the ordinary course of business); and</w:t>
      </w:r>
    </w:p>
    <w:p>
      <w:pPr>
        <w:spacing w:after="0" w:line="128" w:lineRule="exact"/>
        <w:rPr>
          <w:rFonts w:ascii="Times New Roman" w:cs="Times New Roman" w:eastAsia="Times New Roman" w:hAnsi="Times New Roman"/>
          <w:sz w:val="18"/>
          <w:szCs w:val="18"/>
          <w:color w:val="auto"/>
        </w:rPr>
      </w:pPr>
    </w:p>
    <w:p>
      <w:pPr>
        <w:ind w:right="440" w:firstLine="5"/>
        <w:spacing w:after="0" w:line="269" w:lineRule="auto"/>
        <w:tabs>
          <w:tab w:leader="none" w:pos="24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in the aggregate materially detract from the value of the property or materially impair the use thereof in the operation of business by us and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18" w:lineRule="exact"/>
        <w:rPr>
          <w:sz w:val="20"/>
          <w:szCs w:val="20"/>
          <w:color w:val="auto"/>
        </w:rPr>
      </w:pPr>
    </w:p>
    <w:p>
      <w:pPr>
        <w:ind w:right="120" w:firstLine="5"/>
        <w:spacing w:after="0" w:line="252" w:lineRule="auto"/>
        <w:tabs>
          <w:tab w:leader="none" w:pos="3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us or any of our Subsidiaries at the time we or such Subsidiary acquired the property, including acquisition by means of a merger or consolidation with or into us or any Subsidiary, or an acquisition of assets, and any replacement thereof, provided, however, that such Liens are not created, incurred or assumed in connection with or in contemplation of such acquisition, and provided further that such Liens may not extend to any other property owned by us or any of our Subsidiaries;</w:t>
      </w:r>
    </w:p>
    <w:p>
      <w:pPr>
        <w:spacing w:after="0" w:line="158" w:lineRule="exact"/>
        <w:rPr>
          <w:rFonts w:ascii="Times New Roman" w:cs="Times New Roman" w:eastAsia="Times New Roman" w:hAnsi="Times New Roman"/>
          <w:sz w:val="18"/>
          <w:szCs w:val="18"/>
          <w:color w:val="auto"/>
        </w:rPr>
      </w:pPr>
    </w:p>
    <w:p>
      <w:pPr>
        <w:jc w:val="both"/>
        <w:ind w:right="60" w:firstLine="5"/>
        <w:spacing w:after="0" w:line="252" w:lineRule="auto"/>
        <w:tabs>
          <w:tab w:leader="none" w:pos="3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and subleases of real (or personal, in the case of the 0.500% Notes, the 1.000% Notes, the 0.450% Notes, the 0.875% Notes, the 1.250% Notes, the 0.400% Notes, the 0.950% Notes, the 4.125% Notes, the 4.625% Notes, the 3.900% Notes, the 4.100% Notes and the 3.625% Notes) property in the ordinary course of business (for the avoidance of doubt, excluding sale and lease-back transactions) which do not materially interfere with the ordinary conduct of the business; and</w:t>
      </w:r>
    </w:p>
    <w:p>
      <w:pPr>
        <w:spacing w:after="0" w:line="145" w:lineRule="exact"/>
        <w:rPr>
          <w:rFonts w:ascii="Times New Roman" w:cs="Times New Roman" w:eastAsia="Times New Roman" w:hAnsi="Times New Roman"/>
          <w:sz w:val="18"/>
          <w:szCs w:val="18"/>
          <w:color w:val="auto"/>
        </w:rPr>
      </w:pPr>
    </w:p>
    <w:p>
      <w:pPr>
        <w:ind w:left="340" w:hanging="335"/>
        <w:spacing w:after="0"/>
        <w:tabs>
          <w:tab w:leader="none" w:pos="34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banker’s Liens, rights of set-off or similar rights and remedies as to deposit accounts or other funds maintained with a depositary institution; provided that:</w:t>
      </w:r>
    </w:p>
    <w:p>
      <w:pPr>
        <w:spacing w:after="0" w:line="198" w:lineRule="exact"/>
        <w:rPr>
          <w:sz w:val="20"/>
          <w:szCs w:val="20"/>
          <w:color w:val="auto"/>
        </w:rPr>
      </w:pPr>
    </w:p>
    <w:p>
      <w:pPr>
        <w:ind w:right="320" w:firstLine="5"/>
        <w:spacing w:after="0" w:line="269" w:lineRule="auto"/>
        <w:tabs>
          <w:tab w:leader="none" w:pos="23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account is not a dedicated cash collateral account and is not subject to restrictions against access in excess of those set forth by regulations promulgated by the Federal Reserve Board or other applicable law; and</w:t>
      </w:r>
    </w:p>
    <w:p>
      <w:pPr>
        <w:spacing w:after="0" w:line="142"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account is not intended to provide collateral to the depositary institution.</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estate, unincorporated organization or government or any agency or political subdivision thereof or any other entity.</w:t>
      </w:r>
    </w:p>
    <w:p>
      <w:pPr>
        <w:spacing w:after="0" w:line="1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“Ratings Agencies” means (1) S&amp;P, Moody’s and Fitch; and (2) if any of S&amp;P, Moody’s and Fitch ceases to rate the notes or ceases to make a rating on the notes publicly available, an entity registered as a “nationally recognized statistical rating organization” (registered as such pursuant to Rule 17g-1 of the Exchange Act) then making a rating on the notes publicly available selected by us (as certified by an Officers’ Certificate), which shall be substituted for S&amp;P, Moody’s or Fitch, as the case may be.</w:t>
      </w:r>
    </w:p>
    <w:p>
      <w:pPr>
        <w:spacing w:after="0" w:line="15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“Ratings Decline” means the occurrence of the following on, or within 90 days after, the date of the public notice of the occurrence of a Change of Control or of the intention by us or any third party to effect a Change of Control (which period shall be extended for so long as the rating of the notes is under publicly announced consideration for possible downgrade by any of the Ratings Agencies if such period exceeds 90 days): (1) in the event that the notes have an Investment Grade Rating by all three Ratings Agencies, the notes cease to have an Investment Grade Rating by two of the three Rating Agencies, (2) in the event that the notes have an Investment Grade Rating by only two Ratings Agencies, the notes cease to have an Investment Grade Rating by both such Rating Agencies, or (3) in the event that the notes do not have an Investment Grade Rating, the rating of the notes by two of the three Ratings</w:t>
      </w:r>
    </w:p>
    <w:p>
      <w:pPr>
        <w:spacing w:after="0" w:line="4"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8"/>
          <w:szCs w:val="18"/>
          <w:color w:val="auto"/>
        </w:rPr>
        <w:t>Agencies (or, if there are less than three Rating Agencies rating the notes, the rating of each Rating Agency) decreases by one or more gradations (including gradations within ratings categories as well as between rating categories) or is withdrawn.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Government Bond Dealer” means any of the primary European government securities dealers.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or any successor to the rating agency business thereof.</w:t>
      </w:r>
    </w:p>
    <w:p>
      <w:pPr>
        <w:spacing w:after="0" w:line="18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“SpectraSite ABS Facility” means that certain mortgage loan more fully described in the Offering Memorandum dated March 8, 2023 regarding the $1,800.0 million Secured Tower Revenue Securities, Series 2018-1A and 2023-1A.</w:t>
      </w:r>
    </w:p>
    <w:p>
      <w:pPr>
        <w:spacing w:after="0" w:line="12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“Stated Maturity” means, (1) with respect to any debt security, the date specified in such debt security as the fixed date on which the final installment of principal of such debt security is due and payable and (2) with respect to any scheduled installment of principal of or interest on any debt security, the date specified in such debt security as the fixed date on which such installment is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00"/>
          </w:cols>
          <w:pgMar w:left="320" w:top="1440" w:right="379" w:bottom="1440" w:gutter="0" w:footer="0" w:header="0"/>
        </w:sectPr>
      </w:pPr>
    </w:p>
    <w:bookmarkStart w:id="172" w:name="page173"/>
    <w:bookmarkEnd w:id="172"/>
    <w:p>
      <w:pPr>
        <w:spacing w:after="0" w:line="11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“Subsidiary” means, with respect to any Person, (1) any corporation, limited liability company, association or other business entity of which more than 50% of the voting power of the outstanding Voting Stock is owned, directly or indirectly, by such Person and one or more other Subsidiaries of such Person or (2) any partnership (A) the sole general partner or the managing general partner of which is such Person or a Subsidiary of such Person or (B) the only general partners of which are such Person or one or more Subsidiaries of such Person (or any combination thereof). The term “Subsidiary” with respect to us shall not include any Unrestricted Subsidiary.</w:t>
      </w:r>
    </w:p>
    <w:p>
      <w:pPr>
        <w:spacing w:after="0" w:line="1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“Unrestricted Subsidiary” means (a) any Foreign Subsidiary or Newly Created Subsidiary of us that is designated by the Board of Directors as an Unrestricted Subsidiary until such time as the Board of Directors may designate it to be a Subsidiary, provided that no Default or Event of Default would occur or be existing following such designation, and (b) any subsidiary of an Unrestricted Subsidiary. Any such designation by the Board of Directors shall be evidenced to the trustee by filing a Board Resolution with the trustee giving effect to such designation. At the time of designation of an Unrestricted Subsidiary as a Subsidiary, such Subsidiary shall be deemed to incur outstanding Indebtedness and grant any existing Liens.</w:t>
      </w:r>
    </w:p>
    <w:p>
      <w:pPr>
        <w:spacing w:after="0" w:line="147"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8"/>
          <w:szCs w:val="18"/>
          <w:color w:val="auto"/>
        </w:rPr>
        <w:t>“Voting Stock” of any Person as of any date means the Capital Stock of such Person that is normally entitled to vote in the election of the board of directors, managers or trustees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20"/>
          </w:cols>
          <w:pgMar w:left="320" w:top="1440" w:right="35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835025</wp:posOffset>
            </wp:positionV>
            <wp:extent cx="1120775" cy="560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5">
                      <a:extLst>
                        <a:ext uri="{28A0092B-C50C-407E-A947-70E740481C1C}"/>
                      </a:extLst>
                    </a:blip>
                    <a:srcRect/>
                    <a:stretch>
                      <a:fillRect/>
                    </a:stretch>
                  </pic:blipFill>
                  <pic:spPr bwMode="auto">
                    <a:xfrm>
                      <a:off x="0" y="0"/>
                      <a:ext cx="1120775" cy="56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23,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Paul Blanchett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Paul:</w:t>
      </w:r>
    </w:p>
    <w:p>
      <w:pPr>
        <w:spacing w:after="0" w:line="233"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1"/>
          <w:szCs w:val="21"/>
          <w:color w:val="auto"/>
        </w:rPr>
        <w:t>I am pleased to confirm our offer to join American Tower Corporation (“American Tower” or the “Company”) as a Senior Vice President, Chief Accounting Officer in the Corporate Boston Finance organization, reporting to Rod Smith.</w:t>
      </w:r>
    </w:p>
    <w:p>
      <w:pPr>
        <w:spacing w:after="0" w:line="170"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1"/>
          <w:szCs w:val="21"/>
          <w:color w:val="030303"/>
        </w:rPr>
        <w:t>This employment offer is contingent upon American Tower reviewing and approving, at its sole discretion, the results of your background check, references, education verification, and certification verification.</w:t>
      </w:r>
    </w:p>
    <w:p>
      <w:pPr>
        <w:spacing w:after="0" w:line="15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1"/>
          <w:szCs w:val="21"/>
          <w:color w:val="030303"/>
        </w:rPr>
        <w:t>Your starting base salary will be at the annual rate of $450,000.00. This is a full-time, exempt position. Your weekly hours worked in this position may fluctuate, and therefore, each weekly portion of your annual salary will constitute payment of all hours worked during that week. Paydays are scheduled on a bi-weekly basis.</w:t>
      </w:r>
    </w:p>
    <w:p>
      <w:pPr>
        <w:spacing w:after="0" w:line="18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1"/>
          <w:szCs w:val="21"/>
          <w:color w:val="030303"/>
        </w:rPr>
        <w:t>The performance review process is currently held during the first quarter of each year. You will be eligible for a merit increase in the 2027 performance cycle. You will be eligible for a discretionary bonus plan based upon performance against agreed upon goals and objectives to the same extent as similarly situated roles. This plan provides you the opportunity to earn a bonus based upon a target of 90% of your annual earnings, subject to the terms and conditions set forth in the relevant bonus plan (additional information will be provided following your start date). Your bonus for 2026, payable in March 2027, will not be pro-rated based on your start date.</w:t>
      </w:r>
    </w:p>
    <w:p>
      <w:pPr>
        <w:spacing w:after="0" w:line="195"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1"/>
          <w:szCs w:val="21"/>
          <w:color w:val="030303"/>
        </w:rPr>
        <w:t>Additionally, should you accept this offer, you will receive a $200,000 signing bonus (less applicable taxes) payable within 30 days following your start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030303"/>
        </w:rPr>
        <w:t>As the role is based in Boston, MA the Company also agrees to provide you with a one-time relocation bonus of $50,000 net of taxes to assist you with expenses incurred during your relocation to a reasonable commuting distance to Boston, MA. Should you voluntarily leave the Company or be terminated for cause within 12 months of either the signing bonus payment or relocation payment you must repay a pro-rated portion of each, with repayment being withheld from your final pay, including any accrued but unused flextime and any expense reimbursement, if applicable.</w:t>
      </w:r>
    </w:p>
    <w:p>
      <w:pPr>
        <w:spacing w:after="0" w:line="20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1"/>
          <w:szCs w:val="21"/>
          <w:color w:val="030303"/>
        </w:rPr>
        <w:t>If you accept this offer, we will recommend to the Compensation Committee of the Company's Board of Directors that you be granted an equity-based incentive award with respect to shares of the Company's Common Stock in the form of restricted stock units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30303"/>
        </w:rPr>
        <w:t>RSUs</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30303"/>
        </w:rPr>
        <w:t>) with a grant date value of $500,000.00. We would submit this recommendation for the Committee's approval at its</w:t>
      </w:r>
    </w:p>
    <w:p>
      <w:pPr>
        <w:sectPr>
          <w:pgSz w:w="11900" w:h="16838" w:orient="portrait"/>
          <w:cols w:equalWidth="0" w:num="1">
            <w:col w:w="11240"/>
          </w:cols>
          <w:pgMar w:left="320" w:top="119" w:right="339" w:bottom="1440" w:gutter="0" w:footer="0" w:header="0"/>
        </w:sectPr>
      </w:pPr>
    </w:p>
    <w:bookmarkStart w:id="174" w:name="page175"/>
    <w:bookmarkEnd w:id="174"/>
    <w:p>
      <w:pPr>
        <w:ind w:right="20"/>
        <w:spacing w:after="0" w:line="238" w:lineRule="auto"/>
        <w:rPr>
          <w:sz w:val="20"/>
          <w:szCs w:val="20"/>
          <w:color w:val="auto"/>
        </w:rPr>
      </w:pPr>
      <w:r>
        <w:rPr>
          <w:rFonts w:ascii="Times New Roman" w:cs="Times New Roman" w:eastAsia="Times New Roman" w:hAnsi="Times New Roman"/>
          <w:sz w:val="21"/>
          <w:szCs w:val="21"/>
          <w:color w:val="030303"/>
        </w:rPr>
        <w:t>regularly scheduled quarterly meeting following your start date (provided that you start before the 1st of the month that is prior to month of the meeting) or its next regularly scheduled quarterly meeting after that date. The actual number of RSUs granted to you would be determined by dividing this $500,000.00 value by the closing price of the Common Stock on the grant date (the first business day of the month following the meeting in which approval is provided), rounding up to the next whole share in the case of fractional shares. The RSUs would vest over 3 years of continuous employment with the Company, at a rate of 33 1/2% per year, commencing 1 year from the grant date. The above terms are subject to the terms and conditions of the RSU award agreement and other plan documents relating to the American Tower Corporation 2007 Equity Incentive Plan, which will be provided to you shortly after the grant date.</w:t>
      </w:r>
    </w:p>
    <w:p>
      <w:pPr>
        <w:spacing w:after="0" w:line="20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1"/>
          <w:szCs w:val="21"/>
          <w:color w:val="030303"/>
        </w:rPr>
        <w:t>To recognize the unvested equity you will forfeit upon leaving your current employer, the Company will recommend to the Compensation Committee that you receive a one-time Make-Whole Restricted Stock Unit (RSU) Award with a target value of $2,125,000.00. This award is intended to make you whole for compensation you are leaving on the table. We would submit this recommendation for the Committee's approval at its regularly scheduled quarterly meeting following your start date provided that you start before the 1st of the month that is prior to month of the meeting) or its next regularly scheduled quarterly meeting after that date. The actual number of RSUs granted to you would be determined by dividing this $2,125,000.00 value by the closing price of the Common Stock on the grant date (the first business day of the month following the meeting in which approval is provided), rounding up to the next whole share in the case of fractional shares. The RSUs would vest over 3 years of continuous employment with the Company, at a rate of 33 1/2 % per year, commencing 1 year from the grant date. The above terms are subject to the terms and conditions of the RSU award agreement and other plan documents relating to the American Tower Corporation 2007 Equity Incentive Plan, which will be provided to you shortly after the grant date.</w:t>
      </w:r>
    </w:p>
    <w:p>
      <w:pPr>
        <w:spacing w:after="0" w:line="209" w:lineRule="exact"/>
        <w:rPr>
          <w:sz w:val="20"/>
          <w:szCs w:val="20"/>
          <w:color w:val="auto"/>
        </w:rPr>
      </w:pPr>
    </w:p>
    <w:p>
      <w:pPr>
        <w:ind w:right="860"/>
        <w:spacing w:after="0" w:line="269" w:lineRule="auto"/>
        <w:rPr>
          <w:sz w:val="20"/>
          <w:szCs w:val="20"/>
          <w:color w:val="auto"/>
        </w:rPr>
      </w:pPr>
      <w:r>
        <w:rPr>
          <w:rFonts w:ascii="Times New Roman" w:cs="Times New Roman" w:eastAsia="Times New Roman" w:hAnsi="Times New Roman"/>
          <w:sz w:val="21"/>
          <w:szCs w:val="21"/>
          <w:color w:val="030303"/>
        </w:rPr>
        <w:t>Additionally, subject to satisfactory performance, as part of the annual performance cycle, you will be recommended to the Compensation Committee for an equity grant of $850,000.00 in March 2027.</w:t>
      </w:r>
    </w:p>
    <w:p>
      <w:pPr>
        <w:spacing w:after="0" w:line="17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030303"/>
        </w:rPr>
        <w:t xml:space="preserve">American Tower offers a very comprehensive benefits package. Learn more about our benefits at the following </w:t>
      </w:r>
      <w:r>
        <w:rPr>
          <w:rFonts w:ascii="Times New Roman" w:cs="Times New Roman" w:eastAsia="Times New Roman" w:hAnsi="Times New Roman"/>
          <w:sz w:val="21"/>
          <w:szCs w:val="21"/>
          <w:u w:val="single" w:color="auto"/>
          <w:color w:val="000000"/>
        </w:rPr>
        <w:t>link</w:t>
      </w:r>
      <w:r>
        <w:rPr>
          <w:rFonts w:ascii="Times New Roman" w:cs="Times New Roman" w:eastAsia="Times New Roman" w:hAnsi="Times New Roman"/>
          <w:sz w:val="21"/>
          <w:szCs w:val="21"/>
          <w:color w:val="444444"/>
        </w:rPr>
        <w:t>.</w:t>
      </w:r>
      <w:r>
        <w:rPr>
          <w:rFonts w:ascii="Times New Roman" w:cs="Times New Roman" w:eastAsia="Times New Roman" w:hAnsi="Times New Roman"/>
          <w:sz w:val="21"/>
          <w:szCs w:val="21"/>
          <w:color w:val="030303"/>
        </w:rPr>
        <w:t xml:space="preserve"> As a benefit eligible employee, if you intend to participate in either the Medical, Dental, Vision or Reimbursement Plans, you must complete the online enrollment process within the first 30 days of employment and, should you do so, your coverage will be effective as of your first day of employment. If you do not enroll online within 30 days of your date of hire, your next opportunity to enroll in these plans will be during annual open enrollment.</w:t>
      </w:r>
    </w:p>
    <w:p>
      <w:pPr>
        <w:spacing w:after="0" w:line="1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1"/>
          <w:szCs w:val="21"/>
          <w:color w:val="030303"/>
        </w:rPr>
        <w:t>Please be advised your employment with American Tower Corporation is considered at will, which means your employment may be terminated at any time with or without cause by either you or the Company, with or without advance notice.</w:t>
      </w:r>
    </w:p>
    <w:p>
      <w:pPr>
        <w:spacing w:after="0" w:line="183"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1"/>
          <w:szCs w:val="21"/>
          <w:color w:val="030303"/>
        </w:rPr>
        <w:t>By acceptance of this offer you represent on your first day of work you will be free to accept employment without any contractual restrictions, express or implied, with respect to any of your prior employers. You also represent you have not taken or otherwise misappropriated and you do not have in your possession or control any confidential and proprietary information belonging to any of your prior employers or connected with or derived from your service with your prior</w:t>
      </w:r>
    </w:p>
    <w:p>
      <w:pPr>
        <w:sectPr>
          <w:pgSz w:w="11900" w:h="16838" w:orient="portrait"/>
          <w:cols w:equalWidth="0" w:num="1">
            <w:col w:w="11240"/>
          </w:cols>
          <w:pgMar w:left="320" w:top="1377" w:right="339" w:bottom="1440" w:gutter="0" w:footer="0" w:header="0"/>
        </w:sectPr>
      </w:pPr>
    </w:p>
    <w:bookmarkStart w:id="175" w:name="page176"/>
    <w:bookmarkEnd w:id="175"/>
    <w:p>
      <w:pPr>
        <w:ind w:right="300"/>
        <w:spacing w:after="0" w:line="252" w:lineRule="auto"/>
        <w:rPr>
          <w:sz w:val="20"/>
          <w:szCs w:val="20"/>
          <w:color w:val="auto"/>
        </w:rPr>
      </w:pPr>
      <w:r>
        <w:rPr>
          <w:rFonts w:ascii="Times New Roman" w:cs="Times New Roman" w:eastAsia="Times New Roman" w:hAnsi="Times New Roman"/>
          <w:sz w:val="21"/>
          <w:szCs w:val="21"/>
          <w:color w:val="030303"/>
        </w:rPr>
        <w:t>employers. You represent you have returned to all prior employers any and all such confidential and proprietary information. You further acknowledge the Company has informed you that you are not to use or cause the use of such confidential or proprietary information in any manner whatsoever in connection with your employment by the Company.</w:t>
      </w:r>
    </w:p>
    <w:p>
      <w:pPr>
        <w:spacing w:after="0" w:line="18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030303"/>
        </w:rPr>
        <w:t>You will also be required to complete American Tower's Confidentiality Agreement, Employment Eligibility Verification (1-9) form, W-4, and Personal Information Form. This offer of employment is conditional upon verification of your eligibility to work in the United States. You will be required to complete page 1 of Form 1-9 no later than your employment start date and to provide acceptable document(s) within three days of your start date (a list of acceptable documents is listed on the Form 1-9). In the event you do not have, or cease to have, acceptable documentation, all terms and conditions of this offer will be withdrawn forthwith, and American Tower shall have no liability of any sort whatsoever to you arising out of, or in connection with, this offer.</w:t>
      </w:r>
    </w:p>
    <w:p>
      <w:pPr>
        <w:spacing w:after="0" w:line="204" w:lineRule="exact"/>
        <w:rPr>
          <w:sz w:val="20"/>
          <w:szCs w:val="20"/>
          <w:color w:val="auto"/>
        </w:rPr>
      </w:pPr>
    </w:p>
    <w:p>
      <w:pPr>
        <w:ind w:right="660"/>
        <w:spacing w:after="0" w:line="247" w:lineRule="auto"/>
        <w:rPr>
          <w:sz w:val="20"/>
          <w:szCs w:val="20"/>
          <w:color w:val="auto"/>
        </w:rPr>
      </w:pPr>
      <w:r>
        <w:rPr>
          <w:rFonts w:ascii="Times New Roman" w:cs="Times New Roman" w:eastAsia="Times New Roman" w:hAnsi="Times New Roman"/>
          <w:sz w:val="21"/>
          <w:szCs w:val="21"/>
          <w:color w:val="030303"/>
        </w:rPr>
        <w:t>Paul, we are very excited to have you join the American Tower team and look forward to your acceptance of this offer and to working with you. We are confident that you will find your employment with American Tower to be both challenging and professionally rewarding. We also hope your performance will exceed expectations and contribute to increase the Company's shareholder value.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030303"/>
        </w:rPr>
        <w:t>This offer of employment will remain open for your consideration and acceptance until the close of business on January 27,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 Brenna D. Jones</w:t>
            </w:r>
          </w:p>
        </w:tc>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Accepted by</w:t>
            </w:r>
          </w:p>
        </w:tc>
      </w:tr>
      <w:tr>
        <w:trPr>
          <w:trHeight w:val="282"/>
        </w:trPr>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rPr>
              <w:t>Brenna D. Jones</w:t>
            </w:r>
          </w:p>
        </w:tc>
        <w:tc>
          <w:tcPr>
            <w:tcW w:w="43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Paul Blanchett</w:t>
            </w:r>
          </w:p>
        </w:tc>
      </w:tr>
      <w:tr>
        <w:trPr>
          <w:trHeight w:val="263"/>
        </w:trPr>
        <w:tc>
          <w:tcPr>
            <w:tcW w:w="59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SVP, Chief Human Resources Officer</w:t>
            </w:r>
          </w:p>
        </w:tc>
        <w:tc>
          <w:tcPr>
            <w:tcW w:w="1480" w:type="dxa"/>
            <w:vAlign w:val="bottom"/>
          </w:tcPr>
          <w:p>
            <w:pPr>
              <w:spacing w:after="0"/>
              <w:rPr>
                <w:sz w:val="20"/>
                <w:szCs w:val="20"/>
                <w:color w:val="auto"/>
              </w:rPr>
            </w:pPr>
            <w:r>
              <w:rPr>
                <w:rFonts w:ascii="Times New Roman" w:cs="Times New Roman" w:eastAsia="Times New Roman" w:hAnsi="Times New Roman"/>
                <w:sz w:val="21"/>
                <w:szCs w:val="21"/>
                <w:color w:val="auto"/>
              </w:rPr>
              <w:t>January 26, 2026</w:t>
            </w:r>
          </w:p>
        </w:tc>
      </w:tr>
      <w:tr>
        <w:trPr>
          <w:trHeight w:val="225"/>
        </w:trPr>
        <w:tc>
          <w:tcPr>
            <w:tcW w:w="16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480" w:type="dxa"/>
            <w:vAlign w:val="bottom"/>
            <w:tcBorders>
              <w:bottom w:val="single" w:sz="8" w:color="auto"/>
            </w:tcBorders>
          </w:tcPr>
          <w:p>
            <w:pPr>
              <w:spacing w:after="0" w:line="225" w:lineRule="exact"/>
              <w:rPr>
                <w:sz w:val="20"/>
                <w:szCs w:val="20"/>
                <w:color w:val="auto"/>
              </w:rPr>
            </w:pPr>
            <w:r>
              <w:rPr>
                <w:rFonts w:ascii="Times New Roman" w:cs="Times New Roman" w:eastAsia="Times New Roman" w:hAnsi="Times New Roman"/>
                <w:sz w:val="21"/>
                <w:szCs w:val="21"/>
                <w:color w:val="auto"/>
                <w:w w:val="98"/>
              </w:rPr>
              <w:t>/s/ Paul Blanchett</w:t>
            </w:r>
          </w:p>
        </w:tc>
      </w:tr>
    </w:tbl>
    <w:p>
      <w:pPr>
        <w:sectPr>
          <w:pgSz w:w="11900" w:h="16838" w:orient="portrait"/>
          <w:cols w:equalWidth="0" w:num="1">
            <w:col w:w="11220"/>
          </w:cols>
          <w:pgMar w:left="320" w:top="1377" w:right="35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803275" cy="3930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6">
                      <a:extLst>
                        <a:ext uri="{28A0092B-C50C-407E-A947-70E740481C1C}"/>
                      </a:extLst>
                    </a:blip>
                    <a:srcRect/>
                    <a:stretch>
                      <a:fillRect/>
                    </a:stretch>
                  </pic:blipFill>
                  <pic:spPr bwMode="auto">
                    <a:xfrm>
                      <a:off x="0" y="0"/>
                      <a:ext cx="803275" cy="39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Anti-Insider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0" w:hanging="375"/>
        <w:spacing w:after="0"/>
        <w:tabs>
          <w:tab w:leader="none" w:pos="380"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Purpose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policy provides all Company Persons and Directors with the restrictions and necessary guidelines for anti-insider trading.</w:t>
      </w:r>
    </w:p>
    <w:p>
      <w:pPr>
        <w:spacing w:after="0" w:line="2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1"/>
          <w:szCs w:val="21"/>
          <w:color w:val="auto"/>
        </w:rPr>
        <w:t>Superseding all established and existing company guidelines and/or policies and procedures on anti-insider restrictions, this policy is effective January 1, 2003 and remains in effect subject to any amendments or restatements.</w:t>
      </w:r>
    </w:p>
    <w:p>
      <w:pPr>
        <w:spacing w:after="0" w:line="170"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1"/>
          <w:szCs w:val="21"/>
          <w:color w:val="auto"/>
        </w:rPr>
        <w:t>As a publicly traded company, American Tower and all of its Directors and Company Persons have certain legal obligations under the federal securities laws. One of ATC’s most important responsibilities is to comply with the laws prohibiting insider trading. Insider trading involves buying or selling common stock or other securities of ATC, gifts of common stock or other securities of ATC, options to acquire common stock or other securities of ATC or engaging in other transactions involving ATC’s stock or other securities that are tantamount to buying, selling or gifting, directly or indirectly, by any individual while aware of Material, Non-Public Information. An insider trading violation may result in the disgorging of profits, monetary penalties and/or criminal sanctions as well as negatively affecting an individual’s reputation and professional and personal life. ATC has adopted this Anti-Insider Trading Policy to inform all Company Persons of their obligations and to prevent inadvertent violations of insider trading rules. The goal is to prevent any improper securities trading by anyone employed by, or associated with, ATC.</w:t>
      </w:r>
    </w:p>
    <w:p>
      <w:pPr>
        <w:spacing w:after="0" w:line="192"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1"/>
          <w:szCs w:val="21"/>
          <w:color w:val="auto"/>
        </w:rPr>
        <w:t>Upon hire, all Company Persons must read this policy carefully, sign the Certification form and return it to the Corporate Human Resources Department in Boston, to indicate understanding of this policy and agreement to follow its terms. On an annual basis, all Employees will be required to complete an electronic form which will certify that he/she has read, understands, and agrees to continue to comply with the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 is the responsibility of all managers and supervisors to communicate this policy to their Company Persons.</w:t>
      </w:r>
    </w:p>
    <w:p>
      <w:pPr>
        <w:spacing w:after="0" w:line="22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1"/>
          <w:szCs w:val="21"/>
          <w:color w:val="auto"/>
        </w:rPr>
        <w:t>On an annual basis, all Directors must read this policy carefully and sign the Certification form and return it to the Corporate Legal Department in Boston, Attn: Corporate General Counsel, to indicate that he/she has read, understands, and agrees to comply with the policy.</w:t>
      </w:r>
    </w:p>
    <w:p>
      <w:pPr>
        <w:spacing w:after="0" w:line="184" w:lineRule="exact"/>
        <w:rPr>
          <w:sz w:val="20"/>
          <w:szCs w:val="20"/>
          <w:color w:val="auto"/>
        </w:rPr>
      </w:pPr>
    </w:p>
    <w:p>
      <w:pPr>
        <w:ind w:left="380" w:hanging="375"/>
        <w:spacing w:after="0"/>
        <w:tabs>
          <w:tab w:leader="none" w:pos="380" w:val="left"/>
        </w:tabs>
        <w:numPr>
          <w:ilvl w:val="0"/>
          <w:numId w:val="1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Scope</w:t>
      </w:r>
    </w:p>
    <w:p>
      <w:pPr>
        <w:spacing w:after="0" w:line="224"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1"/>
          <w:szCs w:val="21"/>
          <w:color w:val="auto"/>
        </w:rPr>
        <w:t>This policy applies to American Tower Corporation and all Company Persons of American Tower Corporation, its affiliates and subsidiaries, and its Directors.</w:t>
      </w:r>
    </w:p>
    <w:p>
      <w:pPr>
        <w:spacing w:after="0" w:line="157"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1"/>
          <w:szCs w:val="21"/>
          <w:color w:val="auto"/>
        </w:rPr>
        <w:t>Any Company Person who fails to follow this policy will be disciplined, up to and including dismissal for cause, and will also subject any Director who fails to follow this policy to removal proceedings.</w:t>
      </w:r>
    </w:p>
    <w:p>
      <w:pPr>
        <w:spacing w:after="0" w:line="17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1"/>
          <w:szCs w:val="21"/>
          <w:color w:val="auto"/>
        </w:rPr>
        <w:t>Any questions regarding this policy or insider trading in general should be directed to the Corporate General Counsel or the Senior Vice President and Chief Human Resources Officer in Boston at 617-375-7500.</w:t>
      </w:r>
    </w:p>
    <w:p>
      <w:pPr>
        <w:sectPr>
          <w:pgSz w:w="11900" w:h="16838" w:orient="portrait"/>
          <w:cols w:equalWidth="0" w:num="1">
            <w:col w:w="11240"/>
          </w:cols>
          <w:pgMar w:left="320" w:top="119" w:right="339" w:bottom="1440" w:gutter="0" w:footer="0" w:header="0"/>
        </w:sectPr>
      </w:pPr>
    </w:p>
    <w:bookmarkStart w:id="177" w:name="page178"/>
    <w:bookmarkEnd w:id="177"/>
    <w:p>
      <w:pPr>
        <w:spacing w:after="0" w:line="170" w:lineRule="exact"/>
        <w:rPr>
          <w:sz w:val="20"/>
          <w:szCs w:val="20"/>
          <w:color w:val="auto"/>
        </w:rPr>
      </w:pPr>
    </w:p>
    <w:p>
      <w:pPr>
        <w:ind w:left="375" w:hanging="375"/>
        <w:spacing w:after="0"/>
        <w:tabs>
          <w:tab w:leader="none" w:pos="375"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49" w:lineRule="exact"/>
        <w:rPr>
          <w:rFonts w:ascii="Times New Roman" w:cs="Times New Roman" w:eastAsia="Times New Roman" w:hAnsi="Times New Roman"/>
          <w:sz w:val="20"/>
          <w:szCs w:val="20"/>
          <w:b w:val="1"/>
          <w:bCs w:val="1"/>
          <w:color w:val="auto"/>
        </w:rPr>
      </w:pPr>
    </w:p>
    <w:p>
      <w:pPr>
        <w:ind w:left="15"/>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3.1</w:t>
      </w:r>
    </w:p>
    <w:p>
      <w:pPr>
        <w:spacing w:after="0" w:line="243"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1"/>
          <w:szCs w:val="21"/>
          <w:b w:val="1"/>
          <w:bCs w:val="1"/>
          <w:color w:val="auto"/>
        </w:rPr>
        <w:t>3.2</w:t>
      </w:r>
    </w:p>
    <w:p>
      <w:pPr>
        <w:spacing w:after="0" w:line="38"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1"/>
          <w:szCs w:val="21"/>
          <w:b w:val="1"/>
          <w:bCs w:val="1"/>
          <w:color w:val="auto"/>
        </w:rPr>
        <w:t>3.3</w:t>
      </w:r>
    </w:p>
    <w:p>
      <w:pPr>
        <w:spacing w:after="0" w:line="200" w:lineRule="exact"/>
        <w:rPr>
          <w:sz w:val="20"/>
          <w:szCs w:val="20"/>
          <w:color w:val="auto"/>
        </w:rPr>
      </w:pPr>
    </w:p>
    <w:p>
      <w:pPr>
        <w:spacing w:after="0" w:line="280"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1"/>
          <w:szCs w:val="21"/>
          <w:b w:val="1"/>
          <w:bCs w:val="1"/>
          <w:color w:val="auto"/>
        </w:rPr>
        <w:t>3.4</w:t>
      </w:r>
    </w:p>
    <w:p>
      <w:pPr>
        <w:spacing w:after="0" w:line="38"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1"/>
          <w:szCs w:val="21"/>
          <w:b w:val="1"/>
          <w:bCs w:val="1"/>
          <w:color w:val="auto"/>
        </w:rPr>
        <w:t>3.5</w:t>
      </w:r>
    </w:p>
    <w:p>
      <w:pPr>
        <w:spacing w:after="0" w:line="35"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1"/>
          <w:szCs w:val="21"/>
          <w:b w:val="1"/>
          <w:bCs w:val="1"/>
          <w:color w:val="auto"/>
        </w:rPr>
        <w:t>3.6</w:t>
      </w:r>
    </w:p>
    <w:p>
      <w:pPr>
        <w:spacing w:after="0" w:line="35"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1"/>
          <w:szCs w:val="21"/>
          <w:b w:val="1"/>
          <w:bCs w:val="1"/>
          <w:color w:val="auto"/>
        </w:rPr>
        <w:t>3.7</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1"/>
          <w:szCs w:val="21"/>
          <w:b w:val="1"/>
          <w:bCs w:val="1"/>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1"/>
          <w:szCs w:val="21"/>
          <w:b w:val="1"/>
          <w:bCs w:val="1"/>
          <w:color w:val="auto"/>
        </w:rPr>
        <w:t>3.9</w:t>
      </w:r>
    </w:p>
    <w:p>
      <w:pPr>
        <w:spacing w:after="0" w:line="259"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1"/>
          <w:szCs w:val="21"/>
          <w:b w:val="1"/>
          <w:bCs w:val="1"/>
          <w:color w:val="auto"/>
        </w:rPr>
        <w:t>3.10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Company or “ATC” or American Tower</w:t>
            </w:r>
          </w:p>
        </w:tc>
        <w:tc>
          <w:tcPr>
            <w:tcW w:w="54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American Tower Corporation, its subsidiaries and</w:t>
            </w:r>
          </w:p>
        </w:tc>
        <w:tc>
          <w:tcPr>
            <w:tcW w:w="0" w:type="dxa"/>
            <w:vAlign w:val="bottom"/>
          </w:tcPr>
          <w:p>
            <w:pPr>
              <w:spacing w:after="0"/>
              <w:rPr>
                <w:sz w:val="1"/>
                <w:szCs w:val="1"/>
                <w:color w:val="auto"/>
              </w:rPr>
            </w:pPr>
          </w:p>
        </w:tc>
      </w:tr>
      <w:tr>
        <w:trPr>
          <w:trHeight w:val="276"/>
        </w:trPr>
        <w:tc>
          <w:tcPr>
            <w:tcW w:w="4020" w:type="dxa"/>
            <w:vAlign w:val="bottom"/>
            <w:vMerge w:val="restart"/>
          </w:tcPr>
          <w:p>
            <w:pPr>
              <w:spacing w:after="0"/>
              <w:rPr>
                <w:sz w:val="20"/>
                <w:szCs w:val="20"/>
                <w:color w:val="auto"/>
              </w:rPr>
            </w:pPr>
            <w:r>
              <w:rPr>
                <w:rFonts w:ascii="Times New Roman" w:cs="Times New Roman" w:eastAsia="Times New Roman" w:hAnsi="Times New Roman"/>
                <w:sz w:val="21"/>
                <w:szCs w:val="21"/>
                <w:i w:val="1"/>
                <w:iCs w:val="1"/>
                <w:color w:val="auto"/>
              </w:rPr>
              <w:t>Company Person</w:t>
            </w:r>
          </w:p>
        </w:tc>
        <w:tc>
          <w:tcPr>
            <w:tcW w:w="54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affiliates.</w:t>
            </w:r>
          </w:p>
        </w:tc>
        <w:tc>
          <w:tcPr>
            <w:tcW w:w="0" w:type="dxa"/>
            <w:vAlign w:val="bottom"/>
          </w:tcPr>
          <w:p>
            <w:pPr>
              <w:spacing w:after="0"/>
              <w:rPr>
                <w:sz w:val="1"/>
                <w:szCs w:val="1"/>
                <w:color w:val="auto"/>
              </w:rPr>
            </w:pPr>
          </w:p>
        </w:tc>
      </w:tr>
      <w:tr>
        <w:trPr>
          <w:trHeight w:val="275"/>
        </w:trPr>
        <w:tc>
          <w:tcPr>
            <w:tcW w:w="4020" w:type="dxa"/>
            <w:vAlign w:val="bottom"/>
            <w:vMerge w:val="continue"/>
          </w:tcPr>
          <w:p>
            <w:pPr>
              <w:spacing w:after="0"/>
              <w:rPr>
                <w:sz w:val="23"/>
                <w:szCs w:val="23"/>
                <w:color w:val="auto"/>
              </w:rPr>
            </w:pPr>
          </w:p>
        </w:tc>
        <w:tc>
          <w:tcPr>
            <w:tcW w:w="54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An Employee or contractor of the Company</w:t>
            </w:r>
          </w:p>
        </w:tc>
        <w:tc>
          <w:tcPr>
            <w:tcW w:w="0" w:type="dxa"/>
            <w:vAlign w:val="bottom"/>
          </w:tcPr>
          <w:p>
            <w:pPr>
              <w:spacing w:after="0"/>
              <w:rPr>
                <w:sz w:val="1"/>
                <w:szCs w:val="1"/>
                <w:color w:val="auto"/>
              </w:rPr>
            </w:pPr>
          </w:p>
        </w:tc>
      </w:tr>
      <w:tr>
        <w:trPr>
          <w:trHeight w:val="226"/>
        </w:trPr>
        <w:tc>
          <w:tcPr>
            <w:tcW w:w="4020" w:type="dxa"/>
            <w:vAlign w:val="bottom"/>
          </w:tcPr>
          <w:p>
            <w:pPr>
              <w:spacing w:after="0" w:line="226" w:lineRule="exact"/>
              <w:rPr>
                <w:sz w:val="20"/>
                <w:szCs w:val="20"/>
                <w:color w:val="auto"/>
              </w:rPr>
            </w:pPr>
            <w:r>
              <w:rPr>
                <w:rFonts w:ascii="Times New Roman" w:cs="Times New Roman" w:eastAsia="Times New Roman" w:hAnsi="Times New Roman"/>
                <w:sz w:val="21"/>
                <w:szCs w:val="21"/>
                <w:i w:val="1"/>
                <w:iCs w:val="1"/>
                <w:color w:val="auto"/>
              </w:rPr>
              <w:t>Director</w:t>
            </w:r>
          </w:p>
        </w:tc>
        <w:tc>
          <w:tcPr>
            <w:tcW w:w="5480" w:type="dxa"/>
            <w:vAlign w:val="bottom"/>
          </w:tcPr>
          <w:p>
            <w:pPr>
              <w:ind w:left="620"/>
              <w:spacing w:after="0" w:line="226" w:lineRule="exact"/>
              <w:rPr>
                <w:sz w:val="20"/>
                <w:szCs w:val="20"/>
                <w:color w:val="auto"/>
              </w:rPr>
            </w:pPr>
            <w:r>
              <w:rPr>
                <w:rFonts w:ascii="Times New Roman" w:cs="Times New Roman" w:eastAsia="Times New Roman" w:hAnsi="Times New Roman"/>
                <w:sz w:val="21"/>
                <w:szCs w:val="21"/>
                <w:color w:val="auto"/>
              </w:rPr>
              <w:t>A member of the Board of Directors of American Tower</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19"/>
                <w:szCs w:val="19"/>
                <w:color w:val="auto"/>
              </w:rPr>
            </w:pPr>
          </w:p>
        </w:tc>
        <w:tc>
          <w:tcPr>
            <w:tcW w:w="5480" w:type="dxa"/>
            <w:vAlign w:val="bottom"/>
          </w:tcPr>
          <w:p>
            <w:pPr>
              <w:ind w:left="620"/>
              <w:spacing w:after="0" w:line="224" w:lineRule="exact"/>
              <w:rPr>
                <w:sz w:val="20"/>
                <w:szCs w:val="20"/>
                <w:color w:val="auto"/>
              </w:rPr>
            </w:pPr>
            <w:r>
              <w:rPr>
                <w:rFonts w:ascii="Times New Roman" w:cs="Times New Roman" w:eastAsia="Times New Roman" w:hAnsi="Times New Roman"/>
                <w:sz w:val="21"/>
                <w:szCs w:val="21"/>
                <w:color w:val="auto"/>
              </w:rPr>
              <w:t>or a member of the Boards of Directors of any of the</w:t>
            </w:r>
          </w:p>
        </w:tc>
        <w:tc>
          <w:tcPr>
            <w:tcW w:w="0" w:type="dxa"/>
            <w:vAlign w:val="bottom"/>
          </w:tcPr>
          <w:p>
            <w:pPr>
              <w:spacing w:after="0"/>
              <w:rPr>
                <w:sz w:val="1"/>
                <w:szCs w:val="1"/>
                <w:color w:val="auto"/>
              </w:rPr>
            </w:pPr>
          </w:p>
        </w:tc>
      </w:tr>
      <w:tr>
        <w:trPr>
          <w:trHeight w:val="276"/>
        </w:trPr>
        <w:tc>
          <w:tcPr>
            <w:tcW w:w="4020" w:type="dxa"/>
            <w:vAlign w:val="bottom"/>
            <w:vMerge w:val="restart"/>
          </w:tcPr>
          <w:p>
            <w:pPr>
              <w:spacing w:after="0"/>
              <w:rPr>
                <w:sz w:val="20"/>
                <w:szCs w:val="20"/>
                <w:color w:val="auto"/>
              </w:rPr>
            </w:pPr>
            <w:r>
              <w:rPr>
                <w:rFonts w:ascii="Times New Roman" w:cs="Times New Roman" w:eastAsia="Times New Roman" w:hAnsi="Times New Roman"/>
                <w:sz w:val="21"/>
                <w:szCs w:val="21"/>
                <w:i w:val="1"/>
                <w:iCs w:val="1"/>
                <w:color w:val="auto"/>
              </w:rPr>
              <w:t>DRIP</w:t>
            </w:r>
          </w:p>
        </w:tc>
        <w:tc>
          <w:tcPr>
            <w:tcW w:w="54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subsidiaries or affiliates of American Tower.</w:t>
            </w:r>
          </w:p>
        </w:tc>
        <w:tc>
          <w:tcPr>
            <w:tcW w:w="0" w:type="dxa"/>
            <w:vAlign w:val="bottom"/>
          </w:tcPr>
          <w:p>
            <w:pPr>
              <w:spacing w:after="0"/>
              <w:rPr>
                <w:sz w:val="1"/>
                <w:szCs w:val="1"/>
                <w:color w:val="auto"/>
              </w:rPr>
            </w:pPr>
          </w:p>
        </w:tc>
      </w:tr>
      <w:tr>
        <w:trPr>
          <w:trHeight w:val="275"/>
        </w:trPr>
        <w:tc>
          <w:tcPr>
            <w:tcW w:w="4020" w:type="dxa"/>
            <w:vAlign w:val="bottom"/>
            <w:vMerge w:val="continue"/>
          </w:tcPr>
          <w:p>
            <w:pPr>
              <w:spacing w:after="0"/>
              <w:rPr>
                <w:sz w:val="23"/>
                <w:szCs w:val="23"/>
                <w:color w:val="auto"/>
              </w:rPr>
            </w:pPr>
          </w:p>
        </w:tc>
        <w:tc>
          <w:tcPr>
            <w:tcW w:w="54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Dividend Reinvestment Plan</w:t>
            </w:r>
          </w:p>
        </w:tc>
        <w:tc>
          <w:tcPr>
            <w:tcW w:w="0" w:type="dxa"/>
            <w:vAlign w:val="bottom"/>
          </w:tcPr>
          <w:p>
            <w:pPr>
              <w:spacing w:after="0"/>
              <w:rPr>
                <w:sz w:val="1"/>
                <w:szCs w:val="1"/>
                <w:color w:val="auto"/>
              </w:rPr>
            </w:pPr>
          </w:p>
        </w:tc>
      </w:tr>
      <w:tr>
        <w:trPr>
          <w:trHeight w:val="277"/>
        </w:trPr>
        <w:tc>
          <w:tcPr>
            <w:tcW w:w="402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Employee</w:t>
            </w:r>
          </w:p>
        </w:tc>
        <w:tc>
          <w:tcPr>
            <w:tcW w:w="54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An individual who is employed by American Tower.</w:t>
            </w:r>
          </w:p>
        </w:tc>
        <w:tc>
          <w:tcPr>
            <w:tcW w:w="0" w:type="dxa"/>
            <w:vAlign w:val="bottom"/>
          </w:tcPr>
          <w:p>
            <w:pPr>
              <w:spacing w:after="0"/>
              <w:rPr>
                <w:sz w:val="1"/>
                <w:szCs w:val="1"/>
                <w:color w:val="auto"/>
              </w:rPr>
            </w:pPr>
          </w:p>
        </w:tc>
      </w:tr>
      <w:tr>
        <w:trPr>
          <w:trHeight w:val="277"/>
        </w:trPr>
        <w:tc>
          <w:tcPr>
            <w:tcW w:w="4020" w:type="dxa"/>
            <w:vAlign w:val="bottom"/>
          </w:tcPr>
          <w:p>
            <w:pPr>
              <w:spacing w:after="0"/>
              <w:rPr>
                <w:sz w:val="20"/>
                <w:szCs w:val="20"/>
                <w:color w:val="auto"/>
              </w:rPr>
            </w:pPr>
            <w:r>
              <w:rPr>
                <w:rFonts w:ascii="Times New Roman" w:cs="Times New Roman" w:eastAsia="Times New Roman" w:hAnsi="Times New Roman"/>
                <w:sz w:val="21"/>
                <w:szCs w:val="21"/>
                <w:i w:val="1"/>
                <w:iCs w:val="1"/>
                <w:color w:val="auto"/>
              </w:rPr>
              <w:t>ESPP</w:t>
            </w:r>
          </w:p>
        </w:tc>
        <w:tc>
          <w:tcPr>
            <w:tcW w:w="54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American Tower 2000 Employee Stock Purchase Plan</w:t>
            </w:r>
          </w:p>
        </w:tc>
        <w:tc>
          <w:tcPr>
            <w:tcW w:w="0" w:type="dxa"/>
            <w:vAlign w:val="bottom"/>
          </w:tcPr>
          <w:p>
            <w:pPr>
              <w:spacing w:after="0"/>
              <w:rPr>
                <w:sz w:val="1"/>
                <w:szCs w:val="1"/>
                <w:color w:val="auto"/>
              </w:rPr>
            </w:pPr>
          </w:p>
        </w:tc>
      </w:tr>
      <w:tr>
        <w:trPr>
          <w:trHeight w:val="226"/>
        </w:trPr>
        <w:tc>
          <w:tcPr>
            <w:tcW w:w="4020" w:type="dxa"/>
            <w:vAlign w:val="bottom"/>
          </w:tcPr>
          <w:p>
            <w:pPr>
              <w:spacing w:after="0" w:line="226" w:lineRule="exact"/>
              <w:rPr>
                <w:sz w:val="20"/>
                <w:szCs w:val="20"/>
                <w:color w:val="auto"/>
              </w:rPr>
            </w:pPr>
            <w:r>
              <w:rPr>
                <w:rFonts w:ascii="Times New Roman" w:cs="Times New Roman" w:eastAsia="Times New Roman" w:hAnsi="Times New Roman"/>
                <w:sz w:val="21"/>
                <w:szCs w:val="21"/>
                <w:i w:val="1"/>
                <w:iCs w:val="1"/>
                <w:color w:val="auto"/>
              </w:rPr>
              <w:t>Executive Officer</w:t>
            </w:r>
          </w:p>
        </w:tc>
        <w:tc>
          <w:tcPr>
            <w:tcW w:w="5480" w:type="dxa"/>
            <w:vAlign w:val="bottom"/>
          </w:tcPr>
          <w:p>
            <w:pPr>
              <w:ind w:left="620"/>
              <w:spacing w:after="0" w:line="226" w:lineRule="exact"/>
              <w:rPr>
                <w:sz w:val="20"/>
                <w:szCs w:val="20"/>
                <w:color w:val="auto"/>
              </w:rPr>
            </w:pPr>
            <w:r>
              <w:rPr>
                <w:rFonts w:ascii="Times New Roman" w:cs="Times New Roman" w:eastAsia="Times New Roman" w:hAnsi="Times New Roman"/>
                <w:sz w:val="21"/>
                <w:szCs w:val="21"/>
                <w:color w:val="auto"/>
                <w:w w:val="99"/>
              </w:rPr>
              <w:t>An individual identified as an Executive Officer in ATC’s</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19"/>
                <w:szCs w:val="19"/>
                <w:color w:val="auto"/>
              </w:rPr>
            </w:pPr>
          </w:p>
        </w:tc>
        <w:tc>
          <w:tcPr>
            <w:tcW w:w="5480" w:type="dxa"/>
            <w:vAlign w:val="bottom"/>
          </w:tcPr>
          <w:p>
            <w:pPr>
              <w:ind w:left="620"/>
              <w:spacing w:after="0" w:line="224" w:lineRule="exact"/>
              <w:rPr>
                <w:sz w:val="20"/>
                <w:szCs w:val="20"/>
                <w:color w:val="auto"/>
              </w:rPr>
            </w:pPr>
            <w:r>
              <w:rPr>
                <w:rFonts w:ascii="Times New Roman" w:cs="Times New Roman" w:eastAsia="Times New Roman" w:hAnsi="Times New Roman"/>
                <w:sz w:val="21"/>
                <w:szCs w:val="21"/>
                <w:color w:val="auto"/>
              </w:rPr>
              <w:t>Annual Report to Stockholders, Proxy Statement for its</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19"/>
                <w:szCs w:val="19"/>
                <w:color w:val="auto"/>
              </w:rPr>
            </w:pPr>
          </w:p>
        </w:tc>
        <w:tc>
          <w:tcPr>
            <w:tcW w:w="5480" w:type="dxa"/>
            <w:vAlign w:val="bottom"/>
          </w:tcPr>
          <w:p>
            <w:pPr>
              <w:ind w:left="620"/>
              <w:spacing w:after="0" w:line="224" w:lineRule="exact"/>
              <w:rPr>
                <w:sz w:val="20"/>
                <w:szCs w:val="20"/>
                <w:color w:val="auto"/>
              </w:rPr>
            </w:pPr>
            <w:r>
              <w:rPr>
                <w:rFonts w:ascii="Times New Roman" w:cs="Times New Roman" w:eastAsia="Times New Roman" w:hAnsi="Times New Roman"/>
                <w:sz w:val="21"/>
                <w:szCs w:val="21"/>
                <w:color w:val="auto"/>
              </w:rPr>
              <w:t>Annual Meeting and other periodic filings by the</w:t>
            </w:r>
          </w:p>
        </w:tc>
        <w:tc>
          <w:tcPr>
            <w:tcW w:w="0" w:type="dxa"/>
            <w:vAlign w:val="bottom"/>
          </w:tcPr>
          <w:p>
            <w:pPr>
              <w:spacing w:after="0"/>
              <w:rPr>
                <w:sz w:val="1"/>
                <w:szCs w:val="1"/>
                <w:color w:val="auto"/>
              </w:rPr>
            </w:pPr>
          </w:p>
        </w:tc>
      </w:tr>
      <w:tr>
        <w:trPr>
          <w:trHeight w:val="276"/>
        </w:trPr>
        <w:tc>
          <w:tcPr>
            <w:tcW w:w="4020" w:type="dxa"/>
            <w:vAlign w:val="bottom"/>
            <w:vMerge w:val="restart"/>
          </w:tcPr>
          <w:p>
            <w:pPr>
              <w:spacing w:after="0"/>
              <w:rPr>
                <w:sz w:val="20"/>
                <w:szCs w:val="20"/>
                <w:color w:val="auto"/>
              </w:rPr>
            </w:pPr>
            <w:r>
              <w:rPr>
                <w:rFonts w:ascii="Times New Roman" w:cs="Times New Roman" w:eastAsia="Times New Roman" w:hAnsi="Times New Roman"/>
                <w:sz w:val="21"/>
                <w:szCs w:val="21"/>
                <w:i w:val="1"/>
                <w:iCs w:val="1"/>
                <w:color w:val="auto"/>
              </w:rPr>
              <w:t>Immediate Family Member</w:t>
            </w:r>
          </w:p>
        </w:tc>
        <w:tc>
          <w:tcPr>
            <w:tcW w:w="54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Company with the Securities and Exchange Commission.</w:t>
            </w:r>
          </w:p>
        </w:tc>
        <w:tc>
          <w:tcPr>
            <w:tcW w:w="0" w:type="dxa"/>
            <w:vAlign w:val="bottom"/>
          </w:tcPr>
          <w:p>
            <w:pPr>
              <w:spacing w:after="0"/>
              <w:rPr>
                <w:sz w:val="1"/>
                <w:szCs w:val="1"/>
                <w:color w:val="auto"/>
              </w:rPr>
            </w:pPr>
          </w:p>
        </w:tc>
      </w:tr>
      <w:tr>
        <w:trPr>
          <w:trHeight w:val="225"/>
        </w:trPr>
        <w:tc>
          <w:tcPr>
            <w:tcW w:w="4020" w:type="dxa"/>
            <w:vAlign w:val="bottom"/>
            <w:vMerge w:val="continue"/>
          </w:tcPr>
          <w:p>
            <w:pPr>
              <w:spacing w:after="0"/>
              <w:rPr>
                <w:sz w:val="19"/>
                <w:szCs w:val="19"/>
                <w:color w:val="auto"/>
              </w:rPr>
            </w:pPr>
          </w:p>
        </w:tc>
        <w:tc>
          <w:tcPr>
            <w:tcW w:w="5480" w:type="dxa"/>
            <w:vAlign w:val="bottom"/>
          </w:tcPr>
          <w:p>
            <w:pPr>
              <w:ind w:left="620"/>
              <w:spacing w:after="0" w:line="225" w:lineRule="exact"/>
              <w:rPr>
                <w:sz w:val="20"/>
                <w:szCs w:val="20"/>
                <w:color w:val="auto"/>
              </w:rPr>
            </w:pPr>
            <w:r>
              <w:rPr>
                <w:rFonts w:ascii="Times New Roman" w:cs="Times New Roman" w:eastAsia="Times New Roman" w:hAnsi="Times New Roman"/>
                <w:sz w:val="21"/>
                <w:szCs w:val="21"/>
                <w:color w:val="auto"/>
              </w:rPr>
              <w:t>The Company Person’s spouse, brother, sister, parents,</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19"/>
                <w:szCs w:val="19"/>
                <w:color w:val="auto"/>
              </w:rPr>
            </w:pPr>
          </w:p>
        </w:tc>
        <w:tc>
          <w:tcPr>
            <w:tcW w:w="5480" w:type="dxa"/>
            <w:vAlign w:val="bottom"/>
          </w:tcPr>
          <w:p>
            <w:pPr>
              <w:ind w:left="620"/>
              <w:spacing w:after="0" w:line="224" w:lineRule="exact"/>
              <w:rPr>
                <w:sz w:val="20"/>
                <w:szCs w:val="20"/>
                <w:color w:val="auto"/>
              </w:rPr>
            </w:pPr>
            <w:r>
              <w:rPr>
                <w:rFonts w:ascii="Times New Roman" w:cs="Times New Roman" w:eastAsia="Times New Roman" w:hAnsi="Times New Roman"/>
                <w:sz w:val="21"/>
                <w:szCs w:val="21"/>
                <w:color w:val="auto"/>
              </w:rPr>
              <w:t>children, step-children, father-in-law, mother-in-law,</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19"/>
                <w:szCs w:val="19"/>
                <w:color w:val="auto"/>
              </w:rPr>
            </w:pPr>
          </w:p>
        </w:tc>
        <w:tc>
          <w:tcPr>
            <w:tcW w:w="5480" w:type="dxa"/>
            <w:vAlign w:val="bottom"/>
          </w:tcPr>
          <w:p>
            <w:pPr>
              <w:ind w:left="620"/>
              <w:spacing w:after="0" w:line="224" w:lineRule="exact"/>
              <w:rPr>
                <w:sz w:val="20"/>
                <w:szCs w:val="20"/>
                <w:color w:val="auto"/>
              </w:rPr>
            </w:pPr>
            <w:r>
              <w:rPr>
                <w:rFonts w:ascii="Times New Roman" w:cs="Times New Roman" w:eastAsia="Times New Roman" w:hAnsi="Times New Roman"/>
                <w:sz w:val="21"/>
                <w:szCs w:val="21"/>
                <w:color w:val="auto"/>
                <w:w w:val="99"/>
              </w:rPr>
              <w:t>sister-in-law, brother-in-law, son-in-law, daughter-in-law,</w:t>
            </w: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5480" w:type="dxa"/>
            <w:vAlign w:val="bottom"/>
          </w:tcPr>
          <w:p>
            <w:pPr>
              <w:ind w:left="620"/>
              <w:spacing w:after="0" w:line="237" w:lineRule="exact"/>
              <w:rPr>
                <w:sz w:val="20"/>
                <w:szCs w:val="20"/>
                <w:color w:val="auto"/>
              </w:rPr>
            </w:pPr>
            <w:r>
              <w:rPr>
                <w:rFonts w:ascii="Times New Roman" w:cs="Times New Roman" w:eastAsia="Times New Roman" w:hAnsi="Times New Roman"/>
                <w:sz w:val="21"/>
                <w:szCs w:val="21"/>
                <w:color w:val="auto"/>
              </w:rPr>
              <w:t>grandparent, and any other member of the Company</w:t>
            </w:r>
          </w:p>
        </w:tc>
        <w:tc>
          <w:tcPr>
            <w:tcW w:w="0" w:type="dxa"/>
            <w:vAlign w:val="bottom"/>
          </w:tcPr>
          <w:p>
            <w:pPr>
              <w:spacing w:after="0"/>
              <w:rPr>
                <w:sz w:val="1"/>
                <w:szCs w:val="1"/>
                <w:color w:val="auto"/>
              </w:rPr>
            </w:pPr>
          </w:p>
        </w:tc>
      </w:tr>
      <w:tr>
        <w:trPr>
          <w:trHeight w:val="276"/>
        </w:trPr>
        <w:tc>
          <w:tcPr>
            <w:tcW w:w="4020" w:type="dxa"/>
            <w:vAlign w:val="bottom"/>
            <w:vMerge w:val="restart"/>
          </w:tcPr>
          <w:p>
            <w:pPr>
              <w:spacing w:after="0"/>
              <w:rPr>
                <w:sz w:val="20"/>
                <w:szCs w:val="20"/>
                <w:color w:val="auto"/>
              </w:rPr>
            </w:pPr>
            <w:r>
              <w:rPr>
                <w:rFonts w:ascii="Times New Roman" w:cs="Times New Roman" w:eastAsia="Times New Roman" w:hAnsi="Times New Roman"/>
                <w:sz w:val="21"/>
                <w:szCs w:val="21"/>
                <w:i w:val="1"/>
                <w:iCs w:val="1"/>
                <w:color w:val="auto"/>
              </w:rPr>
              <w:t>Insider</w:t>
            </w:r>
          </w:p>
        </w:tc>
        <w:tc>
          <w:tcPr>
            <w:tcW w:w="54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Person’s household.</w:t>
            </w:r>
          </w:p>
        </w:tc>
        <w:tc>
          <w:tcPr>
            <w:tcW w:w="0" w:type="dxa"/>
            <w:vAlign w:val="bottom"/>
          </w:tcPr>
          <w:p>
            <w:pPr>
              <w:spacing w:after="0"/>
              <w:rPr>
                <w:sz w:val="1"/>
                <w:szCs w:val="1"/>
                <w:color w:val="auto"/>
              </w:rPr>
            </w:pPr>
          </w:p>
        </w:tc>
      </w:tr>
      <w:tr>
        <w:trPr>
          <w:trHeight w:val="225"/>
        </w:trPr>
        <w:tc>
          <w:tcPr>
            <w:tcW w:w="4020" w:type="dxa"/>
            <w:vAlign w:val="bottom"/>
            <w:vMerge w:val="continue"/>
          </w:tcPr>
          <w:p>
            <w:pPr>
              <w:spacing w:after="0"/>
              <w:rPr>
                <w:sz w:val="19"/>
                <w:szCs w:val="19"/>
                <w:color w:val="auto"/>
              </w:rPr>
            </w:pPr>
          </w:p>
        </w:tc>
        <w:tc>
          <w:tcPr>
            <w:tcW w:w="5480" w:type="dxa"/>
            <w:vAlign w:val="bottom"/>
          </w:tcPr>
          <w:p>
            <w:pPr>
              <w:ind w:left="620"/>
              <w:spacing w:after="0" w:line="225" w:lineRule="exact"/>
              <w:rPr>
                <w:sz w:val="20"/>
                <w:szCs w:val="20"/>
                <w:color w:val="auto"/>
              </w:rPr>
            </w:pPr>
            <w:r>
              <w:rPr>
                <w:rFonts w:ascii="Times New Roman" w:cs="Times New Roman" w:eastAsia="Times New Roman" w:hAnsi="Times New Roman"/>
                <w:sz w:val="21"/>
                <w:szCs w:val="21"/>
                <w:color w:val="auto"/>
              </w:rPr>
              <w:t>A Director of American Tower or any of its subsidiaries</w:t>
            </w:r>
          </w:p>
        </w:tc>
        <w:tc>
          <w:tcPr>
            <w:tcW w:w="0" w:type="dxa"/>
            <w:vAlign w:val="bottom"/>
          </w:tcPr>
          <w:p>
            <w:pPr>
              <w:spacing w:after="0"/>
              <w:rPr>
                <w:sz w:val="1"/>
                <w:szCs w:val="1"/>
                <w:color w:val="auto"/>
              </w:rPr>
            </w:pPr>
          </w:p>
        </w:tc>
      </w:tr>
      <w:tr>
        <w:trPr>
          <w:trHeight w:val="276"/>
        </w:trPr>
        <w:tc>
          <w:tcPr>
            <w:tcW w:w="4020" w:type="dxa"/>
            <w:vAlign w:val="bottom"/>
            <w:vMerge w:val="restart"/>
          </w:tcPr>
          <w:p>
            <w:pPr>
              <w:spacing w:after="0"/>
              <w:rPr>
                <w:sz w:val="20"/>
                <w:szCs w:val="20"/>
                <w:color w:val="auto"/>
              </w:rPr>
            </w:pPr>
            <w:r>
              <w:rPr>
                <w:rFonts w:ascii="Times New Roman" w:cs="Times New Roman" w:eastAsia="Times New Roman" w:hAnsi="Times New Roman"/>
                <w:sz w:val="21"/>
                <w:szCs w:val="21"/>
                <w:i w:val="1"/>
                <w:iCs w:val="1"/>
                <w:color w:val="auto"/>
              </w:rPr>
              <w:t>Key Employee</w:t>
            </w:r>
          </w:p>
        </w:tc>
        <w:tc>
          <w:tcPr>
            <w:tcW w:w="54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or affiliates, an Executive Officer or a Key Employee.</w:t>
            </w:r>
          </w:p>
        </w:tc>
        <w:tc>
          <w:tcPr>
            <w:tcW w:w="0" w:type="dxa"/>
            <w:vAlign w:val="bottom"/>
          </w:tcPr>
          <w:p>
            <w:pPr>
              <w:spacing w:after="0"/>
              <w:rPr>
                <w:sz w:val="1"/>
                <w:szCs w:val="1"/>
                <w:color w:val="auto"/>
              </w:rPr>
            </w:pPr>
          </w:p>
        </w:tc>
      </w:tr>
      <w:tr>
        <w:trPr>
          <w:trHeight w:val="225"/>
        </w:trPr>
        <w:tc>
          <w:tcPr>
            <w:tcW w:w="4020" w:type="dxa"/>
            <w:vAlign w:val="bottom"/>
            <w:vMerge w:val="continue"/>
          </w:tcPr>
          <w:p>
            <w:pPr>
              <w:spacing w:after="0"/>
              <w:rPr>
                <w:sz w:val="19"/>
                <w:szCs w:val="19"/>
                <w:color w:val="auto"/>
              </w:rPr>
            </w:pPr>
          </w:p>
        </w:tc>
        <w:tc>
          <w:tcPr>
            <w:tcW w:w="5480" w:type="dxa"/>
            <w:vAlign w:val="bottom"/>
          </w:tcPr>
          <w:p>
            <w:pPr>
              <w:ind w:left="620"/>
              <w:spacing w:after="0" w:line="225" w:lineRule="exact"/>
              <w:rPr>
                <w:sz w:val="20"/>
                <w:szCs w:val="20"/>
                <w:color w:val="auto"/>
              </w:rPr>
            </w:pPr>
            <w:r>
              <w:rPr>
                <w:rFonts w:ascii="Times New Roman" w:cs="Times New Roman" w:eastAsia="Times New Roman" w:hAnsi="Times New Roman"/>
                <w:sz w:val="21"/>
                <w:szCs w:val="21"/>
                <w:color w:val="auto"/>
              </w:rPr>
              <w:t>An Employee or Company Person designated as an</w:t>
            </w:r>
          </w:p>
        </w:tc>
        <w:tc>
          <w:tcPr>
            <w:tcW w:w="0" w:type="dxa"/>
            <w:vAlign w:val="bottom"/>
          </w:tcPr>
          <w:p>
            <w:pPr>
              <w:spacing w:after="0"/>
              <w:rPr>
                <w:sz w:val="1"/>
                <w:szCs w:val="1"/>
                <w:color w:val="auto"/>
              </w:rPr>
            </w:pPr>
          </w:p>
        </w:tc>
      </w:tr>
      <w:tr>
        <w:trPr>
          <w:trHeight w:val="276"/>
        </w:trPr>
        <w:tc>
          <w:tcPr>
            <w:tcW w:w="4020" w:type="dxa"/>
            <w:vAlign w:val="bottom"/>
          </w:tcPr>
          <w:p>
            <w:pPr>
              <w:spacing w:after="0"/>
              <w:rPr>
                <w:sz w:val="23"/>
                <w:szCs w:val="23"/>
                <w:color w:val="auto"/>
              </w:rPr>
            </w:pPr>
          </w:p>
        </w:tc>
        <w:tc>
          <w:tcPr>
            <w:tcW w:w="54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Insider by the Corporate Legal Department.</w:t>
            </w:r>
          </w:p>
        </w:tc>
        <w:tc>
          <w:tcPr>
            <w:tcW w:w="0" w:type="dxa"/>
            <w:vAlign w:val="bottom"/>
          </w:tcPr>
          <w:p>
            <w:pPr>
              <w:spacing w:after="0"/>
              <w:rPr>
                <w:sz w:val="1"/>
                <w:szCs w:val="1"/>
                <w:color w:val="auto"/>
              </w:rPr>
            </w:pPr>
          </w:p>
        </w:tc>
      </w:tr>
    </w:tbl>
    <w:p>
      <w:pPr>
        <w:sectPr>
          <w:pgSz w:w="11900" w:h="16838" w:orient="portrait"/>
          <w:cols w:equalWidth="0" w:num="2">
            <w:col w:w="1355" w:space="300"/>
            <w:col w:w="9500"/>
          </w:cols>
          <w:pgMar w:left="325" w:top="1440" w:right="419" w:bottom="1440" w:gutter="0" w:footer="0" w:header="0"/>
        </w:sectPr>
      </w:pPr>
    </w:p>
    <w:bookmarkStart w:id="178" w:name="page179"/>
    <w:bookmarkEnd w:id="1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3.11</w:t>
            </w:r>
          </w:p>
        </w:tc>
        <w:tc>
          <w:tcPr>
            <w:tcW w:w="4480" w:type="dxa"/>
            <w:vAlign w:val="bottom"/>
          </w:tcPr>
          <w:p>
            <w:pPr>
              <w:ind w:left="620"/>
              <w:spacing w:after="0"/>
              <w:rPr>
                <w:sz w:val="20"/>
                <w:szCs w:val="20"/>
                <w:color w:val="auto"/>
              </w:rPr>
            </w:pPr>
            <w:r>
              <w:rPr>
                <w:rFonts w:ascii="Times New Roman" w:cs="Times New Roman" w:eastAsia="Times New Roman" w:hAnsi="Times New Roman"/>
                <w:sz w:val="21"/>
                <w:szCs w:val="21"/>
                <w:i w:val="1"/>
                <w:iCs w:val="1"/>
                <w:color w:val="auto"/>
              </w:rPr>
              <w:t>Material or Non-Public Information</w:t>
            </w:r>
          </w:p>
        </w:tc>
        <w:tc>
          <w:tcPr>
            <w:tcW w:w="5620" w:type="dxa"/>
            <w:vAlign w:val="bottom"/>
          </w:tcPr>
          <w:p>
            <w:pPr>
              <w:ind w:left="780"/>
              <w:spacing w:after="0"/>
              <w:rPr>
                <w:sz w:val="20"/>
                <w:szCs w:val="20"/>
                <w:color w:val="auto"/>
              </w:rPr>
            </w:pPr>
            <w:r>
              <w:rPr>
                <w:rFonts w:ascii="Times New Roman" w:cs="Times New Roman" w:eastAsia="Times New Roman" w:hAnsi="Times New Roman"/>
                <w:sz w:val="21"/>
                <w:szCs w:val="21"/>
                <w:color w:val="auto"/>
                <w:w w:val="99"/>
              </w:rPr>
              <w:t>Material Information is any information that a reasonable</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620" w:type="dxa"/>
            <w:vAlign w:val="bottom"/>
          </w:tcPr>
          <w:p>
            <w:pPr>
              <w:ind w:left="780"/>
              <w:spacing w:after="0" w:line="224" w:lineRule="exact"/>
              <w:rPr>
                <w:sz w:val="20"/>
                <w:szCs w:val="20"/>
                <w:color w:val="auto"/>
              </w:rPr>
            </w:pPr>
            <w:r>
              <w:rPr>
                <w:rFonts w:ascii="Times New Roman" w:cs="Times New Roman" w:eastAsia="Times New Roman" w:hAnsi="Times New Roman"/>
                <w:sz w:val="21"/>
                <w:szCs w:val="21"/>
                <w:color w:val="auto"/>
              </w:rPr>
              <w:t>investor would consider important in a decision to buy,</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620" w:type="dxa"/>
            <w:vAlign w:val="bottom"/>
          </w:tcPr>
          <w:p>
            <w:pPr>
              <w:ind w:left="780"/>
              <w:spacing w:after="0" w:line="224" w:lineRule="exact"/>
              <w:rPr>
                <w:sz w:val="20"/>
                <w:szCs w:val="20"/>
                <w:color w:val="auto"/>
              </w:rPr>
            </w:pPr>
            <w:r>
              <w:rPr>
                <w:rFonts w:ascii="Times New Roman" w:cs="Times New Roman" w:eastAsia="Times New Roman" w:hAnsi="Times New Roman"/>
                <w:sz w:val="21"/>
                <w:szCs w:val="21"/>
                <w:color w:val="auto"/>
              </w:rPr>
              <w:t>hold or sell stock or other securities – in short, any</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620" w:type="dxa"/>
            <w:vAlign w:val="bottom"/>
          </w:tcPr>
          <w:p>
            <w:pPr>
              <w:ind w:left="780"/>
              <w:spacing w:after="0" w:line="224" w:lineRule="exact"/>
              <w:rPr>
                <w:sz w:val="20"/>
                <w:szCs w:val="20"/>
                <w:color w:val="auto"/>
              </w:rPr>
            </w:pPr>
            <w:r>
              <w:rPr>
                <w:rFonts w:ascii="Times New Roman" w:cs="Times New Roman" w:eastAsia="Times New Roman" w:hAnsi="Times New Roman"/>
                <w:sz w:val="21"/>
                <w:szCs w:val="21"/>
                <w:color w:val="auto"/>
              </w:rPr>
              <w:t>information that could reasonably be expected to affect</w:t>
            </w:r>
          </w:p>
        </w:tc>
        <w:tc>
          <w:tcPr>
            <w:tcW w:w="0" w:type="dxa"/>
            <w:vAlign w:val="bottom"/>
          </w:tcPr>
          <w:p>
            <w:pPr>
              <w:spacing w:after="0"/>
              <w:rPr>
                <w:sz w:val="1"/>
                <w:szCs w:val="1"/>
                <w:color w:val="auto"/>
              </w:rPr>
            </w:pPr>
          </w:p>
        </w:tc>
      </w:tr>
      <w:tr>
        <w:trPr>
          <w:trHeight w:val="276"/>
        </w:trPr>
        <w:tc>
          <w:tcPr>
            <w:tcW w:w="10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56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the price of ATC stock or other securities.</w:t>
            </w: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620" w:type="dxa"/>
            <w:vAlign w:val="bottom"/>
          </w:tcPr>
          <w:p>
            <w:pPr>
              <w:ind w:left="780"/>
              <w:spacing w:after="0" w:line="238" w:lineRule="exact"/>
              <w:rPr>
                <w:sz w:val="20"/>
                <w:szCs w:val="20"/>
                <w:color w:val="auto"/>
              </w:rPr>
            </w:pPr>
            <w:r>
              <w:rPr>
                <w:rFonts w:ascii="Times New Roman" w:cs="Times New Roman" w:eastAsia="Times New Roman" w:hAnsi="Times New Roman"/>
                <w:sz w:val="21"/>
                <w:szCs w:val="21"/>
                <w:color w:val="auto"/>
              </w:rPr>
              <w:t>Information is considered to be Non-Public until it has</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620" w:type="dxa"/>
            <w:vAlign w:val="bottom"/>
          </w:tcPr>
          <w:p>
            <w:pPr>
              <w:ind w:left="780"/>
              <w:spacing w:after="0" w:line="224" w:lineRule="exact"/>
              <w:rPr>
                <w:sz w:val="20"/>
                <w:szCs w:val="20"/>
                <w:color w:val="auto"/>
              </w:rPr>
            </w:pPr>
            <w:r>
              <w:rPr>
                <w:rFonts w:ascii="Times New Roman" w:cs="Times New Roman" w:eastAsia="Times New Roman" w:hAnsi="Times New Roman"/>
                <w:sz w:val="21"/>
                <w:szCs w:val="21"/>
                <w:color w:val="auto"/>
              </w:rPr>
              <w:t>been publicly disseminated through a widespread public</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620" w:type="dxa"/>
            <w:vAlign w:val="bottom"/>
          </w:tcPr>
          <w:p>
            <w:pPr>
              <w:ind w:left="780"/>
              <w:spacing w:after="0" w:line="224" w:lineRule="exact"/>
              <w:rPr>
                <w:sz w:val="20"/>
                <w:szCs w:val="20"/>
                <w:color w:val="auto"/>
              </w:rPr>
            </w:pPr>
            <w:r>
              <w:rPr>
                <w:rFonts w:ascii="Times New Roman" w:cs="Times New Roman" w:eastAsia="Times New Roman" w:hAnsi="Times New Roman"/>
                <w:sz w:val="21"/>
                <w:szCs w:val="21"/>
                <w:color w:val="auto"/>
              </w:rPr>
              <w:t>press release issued through a major newswire, national</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620" w:type="dxa"/>
            <w:vAlign w:val="bottom"/>
          </w:tcPr>
          <w:p>
            <w:pPr>
              <w:ind w:left="780"/>
              <w:spacing w:after="0" w:line="224" w:lineRule="exact"/>
              <w:rPr>
                <w:sz w:val="20"/>
                <w:szCs w:val="20"/>
                <w:color w:val="auto"/>
              </w:rPr>
            </w:pPr>
            <w:r>
              <w:rPr>
                <w:rFonts w:ascii="Times New Roman" w:cs="Times New Roman" w:eastAsia="Times New Roman" w:hAnsi="Times New Roman"/>
                <w:sz w:val="21"/>
                <w:szCs w:val="21"/>
                <w:color w:val="auto"/>
              </w:rPr>
              <w:t>news or financial news service, an SEC filing or some</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620" w:type="dxa"/>
            <w:vAlign w:val="bottom"/>
          </w:tcPr>
          <w:p>
            <w:pPr>
              <w:ind w:left="780"/>
              <w:spacing w:after="0" w:line="224" w:lineRule="exact"/>
              <w:rPr>
                <w:sz w:val="20"/>
                <w:szCs w:val="20"/>
                <w:color w:val="auto"/>
              </w:rPr>
            </w:pPr>
            <w:r>
              <w:rPr>
                <w:rFonts w:ascii="Times New Roman" w:cs="Times New Roman" w:eastAsia="Times New Roman" w:hAnsi="Times New Roman"/>
                <w:sz w:val="21"/>
                <w:szCs w:val="21"/>
                <w:color w:val="auto"/>
              </w:rPr>
              <w:t>other form of mass media, and a reasonable amount of</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620" w:type="dxa"/>
            <w:vAlign w:val="bottom"/>
          </w:tcPr>
          <w:p>
            <w:pPr>
              <w:ind w:left="780"/>
              <w:spacing w:after="0" w:line="224" w:lineRule="exact"/>
              <w:rPr>
                <w:sz w:val="20"/>
                <w:szCs w:val="20"/>
                <w:color w:val="auto"/>
              </w:rPr>
            </w:pPr>
            <w:r>
              <w:rPr>
                <w:rFonts w:ascii="Times New Roman" w:cs="Times New Roman" w:eastAsia="Times New Roman" w:hAnsi="Times New Roman"/>
                <w:sz w:val="21"/>
                <w:szCs w:val="21"/>
                <w:color w:val="auto"/>
              </w:rPr>
              <w:t>time has passed to permit the stock market to absorb the</w:t>
            </w:r>
          </w:p>
        </w:tc>
        <w:tc>
          <w:tcPr>
            <w:tcW w:w="0" w:type="dxa"/>
            <w:vAlign w:val="bottom"/>
          </w:tcPr>
          <w:p>
            <w:pPr>
              <w:spacing w:after="0"/>
              <w:rPr>
                <w:sz w:val="1"/>
                <w:szCs w:val="1"/>
                <w:color w:val="auto"/>
              </w:rPr>
            </w:pPr>
          </w:p>
        </w:tc>
      </w:tr>
      <w:tr>
        <w:trPr>
          <w:trHeight w:val="276"/>
        </w:trPr>
        <w:tc>
          <w:tcPr>
            <w:tcW w:w="102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3.12</w:t>
            </w:r>
          </w:p>
        </w:tc>
        <w:tc>
          <w:tcPr>
            <w:tcW w:w="4480" w:type="dxa"/>
            <w:vAlign w:val="bottom"/>
            <w:vMerge w:val="restart"/>
          </w:tcPr>
          <w:p>
            <w:pPr>
              <w:ind w:left="620"/>
              <w:spacing w:after="0"/>
              <w:rPr>
                <w:sz w:val="20"/>
                <w:szCs w:val="20"/>
                <w:color w:val="auto"/>
              </w:rPr>
            </w:pPr>
            <w:r>
              <w:rPr>
                <w:rFonts w:ascii="Times New Roman" w:cs="Times New Roman" w:eastAsia="Times New Roman" w:hAnsi="Times New Roman"/>
                <w:sz w:val="21"/>
                <w:szCs w:val="21"/>
                <w:i w:val="1"/>
                <w:iCs w:val="1"/>
                <w:color w:val="auto"/>
              </w:rPr>
              <w:t>NYSE</w:t>
            </w:r>
          </w:p>
        </w:tc>
        <w:tc>
          <w:tcPr>
            <w:tcW w:w="56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news.</w:t>
            </w:r>
          </w:p>
        </w:tc>
        <w:tc>
          <w:tcPr>
            <w:tcW w:w="0" w:type="dxa"/>
            <w:vAlign w:val="bottom"/>
          </w:tcPr>
          <w:p>
            <w:pPr>
              <w:spacing w:after="0"/>
              <w:rPr>
                <w:sz w:val="1"/>
                <w:szCs w:val="1"/>
                <w:color w:val="auto"/>
              </w:rPr>
            </w:pPr>
          </w:p>
        </w:tc>
      </w:tr>
      <w:tr>
        <w:trPr>
          <w:trHeight w:val="277"/>
        </w:trPr>
        <w:tc>
          <w:tcPr>
            <w:tcW w:w="1020" w:type="dxa"/>
            <w:vAlign w:val="bottom"/>
            <w:vMerge w:val="continue"/>
          </w:tcPr>
          <w:p>
            <w:pPr>
              <w:spacing w:after="0"/>
              <w:rPr>
                <w:sz w:val="24"/>
                <w:szCs w:val="24"/>
                <w:color w:val="auto"/>
              </w:rPr>
            </w:pPr>
          </w:p>
        </w:tc>
        <w:tc>
          <w:tcPr>
            <w:tcW w:w="4480" w:type="dxa"/>
            <w:vAlign w:val="bottom"/>
            <w:vMerge w:val="continue"/>
          </w:tcPr>
          <w:p>
            <w:pPr>
              <w:spacing w:after="0"/>
              <w:rPr>
                <w:sz w:val="24"/>
                <w:szCs w:val="24"/>
                <w:color w:val="auto"/>
              </w:rPr>
            </w:pPr>
          </w:p>
        </w:tc>
        <w:tc>
          <w:tcPr>
            <w:tcW w:w="56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New York Stock Exchange</w:t>
            </w:r>
          </w:p>
        </w:tc>
        <w:tc>
          <w:tcPr>
            <w:tcW w:w="0" w:type="dxa"/>
            <w:vAlign w:val="bottom"/>
          </w:tcPr>
          <w:p>
            <w:pPr>
              <w:spacing w:after="0"/>
              <w:rPr>
                <w:sz w:val="1"/>
                <w:szCs w:val="1"/>
                <w:color w:val="auto"/>
              </w:rPr>
            </w:pPr>
          </w:p>
        </w:tc>
      </w:tr>
    </w:tbl>
    <w:p>
      <w:pPr>
        <w:sectPr>
          <w:pgSz w:w="11900" w:h="16838" w:orient="portrait"/>
          <w:cols w:equalWidth="0" w:num="1">
            <w:col w:w="11120"/>
          </w:cols>
          <w:pgMar w:left="340" w:top="1412" w:right="439" w:bottom="1440" w:gutter="0" w:footer="0" w:header="0"/>
        </w:sectPr>
      </w:pPr>
    </w:p>
    <w:bookmarkStart w:id="179" w:name="page180"/>
    <w:bookmarkEnd w:id="1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jc w:val="right"/>
              <w:ind w:right="535"/>
              <w:spacing w:after="0"/>
              <w:rPr>
                <w:sz w:val="20"/>
                <w:szCs w:val="20"/>
                <w:color w:val="auto"/>
              </w:rPr>
            </w:pPr>
            <w:r>
              <w:rPr>
                <w:rFonts w:ascii="Times New Roman" w:cs="Times New Roman" w:eastAsia="Times New Roman" w:hAnsi="Times New Roman"/>
                <w:sz w:val="21"/>
                <w:szCs w:val="21"/>
                <w:b w:val="1"/>
                <w:bCs w:val="1"/>
                <w:color w:val="auto"/>
                <w:w w:val="97"/>
              </w:rPr>
              <w:t>3.13</w:t>
            </w:r>
          </w:p>
        </w:tc>
        <w:tc>
          <w:tcPr>
            <w:tcW w:w="4240" w:type="dxa"/>
            <w:vAlign w:val="bottom"/>
          </w:tcPr>
          <w:p>
            <w:pPr>
              <w:ind w:left="620"/>
              <w:spacing w:after="0"/>
              <w:rPr>
                <w:sz w:val="20"/>
                <w:szCs w:val="20"/>
                <w:color w:val="auto"/>
              </w:rPr>
            </w:pPr>
            <w:r>
              <w:rPr>
                <w:rFonts w:ascii="Times New Roman" w:cs="Times New Roman" w:eastAsia="Times New Roman" w:hAnsi="Times New Roman"/>
                <w:sz w:val="21"/>
                <w:szCs w:val="21"/>
                <w:i w:val="1"/>
                <w:iCs w:val="1"/>
                <w:color w:val="auto"/>
              </w:rPr>
              <w:t>Pension Fund Blackout Period</w:t>
            </w:r>
          </w:p>
        </w:tc>
        <w:tc>
          <w:tcPr>
            <w:tcW w:w="5940" w:type="dxa"/>
            <w:vAlign w:val="bottom"/>
          </w:tcPr>
          <w:p>
            <w:pPr>
              <w:ind w:left="1020"/>
              <w:spacing w:after="0"/>
              <w:rPr>
                <w:sz w:val="20"/>
                <w:szCs w:val="20"/>
                <w:color w:val="auto"/>
              </w:rPr>
            </w:pPr>
            <w:r>
              <w:rPr>
                <w:rFonts w:ascii="Times New Roman" w:cs="Times New Roman" w:eastAsia="Times New Roman" w:hAnsi="Times New Roman"/>
                <w:sz w:val="21"/>
                <w:szCs w:val="21"/>
                <w:color w:val="auto"/>
                <w:w w:val="99"/>
              </w:rPr>
              <w:t>A pension fund blackout period means any period of more</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than three consecutive business days during which the</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ability of not fewer than 50% of the participants or</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beneficiaries under all individual account plans (as</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940" w:type="dxa"/>
            <w:vAlign w:val="bottom"/>
          </w:tcPr>
          <w:p>
            <w:pPr>
              <w:ind w:left="1020"/>
              <w:spacing w:after="0" w:line="237" w:lineRule="exact"/>
              <w:rPr>
                <w:sz w:val="20"/>
                <w:szCs w:val="20"/>
                <w:color w:val="auto"/>
              </w:rPr>
            </w:pPr>
            <w:r>
              <w:rPr>
                <w:rFonts w:ascii="Times New Roman" w:cs="Times New Roman" w:eastAsia="Times New Roman" w:hAnsi="Times New Roman"/>
                <w:sz w:val="21"/>
                <w:szCs w:val="21"/>
                <w:color w:val="auto"/>
              </w:rPr>
              <w:t>defined under the Employee Retirement Income Security</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Act of 1974, but excluding a one-participant retirement</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plan) maintained by the Company to purchase, sell or</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otherwise acquire or transfer an interest in any equity</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security of the Company held in such an individual</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account plan is temporarily suspended by the Company or</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a fiduciary of the plan. A pension fund blackout period</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does not include the following periods which the SEC</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exempts from the definition of “blackout period” under</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940" w:type="dxa"/>
            <w:vAlign w:val="bottom"/>
          </w:tcPr>
          <w:p>
            <w:pPr>
              <w:ind w:left="1020"/>
              <w:spacing w:after="0" w:line="237" w:lineRule="exact"/>
              <w:rPr>
                <w:sz w:val="20"/>
                <w:szCs w:val="20"/>
                <w:color w:val="auto"/>
              </w:rPr>
            </w:pPr>
            <w:r>
              <w:rPr>
                <w:rFonts w:ascii="Times New Roman" w:cs="Times New Roman" w:eastAsia="Times New Roman" w:hAnsi="Times New Roman"/>
                <w:sz w:val="21"/>
                <w:szCs w:val="21"/>
                <w:color w:val="auto"/>
              </w:rPr>
              <w:t>Regulation BTR: (i) regularly scheduled and timely</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disclosed periods during which plan participants may not</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transfer their interests in Company equity securities; and</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(ii) blackout periods imposed in connection with persons</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w w:val="99"/>
              </w:rPr>
              <w:t>commencing or ceasing participation in the plan by reason</w:t>
            </w:r>
          </w:p>
        </w:tc>
        <w:tc>
          <w:tcPr>
            <w:tcW w:w="0" w:type="dxa"/>
            <w:vAlign w:val="bottom"/>
          </w:tcPr>
          <w:p>
            <w:pPr>
              <w:spacing w:after="0"/>
              <w:rPr>
                <w:sz w:val="1"/>
                <w:szCs w:val="1"/>
                <w:color w:val="auto"/>
              </w:rPr>
            </w:pPr>
          </w:p>
        </w:tc>
      </w:tr>
      <w:tr>
        <w:trPr>
          <w:trHeight w:val="276"/>
        </w:trPr>
        <w:tc>
          <w:tcPr>
            <w:tcW w:w="10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594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of a merger, acquisition or divestiture.</w:t>
            </w: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5" w:lineRule="exact"/>
              <w:rPr>
                <w:sz w:val="20"/>
                <w:szCs w:val="20"/>
                <w:color w:val="auto"/>
              </w:rPr>
            </w:pPr>
            <w:r>
              <w:rPr>
                <w:rFonts w:ascii="Times New Roman" w:cs="Times New Roman" w:eastAsia="Times New Roman" w:hAnsi="Times New Roman"/>
                <w:sz w:val="21"/>
                <w:szCs w:val="21"/>
                <w:color w:val="auto"/>
              </w:rPr>
              <w:t>The prohibitions on purchases, sales, acquisitions and</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transfers of Company equity securities during pension</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fund blackout periods also do not apply to any</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940" w:type="dxa"/>
            <w:vAlign w:val="bottom"/>
          </w:tcPr>
          <w:p>
            <w:pPr>
              <w:ind w:left="1020"/>
              <w:spacing w:after="0" w:line="237" w:lineRule="exact"/>
              <w:rPr>
                <w:sz w:val="20"/>
                <w:szCs w:val="20"/>
                <w:color w:val="auto"/>
              </w:rPr>
            </w:pPr>
            <w:r>
              <w:rPr>
                <w:rFonts w:ascii="Times New Roman" w:cs="Times New Roman" w:eastAsia="Times New Roman" w:hAnsi="Times New Roman"/>
                <w:sz w:val="21"/>
                <w:szCs w:val="21"/>
                <w:color w:val="auto"/>
              </w:rPr>
              <w:t>transactions exempted by SEC rule from such</w:t>
            </w:r>
          </w:p>
        </w:tc>
        <w:tc>
          <w:tcPr>
            <w:tcW w:w="0" w:type="dxa"/>
            <w:vAlign w:val="bottom"/>
          </w:tcPr>
          <w:p>
            <w:pPr>
              <w:spacing w:after="0"/>
              <w:rPr>
                <w:sz w:val="1"/>
                <w:szCs w:val="1"/>
                <w:color w:val="auto"/>
              </w:rPr>
            </w:pPr>
          </w:p>
        </w:tc>
      </w:tr>
      <w:tr>
        <w:trPr>
          <w:trHeight w:val="276"/>
        </w:trPr>
        <w:tc>
          <w:tcPr>
            <w:tcW w:w="1020" w:type="dxa"/>
            <w:vAlign w:val="bottom"/>
            <w:vMerge w:val="restart"/>
          </w:tcPr>
          <w:p>
            <w:pPr>
              <w:jc w:val="right"/>
              <w:ind w:right="535"/>
              <w:spacing w:after="0"/>
              <w:rPr>
                <w:sz w:val="20"/>
                <w:szCs w:val="20"/>
                <w:color w:val="auto"/>
              </w:rPr>
            </w:pPr>
            <w:r>
              <w:rPr>
                <w:rFonts w:ascii="Times New Roman" w:cs="Times New Roman" w:eastAsia="Times New Roman" w:hAnsi="Times New Roman"/>
                <w:sz w:val="21"/>
                <w:szCs w:val="21"/>
                <w:b w:val="1"/>
                <w:bCs w:val="1"/>
                <w:color w:val="auto"/>
                <w:w w:val="97"/>
              </w:rPr>
              <w:t>3.14</w:t>
            </w:r>
          </w:p>
        </w:tc>
        <w:tc>
          <w:tcPr>
            <w:tcW w:w="4240" w:type="dxa"/>
            <w:vAlign w:val="bottom"/>
            <w:vMerge w:val="restart"/>
          </w:tcPr>
          <w:p>
            <w:pPr>
              <w:ind w:left="620"/>
              <w:spacing w:after="0"/>
              <w:rPr>
                <w:sz w:val="20"/>
                <w:szCs w:val="20"/>
                <w:color w:val="auto"/>
              </w:rPr>
            </w:pPr>
            <w:r>
              <w:rPr>
                <w:rFonts w:ascii="Times New Roman" w:cs="Times New Roman" w:eastAsia="Times New Roman" w:hAnsi="Times New Roman"/>
                <w:sz w:val="21"/>
                <w:szCs w:val="21"/>
                <w:i w:val="1"/>
                <w:iCs w:val="1"/>
                <w:color w:val="auto"/>
              </w:rPr>
              <w:t>SEC</w:t>
            </w:r>
          </w:p>
        </w:tc>
        <w:tc>
          <w:tcPr>
            <w:tcW w:w="594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prohibitions under Regulation BTR.</w:t>
            </w:r>
          </w:p>
        </w:tc>
        <w:tc>
          <w:tcPr>
            <w:tcW w:w="0" w:type="dxa"/>
            <w:vAlign w:val="bottom"/>
          </w:tcPr>
          <w:p>
            <w:pPr>
              <w:spacing w:after="0"/>
              <w:rPr>
                <w:sz w:val="1"/>
                <w:szCs w:val="1"/>
                <w:color w:val="auto"/>
              </w:rPr>
            </w:pPr>
          </w:p>
        </w:tc>
      </w:tr>
      <w:tr>
        <w:trPr>
          <w:trHeight w:val="260"/>
        </w:trPr>
        <w:tc>
          <w:tcPr>
            <w:tcW w:w="1020" w:type="dxa"/>
            <w:vAlign w:val="bottom"/>
            <w:vMerge w:val="continue"/>
          </w:tcPr>
          <w:p>
            <w:pPr>
              <w:spacing w:after="0"/>
              <w:rPr>
                <w:sz w:val="22"/>
                <w:szCs w:val="22"/>
                <w:color w:val="auto"/>
              </w:rPr>
            </w:pPr>
          </w:p>
        </w:tc>
        <w:tc>
          <w:tcPr>
            <w:tcW w:w="4240" w:type="dxa"/>
            <w:vAlign w:val="bottom"/>
            <w:vMerge w:val="continue"/>
          </w:tcPr>
          <w:p>
            <w:pPr>
              <w:spacing w:after="0"/>
              <w:rPr>
                <w:sz w:val="22"/>
                <w:szCs w:val="22"/>
                <w:color w:val="auto"/>
              </w:rPr>
            </w:pPr>
          </w:p>
        </w:tc>
        <w:tc>
          <w:tcPr>
            <w:tcW w:w="594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Securities and Exchange Commission</w:t>
            </w:r>
          </w:p>
        </w:tc>
        <w:tc>
          <w:tcPr>
            <w:tcW w:w="0" w:type="dxa"/>
            <w:vAlign w:val="bottom"/>
          </w:tcPr>
          <w:p>
            <w:pPr>
              <w:spacing w:after="0"/>
              <w:rPr>
                <w:sz w:val="1"/>
                <w:szCs w:val="1"/>
                <w:color w:val="auto"/>
              </w:rPr>
            </w:pPr>
          </w:p>
        </w:tc>
      </w:tr>
      <w:tr>
        <w:trPr>
          <w:trHeight w:val="241"/>
        </w:trPr>
        <w:tc>
          <w:tcPr>
            <w:tcW w:w="1020" w:type="dxa"/>
            <w:vAlign w:val="bottom"/>
          </w:tcPr>
          <w:p>
            <w:pPr>
              <w:jc w:val="right"/>
              <w:ind w:right="535"/>
              <w:spacing w:after="0"/>
              <w:rPr>
                <w:sz w:val="20"/>
                <w:szCs w:val="20"/>
                <w:color w:val="auto"/>
              </w:rPr>
            </w:pPr>
            <w:r>
              <w:rPr>
                <w:rFonts w:ascii="Times New Roman" w:cs="Times New Roman" w:eastAsia="Times New Roman" w:hAnsi="Times New Roman"/>
                <w:sz w:val="21"/>
                <w:szCs w:val="21"/>
                <w:b w:val="1"/>
                <w:bCs w:val="1"/>
                <w:color w:val="auto"/>
                <w:w w:val="97"/>
              </w:rPr>
              <w:t>3.15</w:t>
            </w:r>
          </w:p>
        </w:tc>
        <w:tc>
          <w:tcPr>
            <w:tcW w:w="4240" w:type="dxa"/>
            <w:vAlign w:val="bottom"/>
          </w:tcPr>
          <w:p>
            <w:pPr>
              <w:ind w:left="620"/>
              <w:spacing w:after="0"/>
              <w:rPr>
                <w:sz w:val="20"/>
                <w:szCs w:val="20"/>
                <w:color w:val="auto"/>
              </w:rPr>
            </w:pPr>
            <w:r>
              <w:rPr>
                <w:rFonts w:ascii="Times New Roman" w:cs="Times New Roman" w:eastAsia="Times New Roman" w:hAnsi="Times New Roman"/>
                <w:sz w:val="21"/>
                <w:szCs w:val="21"/>
                <w:i w:val="1"/>
                <w:iCs w:val="1"/>
                <w:color w:val="auto"/>
              </w:rPr>
              <w:t>Temporary Insiders</w:t>
            </w:r>
          </w:p>
        </w:tc>
        <w:tc>
          <w:tcPr>
            <w:tcW w:w="594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Anyone working on a project, acquisition or contract that</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involves access to Material, Non-Public Information, such</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as working on due diligence for a material acquisition.</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940" w:type="dxa"/>
            <w:vAlign w:val="bottom"/>
          </w:tcPr>
          <w:p>
            <w:pPr>
              <w:ind w:left="1020"/>
              <w:spacing w:after="0" w:line="224" w:lineRule="exact"/>
              <w:rPr>
                <w:sz w:val="20"/>
                <w:szCs w:val="20"/>
                <w:color w:val="auto"/>
              </w:rPr>
            </w:pPr>
            <w:r>
              <w:rPr>
                <w:rFonts w:ascii="Times New Roman" w:cs="Times New Roman" w:eastAsia="Times New Roman" w:hAnsi="Times New Roman"/>
                <w:sz w:val="21"/>
                <w:szCs w:val="21"/>
                <w:color w:val="auto"/>
              </w:rPr>
              <w:t>People who are considered as being Temporary Insiders</w:t>
            </w:r>
          </w:p>
        </w:tc>
        <w:tc>
          <w:tcPr>
            <w:tcW w:w="0" w:type="dxa"/>
            <w:vAlign w:val="bottom"/>
          </w:tcPr>
          <w:p>
            <w:pPr>
              <w:spacing w:after="0"/>
              <w:rPr>
                <w:sz w:val="1"/>
                <w:szCs w:val="1"/>
                <w:color w:val="auto"/>
              </w:rPr>
            </w:pPr>
          </w:p>
        </w:tc>
      </w:tr>
      <w:tr>
        <w:trPr>
          <w:trHeight w:val="276"/>
        </w:trPr>
        <w:tc>
          <w:tcPr>
            <w:tcW w:w="1020" w:type="dxa"/>
            <w:vAlign w:val="bottom"/>
            <w:vMerge w:val="restart"/>
          </w:tcPr>
          <w:p>
            <w:pPr>
              <w:jc w:val="right"/>
              <w:ind w:right="535"/>
              <w:spacing w:after="0"/>
              <w:rPr>
                <w:sz w:val="20"/>
                <w:szCs w:val="20"/>
                <w:color w:val="auto"/>
              </w:rPr>
            </w:pPr>
            <w:r>
              <w:rPr>
                <w:rFonts w:ascii="Times New Roman" w:cs="Times New Roman" w:eastAsia="Times New Roman" w:hAnsi="Times New Roman"/>
                <w:sz w:val="21"/>
                <w:szCs w:val="21"/>
                <w:b w:val="1"/>
                <w:bCs w:val="1"/>
                <w:color w:val="auto"/>
                <w:w w:val="97"/>
              </w:rPr>
              <w:t>3.16</w:t>
            </w:r>
          </w:p>
        </w:tc>
        <w:tc>
          <w:tcPr>
            <w:tcW w:w="4240" w:type="dxa"/>
            <w:vAlign w:val="bottom"/>
          </w:tcPr>
          <w:p>
            <w:pPr>
              <w:spacing w:after="0"/>
              <w:rPr>
                <w:sz w:val="23"/>
                <w:szCs w:val="23"/>
                <w:color w:val="auto"/>
              </w:rPr>
            </w:pPr>
          </w:p>
        </w:tc>
        <w:tc>
          <w:tcPr>
            <w:tcW w:w="594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by the Company will be notified of this status.</w:t>
            </w:r>
          </w:p>
        </w:tc>
        <w:tc>
          <w:tcPr>
            <w:tcW w:w="0" w:type="dxa"/>
            <w:vAlign w:val="bottom"/>
          </w:tcPr>
          <w:p>
            <w:pPr>
              <w:spacing w:after="0"/>
              <w:rPr>
                <w:sz w:val="1"/>
                <w:szCs w:val="1"/>
                <w:color w:val="auto"/>
              </w:rPr>
            </w:pPr>
          </w:p>
        </w:tc>
      </w:tr>
      <w:tr>
        <w:trPr>
          <w:trHeight w:val="238"/>
        </w:trPr>
        <w:tc>
          <w:tcPr>
            <w:tcW w:w="1020" w:type="dxa"/>
            <w:vAlign w:val="bottom"/>
            <w:vMerge w:val="continue"/>
          </w:tcPr>
          <w:p>
            <w:pPr>
              <w:spacing w:after="0"/>
              <w:rPr>
                <w:sz w:val="20"/>
                <w:szCs w:val="20"/>
                <w:color w:val="auto"/>
              </w:rPr>
            </w:pPr>
          </w:p>
        </w:tc>
        <w:tc>
          <w:tcPr>
            <w:tcW w:w="4240" w:type="dxa"/>
            <w:vAlign w:val="bottom"/>
          </w:tcPr>
          <w:p>
            <w:pPr>
              <w:ind w:left="620"/>
              <w:spacing w:after="0" w:line="238" w:lineRule="exact"/>
              <w:rPr>
                <w:sz w:val="20"/>
                <w:szCs w:val="20"/>
                <w:color w:val="auto"/>
              </w:rPr>
            </w:pPr>
            <w:r>
              <w:rPr>
                <w:rFonts w:ascii="Times New Roman" w:cs="Times New Roman" w:eastAsia="Times New Roman" w:hAnsi="Times New Roman"/>
                <w:sz w:val="21"/>
                <w:szCs w:val="21"/>
                <w:i w:val="1"/>
                <w:iCs w:val="1"/>
                <w:color w:val="auto"/>
              </w:rPr>
              <w:t>Tipping</w:t>
            </w:r>
          </w:p>
        </w:tc>
        <w:tc>
          <w:tcPr>
            <w:tcW w:w="5940" w:type="dxa"/>
            <w:vAlign w:val="bottom"/>
          </w:tcPr>
          <w:p>
            <w:pPr>
              <w:ind w:left="1020"/>
              <w:spacing w:after="0" w:line="238" w:lineRule="exact"/>
              <w:rPr>
                <w:sz w:val="20"/>
                <w:szCs w:val="20"/>
                <w:color w:val="auto"/>
              </w:rPr>
            </w:pPr>
            <w:r>
              <w:rPr>
                <w:rFonts w:ascii="Times New Roman" w:cs="Times New Roman" w:eastAsia="Times New Roman" w:hAnsi="Times New Roman"/>
                <w:sz w:val="21"/>
                <w:szCs w:val="21"/>
                <w:color w:val="auto"/>
              </w:rPr>
              <w:t>Tipping is the disclosing of Material, Non-Public</w:t>
            </w: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594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Information about the Company to outsiders who may</w:t>
            </w:r>
          </w:p>
        </w:tc>
        <w:tc>
          <w:tcPr>
            <w:tcW w:w="0" w:type="dxa"/>
            <w:vAlign w:val="bottom"/>
          </w:tcPr>
          <w:p>
            <w:pPr>
              <w:spacing w:after="0"/>
              <w:rPr>
                <w:sz w:val="1"/>
                <w:szCs w:val="1"/>
                <w:color w:val="auto"/>
              </w:rPr>
            </w:pPr>
          </w:p>
        </w:tc>
      </w:tr>
    </w:tbl>
    <w:p>
      <w:pPr>
        <w:ind w:left="6280"/>
        <w:spacing w:after="0" w:line="222" w:lineRule="auto"/>
        <w:rPr>
          <w:sz w:val="20"/>
          <w:szCs w:val="20"/>
          <w:color w:val="auto"/>
        </w:rPr>
      </w:pPr>
      <w:r>
        <w:rPr>
          <w:rFonts w:ascii="Times New Roman" w:cs="Times New Roman" w:eastAsia="Times New Roman" w:hAnsi="Times New Roman"/>
          <w:sz w:val="21"/>
          <w:szCs w:val="21"/>
          <w:color w:val="auto"/>
        </w:rPr>
        <w:t>then use the information to trade in the Company’s</w:t>
      </w:r>
    </w:p>
    <w:p>
      <w:pPr>
        <w:spacing w:after="0" w:line="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1"/>
          <w:szCs w:val="21"/>
          <w:color w:val="auto"/>
        </w:rPr>
        <w:t>securities.</w:t>
      </w:r>
    </w:p>
    <w:p>
      <w:pPr>
        <w:sectPr>
          <w:pgSz w:w="11900" w:h="16838" w:orient="portrait"/>
          <w:cols w:equalWidth="0" w:num="1">
            <w:col w:w="11200"/>
          </w:cols>
          <w:pgMar w:left="340" w:top="1412" w:right="35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41"/>
        </w:trPr>
        <w:tc>
          <w:tcPr>
            <w:tcW w:w="1020" w:type="dxa"/>
            <w:vAlign w:val="bottom"/>
          </w:tcPr>
          <w:p>
            <w:pPr>
              <w:jc w:val="right"/>
              <w:ind w:right="535"/>
              <w:spacing w:after="0"/>
              <w:rPr>
                <w:sz w:val="20"/>
                <w:szCs w:val="20"/>
                <w:color w:val="auto"/>
              </w:rPr>
            </w:pPr>
            <w:r>
              <w:rPr>
                <w:rFonts w:ascii="Times New Roman" w:cs="Times New Roman" w:eastAsia="Times New Roman" w:hAnsi="Times New Roman"/>
                <w:sz w:val="21"/>
                <w:szCs w:val="21"/>
                <w:b w:val="1"/>
                <w:bCs w:val="1"/>
                <w:color w:val="auto"/>
                <w:w w:val="97"/>
              </w:rPr>
              <w:t>3.17</w:t>
            </w:r>
          </w:p>
        </w:tc>
        <w:tc>
          <w:tcPr>
            <w:tcW w:w="3500" w:type="dxa"/>
            <w:vAlign w:val="bottom"/>
          </w:tcPr>
          <w:p>
            <w:pPr>
              <w:ind w:left="620"/>
              <w:spacing w:after="0"/>
              <w:rPr>
                <w:sz w:val="20"/>
                <w:szCs w:val="20"/>
                <w:color w:val="auto"/>
              </w:rPr>
            </w:pPr>
            <w:r>
              <w:rPr>
                <w:rFonts w:ascii="Times New Roman" w:cs="Times New Roman" w:eastAsia="Times New Roman" w:hAnsi="Times New Roman"/>
                <w:sz w:val="21"/>
                <w:szCs w:val="21"/>
                <w:i w:val="1"/>
                <w:iCs w:val="1"/>
                <w:color w:val="auto"/>
              </w:rPr>
              <w:t>Trading Day</w:t>
            </w:r>
          </w:p>
        </w:tc>
        <w:tc>
          <w:tcPr>
            <w:tcW w:w="65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ATC stock is traded on the New York Stock Exchange.</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520" w:type="dxa"/>
            <w:vAlign w:val="bottom"/>
          </w:tcPr>
          <w:p>
            <w:pPr>
              <w:ind w:left="1760"/>
              <w:spacing w:after="0" w:line="224" w:lineRule="exact"/>
              <w:rPr>
                <w:sz w:val="20"/>
                <w:szCs w:val="20"/>
                <w:color w:val="auto"/>
              </w:rPr>
            </w:pPr>
            <w:r>
              <w:rPr>
                <w:rFonts w:ascii="Times New Roman" w:cs="Times New Roman" w:eastAsia="Times New Roman" w:hAnsi="Times New Roman"/>
                <w:sz w:val="21"/>
                <w:szCs w:val="21"/>
                <w:color w:val="auto"/>
                <w:w w:val="99"/>
              </w:rPr>
              <w:t>Currently, trading on the NYSE commences at 9:30 a.m.</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520" w:type="dxa"/>
            <w:vAlign w:val="bottom"/>
          </w:tcPr>
          <w:p>
            <w:pPr>
              <w:ind w:left="1760"/>
              <w:spacing w:after="0" w:line="224" w:lineRule="exact"/>
              <w:rPr>
                <w:sz w:val="20"/>
                <w:szCs w:val="20"/>
                <w:color w:val="auto"/>
              </w:rPr>
            </w:pPr>
            <w:r>
              <w:rPr>
                <w:rFonts w:ascii="Times New Roman" w:cs="Times New Roman" w:eastAsia="Times New Roman" w:hAnsi="Times New Roman"/>
                <w:sz w:val="21"/>
                <w:szCs w:val="21"/>
                <w:color w:val="auto"/>
              </w:rPr>
              <w:t>and ends at 4:00 p.m. Eastern time. If either the NYSE</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6520" w:type="dxa"/>
            <w:vAlign w:val="bottom"/>
          </w:tcPr>
          <w:p>
            <w:pPr>
              <w:ind w:left="1760"/>
              <w:spacing w:after="0" w:line="224" w:lineRule="exact"/>
              <w:rPr>
                <w:sz w:val="20"/>
                <w:szCs w:val="20"/>
                <w:color w:val="auto"/>
              </w:rPr>
            </w:pPr>
            <w:r>
              <w:rPr>
                <w:rFonts w:ascii="Times New Roman" w:cs="Times New Roman" w:eastAsia="Times New Roman" w:hAnsi="Times New Roman"/>
                <w:sz w:val="21"/>
                <w:szCs w:val="21"/>
                <w:color w:val="auto"/>
              </w:rPr>
              <w:t>changes its trading hours or American Tower stock</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520" w:type="dxa"/>
            <w:vAlign w:val="bottom"/>
          </w:tcPr>
          <w:p>
            <w:pPr>
              <w:ind w:left="1760"/>
              <w:spacing w:after="0" w:line="237" w:lineRule="exact"/>
              <w:rPr>
                <w:sz w:val="20"/>
                <w:szCs w:val="20"/>
                <w:color w:val="auto"/>
              </w:rPr>
            </w:pPr>
            <w:r>
              <w:rPr>
                <w:rFonts w:ascii="Times New Roman" w:cs="Times New Roman" w:eastAsia="Times New Roman" w:hAnsi="Times New Roman"/>
                <w:sz w:val="21"/>
                <w:szCs w:val="21"/>
                <w:color w:val="auto"/>
                <w:w w:val="99"/>
              </w:rPr>
              <w:t>becomes listed or quoted on another stock exchange, the</w:t>
            </w:r>
          </w:p>
        </w:tc>
        <w:tc>
          <w:tcPr>
            <w:tcW w:w="0" w:type="dxa"/>
            <w:vAlign w:val="bottom"/>
          </w:tcPr>
          <w:p>
            <w:pPr>
              <w:spacing w:after="0"/>
              <w:rPr>
                <w:sz w:val="1"/>
                <w:szCs w:val="1"/>
                <w:color w:val="auto"/>
              </w:rPr>
            </w:pPr>
          </w:p>
        </w:tc>
      </w:tr>
      <w:tr>
        <w:trPr>
          <w:trHeight w:val="276"/>
        </w:trPr>
        <w:tc>
          <w:tcPr>
            <w:tcW w:w="1020" w:type="dxa"/>
            <w:vAlign w:val="bottom"/>
            <w:vMerge w:val="restart"/>
          </w:tcPr>
          <w:p>
            <w:pPr>
              <w:jc w:val="right"/>
              <w:ind w:right="535"/>
              <w:spacing w:after="0"/>
              <w:rPr>
                <w:sz w:val="20"/>
                <w:szCs w:val="20"/>
                <w:color w:val="auto"/>
              </w:rPr>
            </w:pPr>
            <w:r>
              <w:rPr>
                <w:rFonts w:ascii="Times New Roman" w:cs="Times New Roman" w:eastAsia="Times New Roman" w:hAnsi="Times New Roman"/>
                <w:sz w:val="21"/>
                <w:szCs w:val="21"/>
                <w:b w:val="1"/>
                <w:bCs w:val="1"/>
                <w:color w:val="auto"/>
                <w:w w:val="97"/>
              </w:rPr>
              <w:t>3.18</w:t>
            </w:r>
          </w:p>
        </w:tc>
        <w:tc>
          <w:tcPr>
            <w:tcW w:w="3500" w:type="dxa"/>
            <w:vAlign w:val="bottom"/>
            <w:vMerge w:val="restart"/>
          </w:tcPr>
          <w:p>
            <w:pPr>
              <w:ind w:left="620"/>
              <w:spacing w:after="0"/>
              <w:rPr>
                <w:sz w:val="20"/>
                <w:szCs w:val="20"/>
                <w:color w:val="auto"/>
              </w:rPr>
            </w:pPr>
            <w:r>
              <w:rPr>
                <w:rFonts w:ascii="Times New Roman" w:cs="Times New Roman" w:eastAsia="Times New Roman" w:hAnsi="Times New Roman"/>
                <w:sz w:val="21"/>
                <w:szCs w:val="21"/>
                <w:i w:val="1"/>
                <w:iCs w:val="1"/>
                <w:color w:val="auto"/>
              </w:rPr>
              <w:t>Trading Plan</w:t>
            </w:r>
          </w:p>
        </w:tc>
        <w:tc>
          <w:tcPr>
            <w:tcW w:w="65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definition of Trading Day would change accordingly.</w:t>
            </w:r>
          </w:p>
        </w:tc>
        <w:tc>
          <w:tcPr>
            <w:tcW w:w="0" w:type="dxa"/>
            <w:vAlign w:val="bottom"/>
          </w:tcPr>
          <w:p>
            <w:pPr>
              <w:spacing w:after="0"/>
              <w:rPr>
                <w:sz w:val="1"/>
                <w:szCs w:val="1"/>
                <w:color w:val="auto"/>
              </w:rPr>
            </w:pPr>
          </w:p>
        </w:tc>
      </w:tr>
      <w:tr>
        <w:trPr>
          <w:trHeight w:val="225"/>
        </w:trPr>
        <w:tc>
          <w:tcPr>
            <w:tcW w:w="1020" w:type="dxa"/>
            <w:vAlign w:val="bottom"/>
            <w:vMerge w:val="continue"/>
          </w:tcPr>
          <w:p>
            <w:pPr>
              <w:spacing w:after="0"/>
              <w:rPr>
                <w:sz w:val="19"/>
                <w:szCs w:val="19"/>
                <w:color w:val="auto"/>
              </w:rPr>
            </w:pPr>
          </w:p>
        </w:tc>
        <w:tc>
          <w:tcPr>
            <w:tcW w:w="3500" w:type="dxa"/>
            <w:vAlign w:val="bottom"/>
            <w:vMerge w:val="continue"/>
          </w:tcPr>
          <w:p>
            <w:pPr>
              <w:spacing w:after="0"/>
              <w:rPr>
                <w:sz w:val="19"/>
                <w:szCs w:val="19"/>
                <w:color w:val="auto"/>
              </w:rPr>
            </w:pPr>
          </w:p>
        </w:tc>
        <w:tc>
          <w:tcPr>
            <w:tcW w:w="6520" w:type="dxa"/>
            <w:vAlign w:val="bottom"/>
          </w:tcPr>
          <w:p>
            <w:pPr>
              <w:ind w:left="1760"/>
              <w:spacing w:after="0" w:line="225" w:lineRule="exact"/>
              <w:rPr>
                <w:sz w:val="20"/>
                <w:szCs w:val="20"/>
                <w:color w:val="auto"/>
              </w:rPr>
            </w:pPr>
            <w:r>
              <w:rPr>
                <w:rFonts w:ascii="Times New Roman" w:cs="Times New Roman" w:eastAsia="Times New Roman" w:hAnsi="Times New Roman"/>
                <w:sz w:val="21"/>
                <w:szCs w:val="21"/>
                <w:color w:val="auto"/>
              </w:rPr>
              <w:t>A binding contract, written plan or specific instruction</w:t>
            </w:r>
          </w:p>
        </w:tc>
        <w:tc>
          <w:tcPr>
            <w:tcW w:w="0" w:type="dxa"/>
            <w:vAlign w:val="bottom"/>
          </w:tcPr>
          <w:p>
            <w:pPr>
              <w:spacing w:after="0"/>
              <w:rPr>
                <w:sz w:val="1"/>
                <w:szCs w:val="1"/>
                <w:color w:val="auto"/>
              </w:rPr>
            </w:pPr>
          </w:p>
        </w:tc>
      </w:tr>
      <w:tr>
        <w:trPr>
          <w:trHeight w:val="276"/>
        </w:trPr>
        <w:tc>
          <w:tcPr>
            <w:tcW w:w="10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6520" w:type="dxa"/>
            <w:vAlign w:val="bottom"/>
          </w:tcPr>
          <w:p>
            <w:pPr>
              <w:ind w:left="1760"/>
              <w:spacing w:after="0"/>
              <w:rPr>
                <w:sz w:val="20"/>
                <w:szCs w:val="20"/>
                <w:color w:val="auto"/>
              </w:rPr>
            </w:pPr>
            <w:r>
              <w:rPr>
                <w:rFonts w:ascii="Times New Roman" w:cs="Times New Roman" w:eastAsia="Times New Roman" w:hAnsi="Times New Roman"/>
                <w:sz w:val="21"/>
                <w:szCs w:val="21"/>
                <w:color w:val="auto"/>
              </w:rPr>
              <w:t>that complies with Rule 10b5-1.</w:t>
            </w:r>
          </w:p>
        </w:tc>
        <w:tc>
          <w:tcPr>
            <w:tcW w:w="0" w:type="dxa"/>
            <w:vAlign w:val="bottom"/>
          </w:tcPr>
          <w:p>
            <w:pPr>
              <w:spacing w:after="0"/>
              <w:rPr>
                <w:sz w:val="1"/>
                <w:szCs w:val="1"/>
                <w:color w:val="auto"/>
              </w:rPr>
            </w:pPr>
          </w:p>
        </w:tc>
      </w:tr>
    </w:tbl>
    <w:p>
      <w:pPr>
        <w:sectPr>
          <w:pgSz w:w="11900" w:h="16838" w:orient="portrait"/>
          <w:cols w:equalWidth="0" w:num="1">
            <w:col w:w="11040"/>
          </w:cols>
          <w:pgMar w:left="340" w:top="1412" w:right="519" w:bottom="1440" w:gutter="0" w:footer="0" w:header="0"/>
        </w:sectPr>
      </w:pPr>
    </w:p>
    <w:bookmarkStart w:id="181" w:name="page182"/>
    <w:bookmarkEnd w:id="181"/>
    <w:p>
      <w:pPr>
        <w:ind w:left="380" w:hanging="375"/>
        <w:spacing w:after="0"/>
        <w:tabs>
          <w:tab w:leader="none" w:pos="380" w:val="left"/>
        </w:tabs>
        <w:numPr>
          <w:ilvl w:val="0"/>
          <w:numId w:val="1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w:t>
      </w:r>
    </w:p>
    <w:p>
      <w:pPr>
        <w:spacing w:after="0" w:line="22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1"/>
          <w:szCs w:val="21"/>
          <w:color w:val="auto"/>
        </w:rPr>
        <w:t>It is ATC’s policy that trading on inside information and Tipping inside information are prohibited and no Director or any Company Person of American Tower or any of its subsidiaries or affiliates, or any person related to such person, or the Company may:</w:t>
      </w:r>
    </w:p>
    <w:p>
      <w:pPr>
        <w:spacing w:after="0" w:line="223" w:lineRule="exact"/>
        <w:rPr>
          <w:sz w:val="20"/>
          <w:szCs w:val="20"/>
          <w:color w:val="auto"/>
        </w:rPr>
      </w:pPr>
    </w:p>
    <w:p>
      <w:pPr>
        <w:ind w:left="660" w:right="1620" w:hanging="321"/>
        <w:spacing w:after="0" w:line="244" w:lineRule="auto"/>
        <w:tabs>
          <w:tab w:leader="none" w:pos="655"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 sell or gift stock or other securities of American Tower, or engage in any other securities transactions involving or relating to American Tower stock or other securities, while aware of Material, Non-Public Information concerning ATC; or</w:t>
      </w:r>
    </w:p>
    <w:p>
      <w:pPr>
        <w:ind w:left="640" w:hanging="301"/>
        <w:spacing w:after="0"/>
        <w:tabs>
          <w:tab w:leader="none" w:pos="64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 such information directly or indirectly to others who may then trade on it.</w:t>
      </w:r>
    </w:p>
    <w:p>
      <w:pPr>
        <w:spacing w:after="0" w:line="32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1"/>
          <w:szCs w:val="21"/>
          <w:color w:val="auto"/>
        </w:rPr>
        <w:t xml:space="preserve">This is a </w:t>
      </w:r>
      <w:r>
        <w:rPr>
          <w:rFonts w:ascii="Times New Roman" w:cs="Times New Roman" w:eastAsia="Times New Roman" w:hAnsi="Times New Roman"/>
          <w:sz w:val="21"/>
          <w:szCs w:val="21"/>
          <w:b w:val="1"/>
          <w:bCs w:val="1"/>
          <w:i w:val="1"/>
          <w:iCs w:val="1"/>
          <w:color w:val="auto"/>
        </w:rPr>
        <w:t>self-disclosing policy</w:t>
      </w:r>
      <w:r>
        <w:rPr>
          <w:rFonts w:ascii="Times New Roman" w:cs="Times New Roman" w:eastAsia="Times New Roman" w:hAnsi="Times New Roman"/>
          <w:sz w:val="21"/>
          <w:szCs w:val="21"/>
          <w:color w:val="auto"/>
        </w:rPr>
        <w:t xml:space="preserve">. Securities transactions will be viewed </w:t>
      </w:r>
      <w:r>
        <w:rPr>
          <w:rFonts w:ascii="Times New Roman" w:cs="Times New Roman" w:eastAsia="Times New Roman" w:hAnsi="Times New Roman"/>
          <w:sz w:val="21"/>
          <w:szCs w:val="21"/>
          <w:i w:val="1"/>
          <w:iCs w:val="1"/>
          <w:color w:val="auto"/>
        </w:rPr>
        <w:t>after the fact</w:t>
      </w:r>
      <w:r>
        <w:rPr>
          <w:rFonts w:ascii="Times New Roman" w:cs="Times New Roman" w:eastAsia="Times New Roman" w:hAnsi="Times New Roman"/>
          <w:sz w:val="21"/>
          <w:szCs w:val="21"/>
          <w:color w:val="auto"/>
        </w:rPr>
        <w:t xml:space="preserve"> by regulators with the benefit of 20/20 hindsight and with highly sophisticated investigatory tools at their disposal. Accordingly, before engaging in any transaction, individuals should carefully consider how regulators and others might view the transaction with such hindsight. Company Persons and Directors must determine whether they possess inside information or whether they are allowed to engage in a specific transaction. They should contact the Corporate General Counsel or the senior member of the Corporate Legal Department who oversees SEC compliance if they have any questions concerning this policy or whether they possess inside information. It is important to remember that Company Persons have the responsibility for adhering to this policy and avoiding improper transactions.</w:t>
      </w:r>
    </w:p>
    <w:p>
      <w:pPr>
        <w:spacing w:after="0" w:line="188"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1"/>
          <w:szCs w:val="21"/>
          <w:color w:val="auto"/>
        </w:rPr>
        <w:t>Company Persons and Directors should also be aware of the fact that, under existing law, their obligations with respect to trading in ATC securities, while in the possession of Material, Non-Public Information, continues after the termination of employment. Accordingly, after leaving the Company, if Company Persons have any such Material, Non-Public Information, they must refrain from trading in ATC securities until that information becomes public or is no longer material.</w:t>
      </w:r>
    </w:p>
    <w:p>
      <w:pPr>
        <w:spacing w:after="0" w:line="18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1"/>
          <w:szCs w:val="21"/>
          <w:color w:val="auto"/>
        </w:rPr>
        <w:t>The above restrictions also apply to transacting in the securities of another company while in possession of Material, Non-Public Information related to such other company (which could include information related to ATC), when that information is obtained in the course of employment with, or other services performed on behalf of ATC.</w:t>
      </w:r>
    </w:p>
    <w:p>
      <w:pPr>
        <w:spacing w:after="0" w:line="197" w:lineRule="exact"/>
        <w:rPr>
          <w:sz w:val="20"/>
          <w:szCs w:val="20"/>
          <w:color w:val="auto"/>
        </w:rPr>
      </w:pPr>
    </w:p>
    <w:p>
      <w:pPr>
        <w:ind w:left="380" w:hanging="375"/>
        <w:spacing w:after="0"/>
        <w:tabs>
          <w:tab w:leader="none" w:pos="380" w:val="left"/>
        </w:tabs>
        <w:numPr>
          <w:ilvl w:val="0"/>
          <w:numId w:val="1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Specifics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Material Information</w:t>
      </w:r>
    </w:p>
    <w:p>
      <w:pPr>
        <w:spacing w:after="0" w:line="220"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1"/>
          <w:szCs w:val="21"/>
          <w:color w:val="auto"/>
        </w:rPr>
        <w:t>Material Information is any information that a reasonable investor would consider important in a decision to buy, hold, sell or gift stock or other securities – in short, any information that could reasonably be expected to affect the price of ATC stock or other securities.</w:t>
      </w:r>
    </w:p>
    <w:p>
      <w:pPr>
        <w:spacing w:after="0" w:line="186"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1"/>
          <w:szCs w:val="21"/>
          <w:color w:val="auto"/>
        </w:rPr>
        <w:t xml:space="preserve">While it is not possible to identify all information that would be deemed </w:t>
      </w:r>
      <w:r>
        <w:rPr>
          <w:rFonts w:ascii="Times New Roman" w:cs="Times New Roman" w:eastAsia="Times New Roman" w:hAnsi="Times New Roman"/>
          <w:sz w:val="21"/>
          <w:szCs w:val="21"/>
          <w:i w:val="1"/>
          <w:iCs w:val="1"/>
          <w:color w:val="auto"/>
        </w:rPr>
        <w:t>material</w:t>
      </w:r>
      <w:r>
        <w:rPr>
          <w:rFonts w:ascii="Times New Roman" w:cs="Times New Roman" w:eastAsia="Times New Roman" w:hAnsi="Times New Roman"/>
          <w:sz w:val="21"/>
          <w:szCs w:val="21"/>
          <w:color w:val="auto"/>
        </w:rPr>
        <w:t xml:space="preserve">, the following types of information ordinarily would be considered </w:t>
      </w:r>
      <w:r>
        <w:rPr>
          <w:rFonts w:ascii="Times New Roman" w:cs="Times New Roman" w:eastAsia="Times New Roman" w:hAnsi="Times New Roman"/>
          <w:sz w:val="21"/>
          <w:szCs w:val="21"/>
          <w:i w:val="1"/>
          <w:iCs w:val="1"/>
          <w:color w:val="auto"/>
        </w:rPr>
        <w:t>material</w:t>
      </w:r>
      <w:r>
        <w:rPr>
          <w:rFonts w:ascii="Times New Roman" w:cs="Times New Roman" w:eastAsia="Times New Roman" w:hAnsi="Times New Roman"/>
          <w:sz w:val="21"/>
          <w:szCs w:val="21"/>
          <w:color w:val="auto"/>
        </w:rPr>
        <w:t>:</w:t>
      </w:r>
    </w:p>
    <w:p>
      <w:pPr>
        <w:sectPr>
          <w:pgSz w:w="11900" w:h="16838" w:orient="portrait"/>
          <w:cols w:equalWidth="0" w:num="1">
            <w:col w:w="11220"/>
          </w:cols>
          <w:pgMar w:left="320" w:top="1373" w:right="359" w:bottom="1440" w:gutter="0" w:footer="0" w:header="0"/>
        </w:sectPr>
      </w:pPr>
    </w:p>
    <w:bookmarkStart w:id="182" w:name="page183"/>
    <w:bookmarkEnd w:id="182"/>
    <w:p>
      <w:pPr>
        <w:ind w:left="660" w:right="3140" w:hanging="321"/>
        <w:spacing w:after="0" w:line="254" w:lineRule="auto"/>
        <w:tabs>
          <w:tab w:leader="none" w:pos="649"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results, especially quarterly and year-end earnings, and significant changes in financial performance or liquidity.</w:t>
      </w:r>
    </w:p>
    <w:p>
      <w:pPr>
        <w:ind w:left="640" w:hanging="301"/>
        <w:spacing w:after="0"/>
        <w:tabs>
          <w:tab w:leader="none" w:pos="6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Earnings estimates or changes in previously announced earnings estimates.</w:t>
      </w:r>
    </w:p>
    <w:p>
      <w:pPr>
        <w:spacing w:after="0" w:line="31" w:lineRule="exact"/>
        <w:rPr>
          <w:rFonts w:ascii="Times New Roman" w:cs="Times New Roman" w:eastAsia="Times New Roman" w:hAnsi="Times New Roman"/>
          <w:sz w:val="19"/>
          <w:szCs w:val="19"/>
          <w:color w:val="auto"/>
        </w:rPr>
      </w:pPr>
    </w:p>
    <w:p>
      <w:pPr>
        <w:ind w:left="640" w:hanging="301"/>
        <w:spacing w:after="0"/>
        <w:tabs>
          <w:tab w:leader="none" w:pos="6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projections and strategic plans.</w:t>
      </w:r>
    </w:p>
    <w:p>
      <w:pPr>
        <w:spacing w:after="0" w:line="43" w:lineRule="exact"/>
        <w:rPr>
          <w:rFonts w:ascii="Times New Roman" w:cs="Times New Roman" w:eastAsia="Times New Roman" w:hAnsi="Times New Roman"/>
          <w:sz w:val="19"/>
          <w:szCs w:val="19"/>
          <w:color w:val="auto"/>
        </w:rPr>
      </w:pPr>
    </w:p>
    <w:p>
      <w:pPr>
        <w:ind w:left="660" w:right="2680" w:hanging="321"/>
        <w:spacing w:after="0" w:line="254" w:lineRule="auto"/>
        <w:tabs>
          <w:tab w:leader="none" w:pos="649"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 significant mergers and acquisitions or the sale of significant assets, including subsidiaries or affiliates.</w:t>
      </w:r>
    </w:p>
    <w:p>
      <w:pPr>
        <w:ind w:left="660" w:right="2680" w:hanging="321"/>
        <w:spacing w:after="0" w:line="253" w:lineRule="auto"/>
        <w:tabs>
          <w:tab w:leader="none" w:pos="649"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major contracts, leases, orders, suppliers, customers, joint ventures or finance sources, or the loss thereof.</w:t>
      </w:r>
    </w:p>
    <w:p>
      <w:pPr>
        <w:ind w:left="660" w:right="3020" w:hanging="321"/>
        <w:spacing w:after="0" w:line="253" w:lineRule="auto"/>
        <w:tabs>
          <w:tab w:leader="none" w:pos="649"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discoveries or significant changes or developments in products or product lines, research or technologies.</w:t>
      </w:r>
    </w:p>
    <w:p>
      <w:pPr>
        <w:ind w:left="640" w:hanging="301"/>
        <w:spacing w:after="0"/>
        <w:tabs>
          <w:tab w:leader="none" w:pos="6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expansion or curtailment of operations.</w:t>
      </w:r>
    </w:p>
    <w:p>
      <w:pPr>
        <w:spacing w:after="0" w:line="43" w:lineRule="exact"/>
        <w:rPr>
          <w:rFonts w:ascii="Times New Roman" w:cs="Times New Roman" w:eastAsia="Times New Roman" w:hAnsi="Times New Roman"/>
          <w:sz w:val="19"/>
          <w:szCs w:val="19"/>
          <w:color w:val="auto"/>
        </w:rPr>
      </w:pPr>
    </w:p>
    <w:p>
      <w:pPr>
        <w:ind w:left="640" w:hanging="301"/>
        <w:spacing w:after="0"/>
        <w:tabs>
          <w:tab w:leader="none" w:pos="6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pricing changes.</w:t>
      </w:r>
    </w:p>
    <w:p>
      <w:pPr>
        <w:spacing w:after="0" w:line="45" w:lineRule="exact"/>
        <w:rPr>
          <w:rFonts w:ascii="Times New Roman" w:cs="Times New Roman" w:eastAsia="Times New Roman" w:hAnsi="Times New Roman"/>
          <w:sz w:val="19"/>
          <w:szCs w:val="19"/>
          <w:color w:val="auto"/>
        </w:rPr>
      </w:pPr>
    </w:p>
    <w:p>
      <w:pPr>
        <w:ind w:left="640" w:hanging="301"/>
        <w:spacing w:after="0"/>
        <w:tabs>
          <w:tab w:leader="none" w:pos="6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splits or changes in Company dividend policies or amounts.</w:t>
      </w:r>
    </w:p>
    <w:p>
      <w:pPr>
        <w:spacing w:after="0" w:line="45" w:lineRule="exact"/>
        <w:rPr>
          <w:rFonts w:ascii="Times New Roman" w:cs="Times New Roman" w:eastAsia="Times New Roman" w:hAnsi="Times New Roman"/>
          <w:sz w:val="19"/>
          <w:szCs w:val="19"/>
          <w:color w:val="auto"/>
        </w:rPr>
      </w:pPr>
    </w:p>
    <w:p>
      <w:pPr>
        <w:ind w:left="640" w:hanging="301"/>
        <w:spacing w:after="0"/>
        <w:tabs>
          <w:tab w:leader="none" w:pos="6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 repurchase programs.</w:t>
      </w:r>
    </w:p>
    <w:p>
      <w:pPr>
        <w:spacing w:after="0" w:line="45" w:lineRule="exact"/>
        <w:rPr>
          <w:rFonts w:ascii="Times New Roman" w:cs="Times New Roman" w:eastAsia="Times New Roman" w:hAnsi="Times New Roman"/>
          <w:sz w:val="19"/>
          <w:szCs w:val="19"/>
          <w:color w:val="auto"/>
        </w:rPr>
      </w:pPr>
    </w:p>
    <w:p>
      <w:pPr>
        <w:ind w:left="640" w:hanging="301"/>
        <w:spacing w:after="0"/>
        <w:tabs>
          <w:tab w:leader="none" w:pos="6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Public or private equity offerings, or other offerings outside of the ordinary course.</w:t>
      </w:r>
    </w:p>
    <w:p>
      <w:pPr>
        <w:spacing w:after="0" w:line="45" w:lineRule="exact"/>
        <w:rPr>
          <w:rFonts w:ascii="Times New Roman" w:cs="Times New Roman" w:eastAsia="Times New Roman" w:hAnsi="Times New Roman"/>
          <w:sz w:val="19"/>
          <w:szCs w:val="19"/>
          <w:color w:val="auto"/>
        </w:rPr>
      </w:pPr>
    </w:p>
    <w:p>
      <w:pPr>
        <w:ind w:left="640" w:hanging="301"/>
        <w:spacing w:after="0"/>
        <w:tabs>
          <w:tab w:leader="none" w:pos="6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changes in senior management.</w:t>
      </w:r>
    </w:p>
    <w:p>
      <w:pPr>
        <w:spacing w:after="0" w:line="45" w:lineRule="exact"/>
        <w:rPr>
          <w:rFonts w:ascii="Times New Roman" w:cs="Times New Roman" w:eastAsia="Times New Roman" w:hAnsi="Times New Roman"/>
          <w:sz w:val="19"/>
          <w:szCs w:val="19"/>
          <w:color w:val="auto"/>
        </w:rPr>
      </w:pPr>
    </w:p>
    <w:p>
      <w:pPr>
        <w:ind w:left="640" w:hanging="301"/>
        <w:spacing w:after="0"/>
        <w:tabs>
          <w:tab w:leader="none" w:pos="6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cybersecurity risks and incidents.</w:t>
      </w:r>
    </w:p>
    <w:p>
      <w:pPr>
        <w:spacing w:after="0" w:line="44" w:lineRule="exact"/>
        <w:rPr>
          <w:rFonts w:ascii="Times New Roman" w:cs="Times New Roman" w:eastAsia="Times New Roman" w:hAnsi="Times New Roman"/>
          <w:sz w:val="19"/>
          <w:szCs w:val="19"/>
          <w:color w:val="auto"/>
        </w:rPr>
      </w:pPr>
    </w:p>
    <w:p>
      <w:pPr>
        <w:ind w:left="640" w:hanging="301"/>
        <w:spacing w:after="0"/>
        <w:tabs>
          <w:tab w:leader="none" w:pos="6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labor disputes or negotiations.</w:t>
      </w:r>
    </w:p>
    <w:p>
      <w:pPr>
        <w:spacing w:after="0" w:line="45" w:lineRule="exact"/>
        <w:rPr>
          <w:rFonts w:ascii="Times New Roman" w:cs="Times New Roman" w:eastAsia="Times New Roman" w:hAnsi="Times New Roman"/>
          <w:sz w:val="19"/>
          <w:szCs w:val="19"/>
          <w:color w:val="auto"/>
        </w:rPr>
      </w:pPr>
    </w:p>
    <w:p>
      <w:pPr>
        <w:ind w:left="640" w:hanging="301"/>
        <w:spacing w:after="0"/>
        <w:tabs>
          <w:tab w:leader="none" w:pos="64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threatened major litigation, or the resolution of such litigation.</w:t>
      </w:r>
    </w:p>
    <w:p>
      <w:pPr>
        <w:spacing w:after="0" w:line="35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1"/>
          <w:szCs w:val="21"/>
          <w:color w:val="auto"/>
        </w:rPr>
        <w:t xml:space="preserve">This list is not exhaustive and other types of information may be deemed to be </w:t>
      </w:r>
      <w:r>
        <w:rPr>
          <w:rFonts w:ascii="Times New Roman" w:cs="Times New Roman" w:eastAsia="Times New Roman" w:hAnsi="Times New Roman"/>
          <w:sz w:val="21"/>
          <w:szCs w:val="21"/>
          <w:i w:val="1"/>
          <w:iCs w:val="1"/>
          <w:color w:val="auto"/>
        </w:rPr>
        <w:t>material</w:t>
      </w:r>
      <w:r>
        <w:rPr>
          <w:rFonts w:ascii="Times New Roman" w:cs="Times New Roman" w:eastAsia="Times New Roman" w:hAnsi="Times New Roman"/>
          <w:sz w:val="21"/>
          <w:szCs w:val="21"/>
          <w:color w:val="auto"/>
        </w:rPr>
        <w:t xml:space="preserve"> at any particular time, depending upon the circumstances.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Non-Public Information</w:t>
      </w:r>
    </w:p>
    <w:p>
      <w:pPr>
        <w:spacing w:after="0" w:line="22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1"/>
          <w:szCs w:val="21"/>
          <w:color w:val="auto"/>
        </w:rPr>
        <w:t xml:space="preserve">Information is considered to be Non-Public until it has been publicly disseminated through a widespread public press release issued through a major newswire, national news or financial news service, an SEC filing or some other form of mass media and a reasonable amount of time has passed to permit the stock market to absorb the news. For the purposes of this policy, information will be considered public,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no longer </w:t>
      </w:r>
      <w:r>
        <w:rPr>
          <w:rFonts w:ascii="Times New Roman" w:cs="Times New Roman" w:eastAsia="Times New Roman" w:hAnsi="Times New Roman"/>
          <w:sz w:val="21"/>
          <w:szCs w:val="21"/>
          <w:i w:val="1"/>
          <w:iCs w:val="1"/>
          <w:color w:val="auto"/>
        </w:rPr>
        <w:t>Non-Public</w:t>
      </w:r>
      <w:r>
        <w:rPr>
          <w:rFonts w:ascii="Times New Roman" w:cs="Times New Roman" w:eastAsia="Times New Roman" w:hAnsi="Times New Roman"/>
          <w:sz w:val="21"/>
          <w:szCs w:val="21"/>
          <w:color w:val="auto"/>
        </w:rPr>
        <w:t xml:space="preserve">, after </w:t>
      </w:r>
      <w:r>
        <w:rPr>
          <w:rFonts w:ascii="Times New Roman" w:cs="Times New Roman" w:eastAsia="Times New Roman" w:hAnsi="Times New Roman"/>
          <w:sz w:val="21"/>
          <w:szCs w:val="21"/>
          <w:b w:val="1"/>
          <w:bCs w:val="1"/>
          <w:color w:val="auto"/>
        </w:rPr>
        <w:t>one full Trading Day following the Company’s widespread public release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of the information</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ind w:left="960" w:right="140"/>
        <w:spacing w:after="0" w:line="232" w:lineRule="auto"/>
        <w:rPr>
          <w:sz w:val="20"/>
          <w:szCs w:val="20"/>
          <w:color w:val="auto"/>
        </w:rPr>
      </w:pPr>
      <w:r>
        <w:rPr>
          <w:rFonts w:ascii="Times New Roman" w:cs="Times New Roman" w:eastAsia="Times New Roman" w:hAnsi="Times New Roman"/>
          <w:sz w:val="21"/>
          <w:szCs w:val="21"/>
          <w:color w:val="auto"/>
        </w:rPr>
        <w:t>Example: If the Company issues a press release at 10:00 a.m. on Monday, the information is not considered public until after the close of trading on Tuesday because the news must be available for one full Trading Day and Monday is not a full Trading Day because of the 10:00 a.m. release. If, however, the news were released before the market opens on Monday, then the news would be public after the close of trading on Monday because it will have been available for one full Trading Day.</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Tipping</w:t>
      </w:r>
    </w:p>
    <w:p>
      <w:pPr>
        <w:spacing w:after="0" w:line="220"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1"/>
          <w:szCs w:val="21"/>
          <w:color w:val="auto"/>
        </w:rPr>
        <w:t>Tipping is disclosing Material, Non-Public Information about the Company to outsiders, who may then use the information to trade in the Company’s securities. No Director, Executive Officer or other Company Person may share Material, Non-Public Information concerning American Tower with any other person, including but not limited to Immediate Family</w:t>
      </w:r>
    </w:p>
    <w:p>
      <w:pPr>
        <w:sectPr>
          <w:pgSz w:w="11900" w:h="16838" w:orient="portrait"/>
          <w:cols w:equalWidth="0" w:num="1">
            <w:col w:w="11240"/>
          </w:cols>
          <w:pgMar w:left="320" w:top="1421" w:right="339" w:bottom="1440" w:gutter="0" w:footer="0" w:header="0"/>
        </w:sectPr>
      </w:pPr>
    </w:p>
    <w:bookmarkStart w:id="183" w:name="page184"/>
    <w:bookmarkEnd w:id="183"/>
    <w:p>
      <w:pPr>
        <w:ind w:right="420"/>
        <w:spacing w:after="0" w:line="239" w:lineRule="auto"/>
        <w:rPr>
          <w:sz w:val="20"/>
          <w:szCs w:val="20"/>
          <w:color w:val="auto"/>
        </w:rPr>
      </w:pPr>
      <w:r>
        <w:rPr>
          <w:rFonts w:ascii="Times New Roman" w:cs="Times New Roman" w:eastAsia="Times New Roman" w:hAnsi="Times New Roman"/>
          <w:sz w:val="21"/>
          <w:szCs w:val="21"/>
          <w:color w:val="auto"/>
        </w:rPr>
        <w:t>Members, analysts, individual investors, and members of the investment community and news media. The civil and criminal penalties described in this policy apply whether or not the Company Person derives any financial benefit from another’s actions. Much of the litigation and enforcement actions in recent years have been filed against Insiders providing such information.</w:t>
      </w:r>
    </w:p>
    <w:p>
      <w:pPr>
        <w:spacing w:after="0" w:line="18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1"/>
          <w:szCs w:val="21"/>
          <w:color w:val="auto"/>
        </w:rPr>
        <w:t>This prohibition includes giving trading advice without actually disclosing the inside information, such as a general statement that, “I would sell now if I were you, but I can’t tell you why.” This policy prohibits Company Persons from giving trading advice concerning the Company to anyone, even when they do not possess Material, Non-Public Information about the Company.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Covered Individuals and Entities</w:t>
      </w:r>
    </w:p>
    <w:p>
      <w:pPr>
        <w:spacing w:after="0" w:line="220" w:lineRule="exact"/>
        <w:rPr>
          <w:sz w:val="20"/>
          <w:szCs w:val="20"/>
          <w:color w:val="auto"/>
        </w:rPr>
      </w:pPr>
    </w:p>
    <w:p>
      <w:pPr>
        <w:jc w:val="both"/>
        <w:ind w:right="500"/>
        <w:spacing w:after="0" w:line="239" w:lineRule="auto"/>
        <w:rPr>
          <w:sz w:val="20"/>
          <w:szCs w:val="20"/>
          <w:color w:val="auto"/>
        </w:rPr>
      </w:pPr>
      <w:r>
        <w:rPr>
          <w:rFonts w:ascii="Times New Roman" w:cs="Times New Roman" w:eastAsia="Times New Roman" w:hAnsi="Times New Roman"/>
          <w:sz w:val="21"/>
          <w:szCs w:val="21"/>
          <w:color w:val="auto"/>
        </w:rPr>
        <w:t>This policy applies to American Tower and all Directors and Company Persons of American Tower or any of its subsidiaries or affiliates. It also applies to Company Persons’ Immediate Family Members and all individuals living in the Company Person’s household to the same extent that it applies to Company Persons.</w:t>
      </w:r>
    </w:p>
    <w:p>
      <w:pPr>
        <w:spacing w:after="0" w:line="18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i w:val="1"/>
          <w:iCs w:val="1"/>
          <w:color w:val="auto"/>
        </w:rPr>
        <w:t>window period</w:t>
      </w:r>
      <w:r>
        <w:rPr>
          <w:rFonts w:ascii="Times New Roman" w:cs="Times New Roman" w:eastAsia="Times New Roman" w:hAnsi="Times New Roman"/>
          <w:sz w:val="21"/>
          <w:szCs w:val="21"/>
          <w:color w:val="auto"/>
        </w:rPr>
        <w:t xml:space="preserve"> compliance and pre-clearance procedure described under </w:t>
      </w:r>
      <w:r>
        <w:rPr>
          <w:rFonts w:ascii="Times New Roman" w:cs="Times New Roman" w:eastAsia="Times New Roman" w:hAnsi="Times New Roman"/>
          <w:sz w:val="21"/>
          <w:szCs w:val="21"/>
          <w:i w:val="1"/>
          <w:iCs w:val="1"/>
          <w:color w:val="auto"/>
        </w:rPr>
        <w:t>Additional Procedures for Insiders</w:t>
      </w:r>
      <w:r>
        <w:rPr>
          <w:rFonts w:ascii="Times New Roman" w:cs="Times New Roman" w:eastAsia="Times New Roman" w:hAnsi="Times New Roman"/>
          <w:sz w:val="21"/>
          <w:szCs w:val="21"/>
          <w:color w:val="auto"/>
        </w:rPr>
        <w:t xml:space="preserve"> applies to Company Persons if they are a Director of American Tower or any of its subsidiaries or affiliates, an Executive Officer or a Key Employee, collectively, “</w:t>
      </w:r>
      <w:r>
        <w:rPr>
          <w:rFonts w:ascii="Times New Roman" w:cs="Times New Roman" w:eastAsia="Times New Roman" w:hAnsi="Times New Roman"/>
          <w:sz w:val="21"/>
          <w:szCs w:val="21"/>
          <w:i w:val="1"/>
          <w:iCs w:val="1"/>
          <w:color w:val="auto"/>
        </w:rPr>
        <w:t>Insiders</w:t>
      </w:r>
      <w:r>
        <w:rPr>
          <w:rFonts w:ascii="Times New Roman" w:cs="Times New Roman" w:eastAsia="Times New Roman" w:hAnsi="Times New Roman"/>
          <w:sz w:val="21"/>
          <w:szCs w:val="21"/>
          <w:color w:val="auto"/>
        </w:rPr>
        <w:t>.” It also applies to all non-Employee Directors of American Tower or any of its subsidiaries or affiliates.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Unsolicited Information</w:t>
      </w: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Company Persons cannot lawfully buy, sell or gift or tip others to buy, sell or gift or give trading advice regarding the securities of another company based on Material, Non-Public Information that they are aware of through their employment by the Company or by their membership on ATC’s Board of Directors.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u w:val="single" w:color="auto"/>
          <w:color w:val="auto"/>
        </w:rPr>
        <w:t>Covered Transactions</w:t>
      </w:r>
    </w:p>
    <w:p>
      <w:pPr>
        <w:spacing w:after="0" w:line="220"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1"/>
          <w:szCs w:val="21"/>
          <w:color w:val="auto"/>
        </w:rPr>
        <w:t>This policy covers all transactions in all securities of American Tower, including common stock and options to purchase common stock, convertible notes and warrants, and any other type of securities that the Corporation may issue, such as preferred stock, debt securities, exchange traded options or other derivative securities. Even securities transactions that may appear to be necessary or justifiable for independent reasons, such as the need to raise money for an emergency, are covered by this policy.</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u w:val="single" w:color="auto"/>
          <w:color w:val="auto"/>
        </w:rPr>
        <w:t>Treatment of Employee Benefit Plans, Mutual Funds and DRIPs</w:t>
      </w:r>
    </w:p>
    <w:p>
      <w:pPr>
        <w:spacing w:after="0" w:line="2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5.7.1 </w:t>
      </w:r>
      <w:r>
        <w:rPr>
          <w:rFonts w:ascii="Times New Roman" w:cs="Times New Roman" w:eastAsia="Times New Roman" w:hAnsi="Times New Roman"/>
          <w:sz w:val="21"/>
          <w:szCs w:val="21"/>
          <w:i w:val="1"/>
          <w:iCs w:val="1"/>
          <w:color w:val="auto"/>
        </w:rPr>
        <w:t>Employee Benefit Plans</w:t>
      </w:r>
    </w:p>
    <w:p>
      <w:pPr>
        <w:spacing w:after="0" w:line="22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1"/>
          <w:szCs w:val="21"/>
          <w:color w:val="auto"/>
        </w:rPr>
        <w:t>The trading prohibitions and restrictions set forth in this policy do not apply to periodic contributions by the Company or Employees to Employee benefit plans, such as American Tower’s Retirement Savings Plan or the Employee Stock Purchase Plan (ESPP), which are used to purchase Company stock pursuant to the Employee’s advance instructions. However, no one covered by the policy may alter their instructions regarding the purchase or sale of Company securities in such plans while being aware of Material, Non-Public Information.</w:t>
      </w:r>
    </w:p>
    <w:p>
      <w:pPr>
        <w:sectPr>
          <w:pgSz w:w="11900" w:h="16838" w:orient="portrait"/>
          <w:cols w:equalWidth="0" w:num="1">
            <w:col w:w="11240"/>
          </w:cols>
          <w:pgMar w:left="320" w:top="1377" w:right="339" w:bottom="1440" w:gutter="0" w:footer="0" w:header="0"/>
        </w:sectPr>
      </w:pPr>
    </w:p>
    <w:bookmarkStart w:id="184" w:name="page185"/>
    <w:bookmarkEnd w:id="184"/>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5.7.2 </w:t>
      </w:r>
      <w:r>
        <w:rPr>
          <w:rFonts w:ascii="Times New Roman" w:cs="Times New Roman" w:eastAsia="Times New Roman" w:hAnsi="Times New Roman"/>
          <w:sz w:val="21"/>
          <w:szCs w:val="21"/>
          <w:i w:val="1"/>
          <w:iCs w:val="1"/>
          <w:color w:val="auto"/>
        </w:rPr>
        <w:t>Equity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This policy applies to the sale of American Tower stock that is received upon exercise of stock options and to so-called </w:t>
      </w:r>
      <w:r>
        <w:rPr>
          <w:rFonts w:ascii="Times New Roman" w:cs="Times New Roman" w:eastAsia="Times New Roman" w:hAnsi="Times New Roman"/>
          <w:sz w:val="21"/>
          <w:szCs w:val="21"/>
          <w:i w:val="1"/>
          <w:iCs w:val="1"/>
          <w:color w:val="auto"/>
        </w:rPr>
        <w:t>cashless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exercise </w:t>
      </w:r>
      <w:r>
        <w:rPr>
          <w:rFonts w:ascii="Times New Roman" w:cs="Times New Roman" w:eastAsia="Times New Roman" w:hAnsi="Times New Roman"/>
          <w:sz w:val="21"/>
          <w:szCs w:val="21"/>
          <w:color w:val="auto"/>
        </w:rPr>
        <w:t>of stock options. If a Company Person or Director exercises a stock option and holds the stock received, this policy does not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apply until the subsequent sale of the stock.</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5.7.3 </w:t>
      </w:r>
      <w:r>
        <w:rPr>
          <w:rFonts w:ascii="Times New Roman" w:cs="Times New Roman" w:eastAsia="Times New Roman" w:hAnsi="Times New Roman"/>
          <w:sz w:val="21"/>
          <w:szCs w:val="21"/>
          <w:i w:val="1"/>
          <w:iCs w:val="1"/>
          <w:color w:val="auto"/>
        </w:rPr>
        <w:t>Mutual Funds and Exchange-Traded Funds</w:t>
      </w:r>
    </w:p>
    <w:p>
      <w:pPr>
        <w:spacing w:after="0" w:line="23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This policy does not apply to any investment a Company Person holds in an open-end mutual fund or an exchange-traded fund, even though such funds may from time to time buy or sell American Tower stock, provided the Employee does not control the investment decisions of the fund manager.</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5.7.4 </w:t>
      </w:r>
      <w:r>
        <w:rPr>
          <w:rFonts w:ascii="Times New Roman" w:cs="Times New Roman" w:eastAsia="Times New Roman" w:hAnsi="Times New Roman"/>
          <w:sz w:val="21"/>
          <w:szCs w:val="21"/>
          <w:i w:val="1"/>
          <w:iCs w:val="1"/>
          <w:color w:val="auto"/>
        </w:rPr>
        <w:t>DRIPs</w:t>
      </w:r>
    </w:p>
    <w:p>
      <w:pPr>
        <w:spacing w:after="0" w:line="222"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21"/>
          <w:szCs w:val="21"/>
          <w:color w:val="auto"/>
        </w:rPr>
        <w:t>The trading prohibitions and restrictions set forth in this policy do not apply to purchases of American Tower stock under a DRIP offered by a broker resulting from your reinvestment of dividends paid on American Tower stock, provided that the election to participate or terminate participation in such plan, or to change the level of participation is made during a window period. This policy does apply to your sale of any American Tower stock purchased pursuant to such a plan.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5.8 </w:t>
      </w:r>
      <w:r>
        <w:rPr>
          <w:rFonts w:ascii="Times New Roman" w:cs="Times New Roman" w:eastAsia="Times New Roman" w:hAnsi="Times New Roman"/>
          <w:sz w:val="21"/>
          <w:szCs w:val="21"/>
          <w:u w:val="single" w:color="auto"/>
          <w:color w:val="auto"/>
        </w:rPr>
        <w:t>Additional Guidance</w:t>
      </w:r>
    </w:p>
    <w:p>
      <w:pPr>
        <w:spacing w:after="0" w:line="233" w:lineRule="exact"/>
        <w:rPr>
          <w:sz w:val="20"/>
          <w:szCs w:val="20"/>
          <w:color w:val="auto"/>
        </w:rPr>
      </w:pPr>
    </w:p>
    <w:p>
      <w:pPr>
        <w:jc w:val="both"/>
        <w:ind w:right="580"/>
        <w:spacing w:after="0" w:line="235" w:lineRule="auto"/>
        <w:rPr>
          <w:sz w:val="20"/>
          <w:szCs w:val="20"/>
          <w:color w:val="auto"/>
        </w:rPr>
      </w:pPr>
      <w:r>
        <w:rPr>
          <w:rFonts w:ascii="Times New Roman" w:cs="Times New Roman" w:eastAsia="Times New Roman" w:hAnsi="Times New Roman"/>
          <w:sz w:val="21"/>
          <w:szCs w:val="21"/>
          <w:color w:val="auto"/>
        </w:rPr>
        <w:t>The Company considers it improper for Company Persons and Directors to engage in short-term or speculative transactions in American Tower securities or in other transactions in American Tower securities that may lead to inadvertent violations of the insider trading laws. Accordingly, Company Persons and Directors of American Tower are subject to the following additional guidelines:</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i w:val="1"/>
          <w:iCs w:val="1"/>
          <w:color w:val="auto"/>
        </w:rPr>
        <w:t>5.8.1 Short Sales</w:t>
      </w:r>
    </w:p>
    <w:p>
      <w:pPr>
        <w:spacing w:after="0" w:line="248"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21"/>
          <w:szCs w:val="21"/>
          <w:color w:val="auto"/>
        </w:rPr>
        <w:t>Prohibited from engaging in short sales of American Tower securities (sales of securities that are not owned, i.e. borrowed securities).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i w:val="1"/>
          <w:iCs w:val="1"/>
          <w:color w:val="auto"/>
        </w:rPr>
        <w:t>5.8.2 Options, Other Derivative Securities and Hedging</w:t>
      </w:r>
    </w:p>
    <w:p>
      <w:pPr>
        <w:spacing w:after="0" w:line="24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1"/>
          <w:szCs w:val="21"/>
          <w:color w:val="auto"/>
        </w:rPr>
        <w:t>Prohibited from (i) engaging in transactions involving options on American Tower securities, such as puts, calls and other derivative securities, whether on an exchange or in any other market, and (ii) hedging transactions, such as collars and forward sale contracts (prohibition does not apply receiving and exercising options granted by the Company).</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i w:val="1"/>
          <w:iCs w:val="1"/>
          <w:color w:val="auto"/>
        </w:rPr>
        <w:t>5.8.3 Margin Accounts and Pledges</w:t>
      </w:r>
    </w:p>
    <w:p>
      <w:pPr>
        <w:spacing w:after="0" w:line="248"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21"/>
          <w:szCs w:val="21"/>
          <w:color w:val="auto"/>
        </w:rPr>
        <w:t>Securities held in a margin account or pledged as collateral for a loan may be sold without consent (e.g. by the broker if loanee fails to meet a margin call, or by the lender in foreclosure if</w:t>
      </w:r>
    </w:p>
    <w:p>
      <w:pPr>
        <w:sectPr>
          <w:pgSz w:w="11900" w:h="16838" w:orient="portrait"/>
          <w:cols w:equalWidth="0" w:num="1">
            <w:col w:w="11220"/>
          </w:cols>
          <w:pgMar w:left="320" w:top="1440" w:right="359" w:bottom="1440" w:gutter="0" w:footer="0" w:header="0"/>
        </w:sectPr>
      </w:pPr>
    </w:p>
    <w:bookmarkStart w:id="185" w:name="page186"/>
    <w:bookmarkEnd w:id="185"/>
    <w:p>
      <w:pPr>
        <w:ind w:right="220"/>
        <w:spacing w:after="0" w:line="260" w:lineRule="auto"/>
        <w:rPr>
          <w:sz w:val="20"/>
          <w:szCs w:val="20"/>
          <w:color w:val="auto"/>
        </w:rPr>
      </w:pPr>
      <w:r>
        <w:rPr>
          <w:rFonts w:ascii="Times New Roman" w:cs="Times New Roman" w:eastAsia="Times New Roman" w:hAnsi="Times New Roman"/>
          <w:sz w:val="21"/>
          <w:szCs w:val="21"/>
          <w:color w:val="auto"/>
        </w:rPr>
        <w:t>loanee defaults on the loan). A margin or foreclosure sale that occurs when knowledge of MNPI may, under some circumstances, result in unlawful insider trading. For example, if a Company Person or Director is unable to meet a margin call, a broker may sell shares at a time when a Company Person or Director knows that American Tower is engaged in material but undisclosed merger negotiations. Because of this, Directors and Company Persons are prohibited from holding American Tower securities in a margin account or pledging American Tower securities as collateral for a loan.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5.9 </w:t>
      </w:r>
      <w:r>
        <w:rPr>
          <w:rFonts w:ascii="Times New Roman" w:cs="Times New Roman" w:eastAsia="Times New Roman" w:hAnsi="Times New Roman"/>
          <w:sz w:val="21"/>
          <w:szCs w:val="21"/>
          <w:u w:val="single" w:color="auto"/>
          <w:color w:val="auto"/>
        </w:rPr>
        <w:t>Trading During Pension Fund Blackout Periods</w:t>
      </w:r>
    </w:p>
    <w:p>
      <w:pPr>
        <w:spacing w:after="0" w:line="22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1"/>
          <w:szCs w:val="21"/>
          <w:color w:val="auto"/>
        </w:rPr>
        <w:t>No Director or Executive Officer of American Tower or its subsidiary companies may purchase, sell or otherwise acquire or transfer any equity security of the Company during a Pension Fund Blackout Period if such person acquired such equity security in connection with his or her service or employment as a Director or Executive Officer of the Company.</w:t>
      </w:r>
    </w:p>
    <w:p>
      <w:pPr>
        <w:spacing w:after="0" w:line="188"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1"/>
          <w:szCs w:val="21"/>
          <w:color w:val="auto"/>
        </w:rPr>
        <w:t>Pension Fund Blackout Periods will be publicized throughout the Company by e-mail, through the portal, or by other means. You may also inquire with the Stock Plan Administrator at the Corporate Human Resources Department at 617-375-7500.</w:t>
      </w:r>
    </w:p>
    <w:p>
      <w:pPr>
        <w:spacing w:after="0" w:line="18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1"/>
          <w:szCs w:val="21"/>
          <w:color w:val="auto"/>
        </w:rPr>
        <w:t>Questions regarding whether any of the restrictions to the definition of a Pension Fund Blackout Period apply to you should be directed to the Stock Plan Administrator at 617-375-7500.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Requirements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Reporting Violations</w:t>
      </w:r>
    </w:p>
    <w:p>
      <w:pPr>
        <w:spacing w:after="0" w:line="22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Anyone who violates this policy or any federal or state laws governing insider trading or Tipping, or knows of any such violation by any other Director, Executive Officer or other Company Person, or their Immediate Family Members, must report the violation immediately to the Corporate Legal Department at 617-375-7500. When the Corporate General Counsel learns of any such violation, he or she will be in consultation with outside legal counsel and will determine whether ATC should release any Material, Non-Public Information, or whether ATC should report the violation to the SEC or other appropriate governmental authority or take other action, including dismissal from employment.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Anti-Insider Reporting, Pre-clearance and Certification Procedures</w:t>
      </w:r>
    </w:p>
    <w:p>
      <w:pPr>
        <w:spacing w:after="0" w:line="2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1"/>
          <w:szCs w:val="21"/>
          <w:color w:val="auto"/>
        </w:rPr>
        <w:t>All Company Persons will be required to certify their understanding of and intent to comply with this policy and may be required to re-certify compliance on an annual basis.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Additional Procedures for Insiders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Key Employees determined by the Corporate Legal Department are deemed to be Insiders and may trade in the securities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American Tower:</w:t>
      </w:r>
    </w:p>
    <w:p>
      <w:pPr>
        <w:spacing w:after="0" w:line="11" w:lineRule="exact"/>
        <w:rPr>
          <w:sz w:val="20"/>
          <w:szCs w:val="20"/>
          <w:color w:val="auto"/>
        </w:rPr>
      </w:pPr>
    </w:p>
    <w:p>
      <w:pPr>
        <w:ind w:left="640" w:hanging="301"/>
        <w:spacing w:after="0"/>
        <w:tabs>
          <w:tab w:leader="none" w:pos="64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during a window period; or</w:t>
      </w:r>
    </w:p>
    <w:p>
      <w:pPr>
        <w:spacing w:after="0" w:line="35" w:lineRule="exact"/>
        <w:rPr>
          <w:rFonts w:ascii="Times New Roman" w:cs="Times New Roman" w:eastAsia="Times New Roman" w:hAnsi="Times New Roman"/>
          <w:sz w:val="21"/>
          <w:szCs w:val="21"/>
          <w:color w:val="auto"/>
        </w:rPr>
      </w:pPr>
    </w:p>
    <w:p>
      <w:pPr>
        <w:ind w:left="660" w:right="1300" w:hanging="321"/>
        <w:spacing w:after="0" w:line="256" w:lineRule="auto"/>
        <w:tabs>
          <w:tab w:leader="none" w:pos="655"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According to a prearranged Trading Plan Rule 10b5-1 that was established by the Insider and submitted to the Company for approval during a window period.</w:t>
      </w:r>
    </w:p>
    <w:p>
      <w:pPr>
        <w:sectPr>
          <w:pgSz w:w="11900" w:h="16838" w:orient="portrait"/>
          <w:cols w:equalWidth="0" w:num="1">
            <w:col w:w="11220"/>
          </w:cols>
          <w:pgMar w:left="320" w:top="1390" w:right="3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1"/>
          <w:szCs w:val="21"/>
          <w:color w:val="auto"/>
        </w:rPr>
        <w:t>Directors and Executive Officers are deemed to be Insiders and may trade in the securities of American Tower:</w:t>
      </w:r>
    </w:p>
    <w:p>
      <w:pPr>
        <w:spacing w:after="0" w:line="35" w:lineRule="exact"/>
        <w:rPr>
          <w:sz w:val="20"/>
          <w:szCs w:val="20"/>
          <w:color w:val="auto"/>
        </w:rPr>
      </w:pPr>
    </w:p>
    <w:p>
      <w:pPr>
        <w:ind w:left="640" w:hanging="301"/>
        <w:spacing w:after="0"/>
        <w:tabs>
          <w:tab w:leader="none" w:pos="64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during a window period; and</w:t>
      </w:r>
    </w:p>
    <w:p>
      <w:pPr>
        <w:spacing w:after="0" w:line="35" w:lineRule="exact"/>
        <w:rPr>
          <w:rFonts w:ascii="Times New Roman" w:cs="Times New Roman" w:eastAsia="Times New Roman" w:hAnsi="Times New Roman"/>
          <w:sz w:val="21"/>
          <w:szCs w:val="21"/>
          <w:color w:val="auto"/>
        </w:rPr>
      </w:pPr>
    </w:p>
    <w:p>
      <w:pPr>
        <w:ind w:left="640" w:hanging="301"/>
        <w:spacing w:after="0"/>
        <w:tabs>
          <w:tab w:leader="none" w:pos="64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after pre-clearing such trade with the Corporate Legal Department; or</w:t>
      </w:r>
    </w:p>
    <w:p>
      <w:pPr>
        <w:spacing w:after="0" w:line="35" w:lineRule="exact"/>
        <w:rPr>
          <w:rFonts w:ascii="Times New Roman" w:cs="Times New Roman" w:eastAsia="Times New Roman" w:hAnsi="Times New Roman"/>
          <w:sz w:val="21"/>
          <w:szCs w:val="21"/>
          <w:color w:val="auto"/>
        </w:rPr>
      </w:pPr>
    </w:p>
    <w:p>
      <w:pPr>
        <w:ind w:left="660" w:right="1040" w:hanging="321"/>
        <w:spacing w:after="0" w:line="256" w:lineRule="auto"/>
        <w:tabs>
          <w:tab w:leader="none" w:pos="65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According to a prearranged Trading Plan Rule 10b5-1 that was established by the Insider and submitted to the Company for approval during a window period.</w:t>
      </w:r>
    </w:p>
    <w:p>
      <w:pPr>
        <w:spacing w:after="0" w:line="288"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Window Periods</w:t>
      </w:r>
    </w:p>
    <w:p>
      <w:pPr>
        <w:spacing w:after="0" w:line="217"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6.4.1 Each </w:t>
      </w:r>
      <w:r>
        <w:rPr>
          <w:rFonts w:ascii="Times New Roman" w:cs="Times New Roman" w:eastAsia="Times New Roman" w:hAnsi="Times New Roman"/>
          <w:sz w:val="21"/>
          <w:szCs w:val="21"/>
          <w:i w:val="1"/>
          <w:iCs w:val="1"/>
          <w:color w:val="auto"/>
        </w:rPr>
        <w:t>window period</w:t>
      </w:r>
      <w:r>
        <w:rPr>
          <w:rFonts w:ascii="Times New Roman" w:cs="Times New Roman" w:eastAsia="Times New Roman" w:hAnsi="Times New Roman"/>
          <w:sz w:val="21"/>
          <w:szCs w:val="21"/>
          <w:color w:val="auto"/>
        </w:rPr>
        <w:t>:</w:t>
      </w:r>
    </w:p>
    <w:p>
      <w:pPr>
        <w:spacing w:after="0" w:line="274" w:lineRule="exact"/>
        <w:rPr>
          <w:rFonts w:ascii="Times New Roman" w:cs="Times New Roman" w:eastAsia="Times New Roman" w:hAnsi="Times New Roman"/>
          <w:sz w:val="21"/>
          <w:szCs w:val="21"/>
          <w:color w:val="auto"/>
        </w:rPr>
      </w:pPr>
    </w:p>
    <w:p>
      <w:pPr>
        <w:ind w:left="660" w:right="560" w:hanging="321"/>
        <w:spacing w:after="0" w:line="248" w:lineRule="auto"/>
        <w:tabs>
          <w:tab w:leader="none" w:pos="65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Commences after ATC’s press release disclosing quarterly or annual financial results, or other Material Information concerning American Tower has been publicly available for one full Trading Day; and</w:t>
      </w:r>
    </w:p>
    <w:p>
      <w:pPr>
        <w:ind w:left="660" w:right="440" w:hanging="321"/>
        <w:spacing w:after="0" w:line="217" w:lineRule="auto"/>
        <w:tabs>
          <w:tab w:leader="none" w:pos="65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Expires on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(or if not a business day, the first business day following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last month in the quarter during which the financial results were released, assuming no interim disclosure of Material Information.</w:t>
      </w:r>
    </w:p>
    <w:p>
      <w:pPr>
        <w:spacing w:after="0" w:line="3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1"/>
          <w:szCs w:val="21"/>
          <w:color w:val="auto"/>
        </w:rPr>
        <w:t>This means that if Company Persons are Insiders, they can trade at the opening of the market on the second Trading Day after an announcement is made during or after trading hours.</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6.4.2 Possible Exceptions to window periods:</w:t>
      </w:r>
    </w:p>
    <w:p>
      <w:pPr>
        <w:spacing w:after="0" w:line="272" w:lineRule="exact"/>
        <w:rPr>
          <w:sz w:val="20"/>
          <w:szCs w:val="20"/>
          <w:color w:val="auto"/>
        </w:rPr>
      </w:pPr>
    </w:p>
    <w:p>
      <w:pPr>
        <w:ind w:left="660" w:right="580" w:hanging="321"/>
        <w:spacing w:after="0" w:line="248" w:lineRule="auto"/>
        <w:tabs>
          <w:tab w:leader="none" w:pos="65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American Tower discloses Material Information during a window period, a trading blackout takes effect preventing trading by Insiders for one full Trading Day following the announcement.</w:t>
      </w:r>
    </w:p>
    <w:p>
      <w:pPr>
        <w:spacing w:after="0" w:line="1" w:lineRule="exact"/>
        <w:rPr>
          <w:rFonts w:ascii="Times New Roman" w:cs="Times New Roman" w:eastAsia="Times New Roman" w:hAnsi="Times New Roman"/>
          <w:sz w:val="21"/>
          <w:szCs w:val="21"/>
          <w:color w:val="auto"/>
        </w:rPr>
      </w:pPr>
    </w:p>
    <w:p>
      <w:pPr>
        <w:ind w:left="660" w:right="660" w:hanging="321"/>
        <w:spacing w:after="0" w:line="248" w:lineRule="auto"/>
        <w:tabs>
          <w:tab w:leader="none" w:pos="65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Senior management determines that a window period is unavailable or must be delayed if a material transaction or other event is pending but has not been publicly announced.</w:t>
      </w:r>
    </w:p>
    <w:p>
      <w:pPr>
        <w:spacing w:after="0" w:line="1" w:lineRule="exact"/>
        <w:rPr>
          <w:rFonts w:ascii="Times New Roman" w:cs="Times New Roman" w:eastAsia="Times New Roman" w:hAnsi="Times New Roman"/>
          <w:sz w:val="21"/>
          <w:szCs w:val="21"/>
          <w:color w:val="auto"/>
        </w:rPr>
      </w:pPr>
    </w:p>
    <w:p>
      <w:pPr>
        <w:ind w:left="660" w:right="460" w:hanging="321"/>
        <w:spacing w:after="0" w:line="248" w:lineRule="auto"/>
        <w:tabs>
          <w:tab w:leader="none" w:pos="65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Insiders aware of Material or Non-Public Information concerning the Company may not trade in Company securities even during applicable trading windows.</w:t>
      </w:r>
    </w:p>
    <w:p>
      <w:pPr>
        <w:spacing w:after="0" w:line="1" w:lineRule="exact"/>
        <w:rPr>
          <w:rFonts w:ascii="Times New Roman" w:cs="Times New Roman" w:eastAsia="Times New Roman" w:hAnsi="Times New Roman"/>
          <w:sz w:val="21"/>
          <w:szCs w:val="21"/>
          <w:color w:val="auto"/>
        </w:rPr>
      </w:pPr>
    </w:p>
    <w:p>
      <w:pPr>
        <w:ind w:left="660" w:right="520" w:hanging="321"/>
        <w:spacing w:after="0" w:line="235" w:lineRule="auto"/>
        <w:tabs>
          <w:tab w:leader="none" w:pos="65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blackout period or the window period is delayed or unavailable, the Company’s Corporate General Counsel may issue an advisory announcement to all affected parties or Company Persons or they may be notified when they seek pre-clearance for the transaction. Whether or not such advisory has been made, if Company Persons actually possess Material, Non-Public Information concerning the Company, they may not trade.</w:t>
      </w:r>
    </w:p>
    <w:p>
      <w:pPr>
        <w:spacing w:after="0" w:line="30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No Insider may, under any circumstances, disclose to any third party that a special blackout period has been designated or that the window period has been delayed or is unavailable. This includes communications to personal brokers. For this reason:</w:t>
      </w:r>
    </w:p>
    <w:p>
      <w:pPr>
        <w:spacing w:after="0" w:line="2" w:lineRule="exact"/>
        <w:rPr>
          <w:sz w:val="20"/>
          <w:szCs w:val="20"/>
          <w:color w:val="auto"/>
        </w:rPr>
      </w:pPr>
    </w:p>
    <w:p>
      <w:pPr>
        <w:ind w:left="640" w:hanging="301"/>
        <w:spacing w:after="0"/>
        <w:tabs>
          <w:tab w:leader="none" w:pos="64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Insider must call personally to request all pre-clearance approvals.</w:t>
      </w:r>
    </w:p>
    <w:p>
      <w:pPr>
        <w:spacing w:after="0" w:line="35" w:lineRule="exact"/>
        <w:rPr>
          <w:rFonts w:ascii="Times New Roman" w:cs="Times New Roman" w:eastAsia="Times New Roman" w:hAnsi="Times New Roman"/>
          <w:sz w:val="21"/>
          <w:szCs w:val="21"/>
          <w:color w:val="auto"/>
        </w:rPr>
      </w:pPr>
    </w:p>
    <w:p>
      <w:pPr>
        <w:ind w:left="640" w:hanging="301"/>
        <w:spacing w:after="0"/>
        <w:tabs>
          <w:tab w:leader="none" w:pos="64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Insiders may not contact their brokers until after they receive pre-clearance.</w:t>
      </w:r>
    </w:p>
    <w:p>
      <w:pPr>
        <w:sectPr>
          <w:pgSz w:w="11900" w:h="16838" w:orient="portrait"/>
          <w:cols w:equalWidth="0" w:num="1">
            <w:col w:w="10960"/>
          </w:cols>
          <w:pgMar w:left="320" w:top="1377" w:right="619" w:bottom="1440" w:gutter="0" w:footer="0" w:header="0"/>
        </w:sectPr>
      </w:pPr>
    </w:p>
    <w:bookmarkStart w:id="187" w:name="page188"/>
    <w:bookmarkEnd w:id="187"/>
    <w:p>
      <w:pPr>
        <w:ind w:left="640"/>
        <w:spacing w:after="0"/>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u w:val="single" w:color="auto"/>
          <w:color w:val="auto"/>
        </w:rPr>
        <w:t>Pre-Clearance of Transactions</w:t>
      </w:r>
    </w:p>
    <w:p>
      <w:pPr>
        <w:spacing w:after="0" w:line="220" w:lineRule="exact"/>
        <w:rPr>
          <w:sz w:val="20"/>
          <w:szCs w:val="20"/>
          <w:color w:val="auto"/>
        </w:rPr>
      </w:pPr>
    </w:p>
    <w:p>
      <w:pPr>
        <w:jc w:val="both"/>
        <w:ind w:right="500"/>
        <w:spacing w:after="0" w:line="239" w:lineRule="auto"/>
        <w:rPr>
          <w:sz w:val="20"/>
          <w:szCs w:val="20"/>
          <w:color w:val="auto"/>
        </w:rPr>
      </w:pPr>
      <w:r>
        <w:rPr>
          <w:rFonts w:ascii="Times New Roman" w:cs="Times New Roman" w:eastAsia="Times New Roman" w:hAnsi="Times New Roman"/>
          <w:sz w:val="21"/>
          <w:szCs w:val="21"/>
          <w:color w:val="auto"/>
        </w:rPr>
        <w:t>An Insider who is a Director or Executive Officer must obtain pre-clearance from the Corporate Legal Department for all stock trades. Subject to the conditions in this policy being applicable, an Insider who is a Key Employee does not need to obtain pre-clearance for stock trades during a window period.</w:t>
      </w:r>
    </w:p>
    <w:p>
      <w:pPr>
        <w:spacing w:after="0" w:line="18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1"/>
          <w:szCs w:val="21"/>
          <w:color w:val="auto"/>
        </w:rPr>
        <w:t>The American Tower Corporation 2000 Employee Stock Purchase Plan (ESPP) has been designed so that enrollment decisions and purchases of stock fall within window periods, so no pre-clearance is required for enrollment or withdrawal. Once American Tower stock has been issued to an individual, pursuant to the ESPP, such stock is treated like any other American Tower stock owned by the individual, which means for all Insiders, that the stock received through the ESPP must be traded during a window period and, for Insiders who are Directors or Executive Officers, the trade must also be pre-cleared. Early withdrawal of funds set aside in an ESPP account is not prohibited by this policy, as the amount of funds held in the account does not depend upon the price of ATC stock.</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1"/>
          <w:szCs w:val="21"/>
          <w:color w:val="auto"/>
        </w:rPr>
        <w:t>Option exercises by Insiders who are Directors or Executive Officers require pre-clearance and must be during the window period if they involve a simultaneous sale of the stock, whether then owned or to be received upon exercise, or involve a cashless exercise.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Corporate Legal Department will not accept calls from brokers regarding pre-clearance of trades for Insiders.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Rule 10b5-1 Trading Plans</w:t>
      </w:r>
    </w:p>
    <w:p>
      <w:pPr>
        <w:spacing w:after="0" w:line="231"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1"/>
          <w:szCs w:val="21"/>
          <w:color w:val="auto"/>
        </w:rPr>
        <w:t xml:space="preserve">Purchases or sales made pursuant to a binding contract, written plan or specific instruction, called a </w:t>
      </w:r>
      <w:r>
        <w:rPr>
          <w:rFonts w:ascii="Times New Roman" w:cs="Times New Roman" w:eastAsia="Times New Roman" w:hAnsi="Times New Roman"/>
          <w:sz w:val="21"/>
          <w:szCs w:val="21"/>
          <w:i w:val="1"/>
          <w:iCs w:val="1"/>
          <w:color w:val="auto"/>
        </w:rPr>
        <w:t>Trading Plan</w:t>
      </w:r>
      <w:r>
        <w:rPr>
          <w:rFonts w:ascii="Times New Roman" w:cs="Times New Roman" w:eastAsia="Times New Roman" w:hAnsi="Times New Roman"/>
          <w:sz w:val="21"/>
          <w:szCs w:val="21"/>
          <w:color w:val="auto"/>
        </w:rPr>
        <w:t>, which is adopted and operated in compliance with Rule10b5-1 are exempt from this policy, if such a Trading Plan (the following, collectively, the “Rule 10b5-1 Trading Plans Requirements”):</w:t>
      </w:r>
    </w:p>
    <w:p>
      <w:pPr>
        <w:spacing w:after="0" w:line="2" w:lineRule="exact"/>
        <w:rPr>
          <w:sz w:val="20"/>
          <w:szCs w:val="20"/>
          <w:color w:val="auto"/>
        </w:rPr>
      </w:pPr>
    </w:p>
    <w:p>
      <w:pPr>
        <w:ind w:left="640" w:hanging="301"/>
        <w:spacing w:after="0"/>
        <w:tabs>
          <w:tab w:leader="none" w:pos="64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in writing;</w:t>
      </w:r>
    </w:p>
    <w:p>
      <w:pPr>
        <w:spacing w:after="0" w:line="35" w:lineRule="exact"/>
        <w:rPr>
          <w:rFonts w:ascii="Times New Roman" w:cs="Times New Roman" w:eastAsia="Times New Roman" w:hAnsi="Times New Roman"/>
          <w:sz w:val="21"/>
          <w:szCs w:val="21"/>
          <w:color w:val="auto"/>
        </w:rPr>
      </w:pPr>
    </w:p>
    <w:p>
      <w:pPr>
        <w:ind w:left="640" w:hanging="301"/>
        <w:spacing w:after="0"/>
        <w:tabs>
          <w:tab w:leader="none" w:pos="64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was submitted to the Company for review and approval by the Company prior to its adoption;</w:t>
      </w:r>
    </w:p>
    <w:p>
      <w:pPr>
        <w:spacing w:after="0" w:line="35" w:lineRule="exact"/>
        <w:rPr>
          <w:rFonts w:ascii="Times New Roman" w:cs="Times New Roman" w:eastAsia="Times New Roman" w:hAnsi="Times New Roman"/>
          <w:sz w:val="21"/>
          <w:szCs w:val="21"/>
          <w:color w:val="auto"/>
        </w:rPr>
      </w:pPr>
    </w:p>
    <w:p>
      <w:pPr>
        <w:ind w:left="640" w:hanging="301"/>
        <w:spacing w:after="0"/>
        <w:tabs>
          <w:tab w:leader="none" w:pos="64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was not adopted during a blackout period;</w:t>
      </w:r>
    </w:p>
    <w:p>
      <w:pPr>
        <w:spacing w:after="0" w:line="35" w:lineRule="exact"/>
        <w:rPr>
          <w:rFonts w:ascii="Times New Roman" w:cs="Times New Roman" w:eastAsia="Times New Roman" w:hAnsi="Times New Roman"/>
          <w:sz w:val="21"/>
          <w:szCs w:val="21"/>
          <w:color w:val="auto"/>
        </w:rPr>
      </w:pPr>
    </w:p>
    <w:p>
      <w:pPr>
        <w:ind w:left="640" w:hanging="301"/>
        <w:spacing w:after="0"/>
        <w:tabs>
          <w:tab w:leader="none" w:pos="64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provides for trades to occur more than once per quarter and is not otherwise a “single-trade plan”;</w:t>
      </w:r>
    </w:p>
    <w:p>
      <w:pPr>
        <w:spacing w:after="0" w:line="35" w:lineRule="exact"/>
        <w:rPr>
          <w:rFonts w:ascii="Times New Roman" w:cs="Times New Roman" w:eastAsia="Times New Roman" w:hAnsi="Times New Roman"/>
          <w:sz w:val="21"/>
          <w:szCs w:val="21"/>
          <w:color w:val="auto"/>
        </w:rPr>
      </w:pPr>
    </w:p>
    <w:p>
      <w:pPr>
        <w:ind w:left="640" w:hanging="301"/>
        <w:spacing w:after="0"/>
        <w:tabs>
          <w:tab w:leader="none" w:pos="64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provides that the first trade date under such plan shall be:</w:t>
      </w:r>
    </w:p>
    <w:p>
      <w:pPr>
        <w:sectPr>
          <w:pgSz w:w="11900" w:h="16838" w:orient="portrait"/>
          <w:cols w:equalWidth="0" w:num="1">
            <w:col w:w="11240"/>
          </w:cols>
          <w:pgMar w:left="320" w:top="1377" w:right="339" w:bottom="1440" w:gutter="0" w:footer="0" w:header="0"/>
        </w:sectPr>
      </w:pPr>
    </w:p>
    <w:bookmarkStart w:id="188" w:name="page189"/>
    <w:bookmarkEnd w:id="188"/>
    <w:p>
      <w:pPr>
        <w:ind w:left="1200" w:right="1860" w:hanging="229"/>
        <w:spacing w:after="0" w:line="235" w:lineRule="auto"/>
        <w:tabs>
          <w:tab w:leader="none" w:pos="119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Directors and Executive Officers, the later of (1) 90 days following adoption or modification of such Trading Plan or (2) two business days following disclosure of the Company’s financial results in a Form 10-Q or 10-K for the fiscal quarter in which the Trading Plan was adopted or modified (but not to exceed 120 days following Trading Plan adoption or modification); or</w:t>
      </w:r>
    </w:p>
    <w:p>
      <w:pPr>
        <w:spacing w:after="0" w:line="2" w:lineRule="exact"/>
        <w:rPr>
          <w:rFonts w:ascii="Times New Roman" w:cs="Times New Roman" w:eastAsia="Times New Roman" w:hAnsi="Times New Roman"/>
          <w:sz w:val="21"/>
          <w:szCs w:val="21"/>
          <w:color w:val="auto"/>
        </w:rPr>
      </w:pPr>
    </w:p>
    <w:p>
      <w:pPr>
        <w:ind w:left="1280" w:right="2160" w:hanging="309"/>
        <w:spacing w:after="0" w:line="248" w:lineRule="auto"/>
        <w:tabs>
          <w:tab w:leader="none" w:pos="127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all other Company Persons, 30 days following adoption or modification of such Trading Plan; and</w:t>
      </w:r>
    </w:p>
    <w:p>
      <w:pPr>
        <w:spacing w:after="0" w:line="1" w:lineRule="exact"/>
        <w:rPr>
          <w:rFonts w:ascii="Times New Roman" w:cs="Times New Roman" w:eastAsia="Times New Roman" w:hAnsi="Times New Roman"/>
          <w:sz w:val="21"/>
          <w:szCs w:val="21"/>
          <w:color w:val="auto"/>
        </w:rPr>
      </w:pPr>
    </w:p>
    <w:p>
      <w:pPr>
        <w:ind w:left="1280" w:right="1760" w:hanging="309"/>
        <w:spacing w:after="0" w:line="232" w:lineRule="auto"/>
        <w:tabs>
          <w:tab w:leader="none" w:pos="127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Directors and Executive Officers, includes a representation certifying, at the time of adoption or modification of such Trading Plan, that: (1) such Director or Executive Officer is not aware of material nonpublic information about the Company or its securities; and (2) such Director or Executive Officer is adopting the Trading Plan in good faith and not as part of a plan or scheme to evade the prohibitions of Rule 10b-5.</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Participants in a Trading Plan are not permitted to enter into multiple, overlapping Trading Plans.</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Once a plan has been entered into, it should not be amended or terminated unless (i) the participant would otherwise be permitted to enter into a new plan under both the federal securities laws and this policy and (ii) such amendment or termination complies with the Rule 10b5-1 Trading Plans Requirements.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u w:val="single" w:color="auto"/>
          <w:color w:val="auto"/>
        </w:rPr>
        <w:t>Waivers</w:t>
      </w:r>
    </w:p>
    <w:p>
      <w:pPr>
        <w:spacing w:after="0" w:line="22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An Insider subject to the window period may, in extraordinary circumstances, apply to the Board of Directors for permission to enter into a transaction outside of the window period. The Board may grant waivers solely at its discretion and after consultation with the Corporate General Counsel.</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Section 16 Compliance</w:t>
      </w:r>
    </w:p>
    <w:p>
      <w:pPr>
        <w:spacing w:after="0" w:line="220" w:lineRule="exact"/>
        <w:rPr>
          <w:sz w:val="20"/>
          <w:szCs w:val="20"/>
          <w:color w:val="auto"/>
        </w:rPr>
      </w:pPr>
    </w:p>
    <w:p>
      <w:pPr>
        <w:jc w:val="both"/>
        <w:ind w:right="360"/>
        <w:spacing w:after="0" w:line="239" w:lineRule="auto"/>
        <w:rPr>
          <w:sz w:val="20"/>
          <w:szCs w:val="20"/>
          <w:color w:val="auto"/>
        </w:rPr>
      </w:pPr>
      <w:r>
        <w:rPr>
          <w:rFonts w:ascii="Times New Roman" w:cs="Times New Roman" w:eastAsia="Times New Roman" w:hAnsi="Times New Roman"/>
          <w:sz w:val="21"/>
          <w:szCs w:val="21"/>
          <w:color w:val="auto"/>
        </w:rPr>
        <w:t xml:space="preserve">All Directors, Executive Officers and certain Key Employees are subject to the Section 16 prohibition against buying and selling ATC stock within six months of each other, for </w:t>
      </w:r>
      <w:r>
        <w:rPr>
          <w:rFonts w:ascii="Times New Roman" w:cs="Times New Roman" w:eastAsia="Times New Roman" w:hAnsi="Times New Roman"/>
          <w:sz w:val="21"/>
          <w:szCs w:val="21"/>
          <w:i w:val="1"/>
          <w:iCs w:val="1"/>
          <w:color w:val="auto"/>
        </w:rPr>
        <w:t>short-swing</w:t>
      </w:r>
      <w:r>
        <w:rPr>
          <w:rFonts w:ascii="Times New Roman" w:cs="Times New Roman" w:eastAsia="Times New Roman" w:hAnsi="Times New Roman"/>
          <w:sz w:val="21"/>
          <w:szCs w:val="21"/>
          <w:color w:val="auto"/>
        </w:rPr>
        <w:t xml:space="preserve"> profits, and are required to file Forms 3, 4 and 5 with respect to any purchase, sale and bona fide gifts of ATC stock.</w:t>
      </w:r>
    </w:p>
    <w:p>
      <w:pPr>
        <w:spacing w:after="0" w:line="188"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1"/>
          <w:szCs w:val="21"/>
          <w:color w:val="auto"/>
        </w:rPr>
        <w:t>The trading prohibitions and restrictions set forth in this policy are in addition to, not in lieu of, any greater prohibitions or restrictions prescribed by federal or state securities laws and regulations, for example, short-swing trading by Section 16 individuals or restrictions on the sale of securities subject to Rule 144 under the Securities Act of 1933.</w:t>
      </w:r>
    </w:p>
    <w:p>
      <w:pPr>
        <w:spacing w:after="0" w:line="184" w:lineRule="exact"/>
        <w:rPr>
          <w:sz w:val="20"/>
          <w:szCs w:val="20"/>
          <w:color w:val="auto"/>
        </w:rPr>
      </w:pPr>
    </w:p>
    <w:p>
      <w:pPr>
        <w:ind w:left="380" w:hanging="375"/>
        <w:spacing w:after="0"/>
        <w:tabs>
          <w:tab w:leader="none" w:pos="380" w:val="left"/>
        </w:tabs>
        <w:numPr>
          <w:ilvl w:val="0"/>
          <w:numId w:val="1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Responsibilities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b w:val="1"/>
          <w:bCs w:val="1"/>
          <w:color w:val="auto"/>
        </w:rPr>
        <w:t>Employees</w:t>
      </w:r>
      <w:r>
        <w:rPr>
          <w:rFonts w:ascii="Times New Roman" w:cs="Times New Roman" w:eastAsia="Times New Roman" w:hAnsi="Times New Roman"/>
          <w:sz w:val="21"/>
          <w:szCs w:val="21"/>
          <w:color w:val="auto"/>
        </w:rPr>
        <w:t xml:space="preserve"> will:</w:t>
      </w:r>
    </w:p>
    <w:p>
      <w:pPr>
        <w:spacing w:after="0" w:line="237" w:lineRule="exact"/>
        <w:rPr>
          <w:sz w:val="20"/>
          <w:szCs w:val="20"/>
          <w:color w:val="auto"/>
        </w:rPr>
      </w:pPr>
    </w:p>
    <w:p>
      <w:pPr>
        <w:ind w:firstLine="1265"/>
        <w:spacing w:after="0" w:line="256" w:lineRule="auto"/>
        <w:rPr>
          <w:sz w:val="20"/>
          <w:szCs w:val="20"/>
          <w:color w:val="auto"/>
        </w:rPr>
      </w:pPr>
      <w:r>
        <w:rPr>
          <w:rFonts w:ascii="Times New Roman" w:cs="Times New Roman" w:eastAsia="Times New Roman" w:hAnsi="Times New Roman"/>
          <w:sz w:val="21"/>
          <w:szCs w:val="21"/>
          <w:color w:val="auto"/>
        </w:rPr>
        <w:t>7.1.1 Sign the certification upon hire and thereafter complete an electronic certification annually, to indicate his or her understanding and compliance with the policy.</w:t>
      </w:r>
    </w:p>
    <w:p>
      <w:pPr>
        <w:sectPr>
          <w:pgSz w:w="11900" w:h="16838" w:orient="portrait"/>
          <w:cols w:equalWidth="0" w:num="1">
            <w:col w:w="11220"/>
          </w:cols>
          <w:pgMar w:left="320" w:top="1430" w:right="359" w:bottom="1440" w:gutter="0" w:footer="0" w:header="0"/>
        </w:sectPr>
      </w:pPr>
    </w:p>
    <w:bookmarkStart w:id="189" w:name="page190"/>
    <w:bookmarkEnd w:id="189"/>
    <w:p>
      <w:pPr>
        <w:ind w:left="640"/>
        <w:spacing w:after="0"/>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b w:val="1"/>
          <w:bCs w:val="1"/>
          <w:color w:val="auto"/>
        </w:rPr>
        <w:t>Company Persons</w:t>
      </w:r>
      <w:r>
        <w:rPr>
          <w:rFonts w:ascii="Times New Roman" w:cs="Times New Roman" w:eastAsia="Times New Roman" w:hAnsi="Times New Roman"/>
          <w:sz w:val="21"/>
          <w:szCs w:val="21"/>
          <w:color w:val="auto"/>
        </w:rPr>
        <w:t xml:space="preserve"> will:</w:t>
      </w:r>
    </w:p>
    <w:p>
      <w:pPr>
        <w:spacing w:after="0" w:line="224" w:lineRule="exact"/>
        <w:rPr>
          <w:sz w:val="20"/>
          <w:szCs w:val="20"/>
          <w:color w:val="auto"/>
        </w:rPr>
      </w:pPr>
    </w:p>
    <w:p>
      <w:pPr>
        <w:ind w:firstLine="1265"/>
        <w:spacing w:after="0" w:line="256" w:lineRule="auto"/>
        <w:rPr>
          <w:sz w:val="20"/>
          <w:szCs w:val="20"/>
          <w:color w:val="auto"/>
        </w:rPr>
      </w:pPr>
      <w:r>
        <w:rPr>
          <w:rFonts w:ascii="Times New Roman" w:cs="Times New Roman" w:eastAsia="Times New Roman" w:hAnsi="Times New Roman"/>
          <w:sz w:val="21"/>
          <w:szCs w:val="21"/>
          <w:color w:val="auto"/>
        </w:rPr>
        <w:t>7.2.1 Sign the certification upon hire or commencement of his or her assignment, to indicate his or her understanding and compliance with the policy.</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7.3 The </w:t>
      </w:r>
      <w:r>
        <w:rPr>
          <w:rFonts w:ascii="Times New Roman" w:cs="Times New Roman" w:eastAsia="Times New Roman" w:hAnsi="Times New Roman"/>
          <w:sz w:val="21"/>
          <w:szCs w:val="21"/>
          <w:b w:val="1"/>
          <w:bCs w:val="1"/>
          <w:color w:val="auto"/>
        </w:rPr>
        <w:t>Company Person’s supervisor/manager</w:t>
      </w:r>
      <w:r>
        <w:rPr>
          <w:rFonts w:ascii="Times New Roman" w:cs="Times New Roman" w:eastAsia="Times New Roman" w:hAnsi="Times New Roman"/>
          <w:sz w:val="21"/>
          <w:szCs w:val="21"/>
          <w:color w:val="auto"/>
        </w:rPr>
        <w:t xml:space="preserve"> will:</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7.3.1 Communicate this policy to his or her Company Persons.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b w:val="1"/>
          <w:bCs w:val="1"/>
          <w:color w:val="auto"/>
        </w:rPr>
        <w:t>Directors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Executive Officers</w:t>
      </w:r>
      <w:r>
        <w:rPr>
          <w:rFonts w:ascii="Times New Roman" w:cs="Times New Roman" w:eastAsia="Times New Roman" w:hAnsi="Times New Roman"/>
          <w:sz w:val="21"/>
          <w:szCs w:val="21"/>
          <w:color w:val="auto"/>
        </w:rPr>
        <w:t xml:space="preserve"> will:</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7.4.1 Sign the certification upon membership to the Board or upon hire, respectively, and annually thereafter.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7.4.2 Secure pre-clearance from the Corporate Legal Department when applicable.</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7.5 The </w:t>
      </w:r>
      <w:r>
        <w:rPr>
          <w:rFonts w:ascii="Times New Roman" w:cs="Times New Roman" w:eastAsia="Times New Roman" w:hAnsi="Times New Roman"/>
          <w:sz w:val="21"/>
          <w:szCs w:val="21"/>
          <w:b w:val="1"/>
          <w:bCs w:val="1"/>
          <w:color w:val="auto"/>
        </w:rPr>
        <w:t>Corporate Legal Department</w:t>
      </w:r>
      <w:r>
        <w:rPr>
          <w:rFonts w:ascii="Times New Roman" w:cs="Times New Roman" w:eastAsia="Times New Roman" w:hAnsi="Times New Roman"/>
          <w:sz w:val="21"/>
          <w:szCs w:val="21"/>
          <w:color w:val="auto"/>
        </w:rPr>
        <w:t xml:space="preserve"> will:</w:t>
      </w:r>
    </w:p>
    <w:p>
      <w:pPr>
        <w:spacing w:after="0" w:line="1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7.5.1 Distribute the certification to the Directors upon membership to the Board, and annually thereafter.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7.5.2 Review all requests for pre-clearance involving stock trades.</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7.5.3 Respond to questions regarding this policy.</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7.6 </w:t>
      </w:r>
      <w:r>
        <w:rPr>
          <w:rFonts w:ascii="Times New Roman" w:cs="Times New Roman" w:eastAsia="Times New Roman" w:hAnsi="Times New Roman"/>
          <w:sz w:val="21"/>
          <w:szCs w:val="21"/>
          <w:b w:val="1"/>
          <w:bCs w:val="1"/>
          <w:color w:val="auto"/>
        </w:rPr>
        <w:t>Corporate Human Resources</w:t>
      </w:r>
      <w:r>
        <w:rPr>
          <w:rFonts w:ascii="Times New Roman" w:cs="Times New Roman" w:eastAsia="Times New Roman" w:hAnsi="Times New Roman"/>
          <w:sz w:val="21"/>
          <w:szCs w:val="21"/>
          <w:color w:val="auto"/>
        </w:rPr>
        <w:t xml:space="preserve"> will:</w:t>
      </w:r>
    </w:p>
    <w:p>
      <w:pPr>
        <w:spacing w:after="0" w:line="224" w:lineRule="exact"/>
        <w:rPr>
          <w:sz w:val="20"/>
          <w:szCs w:val="20"/>
          <w:color w:val="auto"/>
        </w:rPr>
      </w:pPr>
    </w:p>
    <w:p>
      <w:pPr>
        <w:ind w:right="20" w:firstLine="1265"/>
        <w:spacing w:after="0" w:line="269" w:lineRule="auto"/>
        <w:rPr>
          <w:sz w:val="20"/>
          <w:szCs w:val="20"/>
          <w:color w:val="auto"/>
        </w:rPr>
      </w:pPr>
      <w:r>
        <w:rPr>
          <w:rFonts w:ascii="Times New Roman" w:cs="Times New Roman" w:eastAsia="Times New Roman" w:hAnsi="Times New Roman"/>
          <w:sz w:val="21"/>
          <w:szCs w:val="21"/>
          <w:color w:val="auto"/>
        </w:rPr>
        <w:t>7.6.1 Distribute this policy to all Company Persons upon hire and distribute the electronic certification to Employees annually thereafter.</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7.6.2 Obtain and maintain Company Person certifications.</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7.6.3 Respond to questions regarding this policy.</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7.6.4 Review all requests for pre-clearance involving transactions in benefit plans.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 Distribution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policy will be distributed to the following:</w:t>
      </w:r>
    </w:p>
    <w:p>
      <w:pPr>
        <w:spacing w:after="0" w:line="34" w:lineRule="exact"/>
        <w:rPr>
          <w:sz w:val="20"/>
          <w:szCs w:val="20"/>
          <w:color w:val="auto"/>
        </w:rPr>
      </w:pPr>
    </w:p>
    <w:p>
      <w:pPr>
        <w:ind w:left="640" w:hanging="301"/>
        <w:spacing w:after="0"/>
        <w:tabs>
          <w:tab w:leader="none" w:pos="64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Company Persons</w:t>
      </w:r>
    </w:p>
    <w:p>
      <w:pPr>
        <w:spacing w:after="0" w:line="21" w:lineRule="exact"/>
        <w:rPr>
          <w:rFonts w:ascii="Times New Roman" w:cs="Times New Roman" w:eastAsia="Times New Roman" w:hAnsi="Times New Roman"/>
          <w:sz w:val="21"/>
          <w:szCs w:val="21"/>
          <w:color w:val="auto"/>
        </w:rPr>
      </w:pPr>
    </w:p>
    <w:p>
      <w:pPr>
        <w:ind w:left="640" w:hanging="301"/>
        <w:spacing w:after="0"/>
        <w:tabs>
          <w:tab w:leader="none" w:pos="64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Directors</w:t>
      </w:r>
    </w:p>
    <w:p>
      <w:pPr>
        <w:spacing w:after="0" w:line="321" w:lineRule="exact"/>
        <w:rPr>
          <w:rFonts w:ascii="Times New Roman" w:cs="Times New Roman" w:eastAsia="Times New Roman" w:hAnsi="Times New Roman"/>
          <w:sz w:val="21"/>
          <w:szCs w:val="21"/>
          <w:color w:val="auto"/>
        </w:rPr>
      </w:pPr>
    </w:p>
    <w:p>
      <w:pPr>
        <w:ind w:left="220" w:hanging="215"/>
        <w:spacing w:after="0"/>
        <w:tabs>
          <w:tab w:leader="none" w:pos="220" w:val="left"/>
        </w:tabs>
        <w:numPr>
          <w:ilvl w:val="0"/>
          <w:numId w:val="1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Ownership and Amendments</w:t>
      </w:r>
    </w:p>
    <w:p>
      <w:pPr>
        <w:spacing w:after="0" w:line="224"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21"/>
          <w:szCs w:val="21"/>
          <w:color w:val="auto"/>
        </w:rPr>
        <w:t>Ownership of this Policy belongs to the Corporate Legal Department. The Corporate General Counsel may amend this Policy and any such amendments, which may be approved by the Corporate General Counsel at any time in his or her sole discretion, will be evidenced in updates to this Policy.</w:t>
      </w:r>
    </w:p>
    <w:p>
      <w:pPr>
        <w:sectPr>
          <w:pgSz w:w="11900" w:h="16838" w:orient="portrait"/>
          <w:cols w:equalWidth="0" w:num="1">
            <w:col w:w="11140"/>
          </w:cols>
          <w:pgMar w:left="320" w:top="1373" w:right="4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 OF AMERICAN TOWER CORPORATION</w:t>
      </w:r>
    </w:p>
    <w:p>
      <w:pPr>
        <w:spacing w:after="0" w:line="200" w:lineRule="exact"/>
        <w:rPr>
          <w:sz w:val="20"/>
          <w:szCs w:val="20"/>
          <w:color w:val="auto"/>
        </w:rPr>
      </w:pPr>
    </w:p>
    <w:p>
      <w:pPr>
        <w:spacing w:after="0" w:line="304"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Jurisdiction of</w:t>
      </w:r>
    </w:p>
    <w:p>
      <w:pPr>
        <w:spacing w:after="0" w:line="43" w:lineRule="exact"/>
        <w:rPr>
          <w:sz w:val="20"/>
          <w:szCs w:val="20"/>
          <w:color w:val="auto"/>
        </w:rPr>
      </w:pPr>
    </w:p>
    <w:p>
      <w:pPr>
        <w:spacing w:after="0"/>
        <w:tabs>
          <w:tab w:leader="none" w:pos="7620" w:val="left"/>
        </w:tabs>
        <w:rPr>
          <w:sz w:val="20"/>
          <w:szCs w:val="20"/>
          <w:color w:val="auto"/>
        </w:rPr>
      </w:pPr>
      <w:r>
        <w:rPr>
          <w:rFonts w:ascii="Times New Roman" w:cs="Times New Roman" w:eastAsia="Times New Roman" w:hAnsi="Times New Roman"/>
          <w:sz w:val="18"/>
          <w:szCs w:val="18"/>
          <w:b w:val="1"/>
          <w:bCs w:val="1"/>
          <w:color w:val="auto"/>
        </w:rPr>
        <w:t>Subsidiary</w:t>
      </w:r>
      <w:r>
        <w:rPr>
          <w:sz w:val="20"/>
          <w:szCs w:val="20"/>
          <w:color w:val="auto"/>
        </w:rPr>
        <w:tab/>
      </w:r>
      <w:r>
        <w:rPr>
          <w:rFonts w:ascii="Times New Roman" w:cs="Times New Roman" w:eastAsia="Times New Roman" w:hAnsi="Times New Roman"/>
          <w:sz w:val="18"/>
          <w:szCs w:val="18"/>
          <w:b w:val="1"/>
          <w:bCs w:val="1"/>
          <w:color w:val="auto"/>
        </w:rPr>
        <w:t>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65405</wp:posOffset>
            </wp:positionV>
            <wp:extent cx="19577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7">
                      <a:extLst>
                        <a:ext uri="{28A0092B-C50C-407E-A947-70E740481C1C}"/>
                      </a:extLst>
                    </a:blip>
                    <a:srcRect/>
                    <a:stretch>
                      <a:fillRect/>
                    </a:stretch>
                  </pic:blipFill>
                  <pic:spPr bwMode="auto">
                    <a:xfrm>
                      <a:off x="0" y="0"/>
                      <a:ext cx="195770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65405</wp:posOffset>
            </wp:positionV>
            <wp:extent cx="9455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8">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ectPr>
          <w:pgSz w:w="11900" w:h="16838" w:orient="portrait"/>
          <w:cols w:equalWidth="0" w:num="1">
            <w:col w:w="11220"/>
          </w:cols>
          <w:pgMar w:left="340" w:top="923"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10 Presidential Way Associates,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Eighty Partners,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Eighty Tower Partners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 Tower Sub,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Adquisiciones y Proyectos Inalámbricos, S. de R. L. de C.V.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Networking LLC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Africa Management Services (Pty) Ltd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Asset Sub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Asset Sub,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Charitable Foundation,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Delaware Corporation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Depositor Sub,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American Tower do Brasil – Cessão de Infraestruturas 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American Tower do Brasil – Comunicação Multimídia Ltda.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España, S.L.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Guarantor Sub,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Holding Sub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Holding Sub,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Inmosites, S.L.U.</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International Holding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International Holding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International,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Investments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Latam, S.L.U.</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 Management,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Towers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AppleCore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AppleCore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Appleseed Holdco REIT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Applestem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Atlantic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Iberia C.V.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Kenya C.V.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Netherlands C.V.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Netherlands Coöperatief U.A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Rhine C.V.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Sher Netherlands Coöperatief U.A.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South America C.V.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Africa Holding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Africa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ectPr>
          <w:pgSz w:w="11900" w:h="16838" w:orient="portrait"/>
          <w:cols w:equalWidth="0" w:num="2">
            <w:col w:w="7460" w:space="720"/>
            <w:col w:w="1939"/>
          </w:cols>
          <w:pgMar w:left="340" w:top="240"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t>ATC Antennas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Argentina Coöperatief U.A.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Argentina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Asia Pacific Pte. Ltd.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Atlantic C.V.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Atlantic I B.V.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Atlantic II B.V.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Atlantic IV B.V.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Backhaul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Brasil – Serviços de Conectividades Ltda.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Brazil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Brazil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Burkina Faso S.A.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Canada ULC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Chile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Colombia B.V.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Colombia Holding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Colombia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Colombia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CSR Foundation India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Edge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EH GmbH &amp; Co KG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ATC Ethiopia Infrastructure Development Private Limited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Europe C.V.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Europe Coöperatief U.A.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Europe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European Holdings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Fibra de Colombia, S.A.S.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France Holding II SAS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France Holding SAS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France Services SAS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France SNC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Germany Holding I B.V.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Germany Holding II B.V.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Germany Holdings GmbH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Germany Services GmbH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Ghana ServiceCo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Global Employment B.V.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GP GmbH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Green Grass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Heston B.V.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Iberia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India Infrastructure Private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Indoor DAS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Burkina Faso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Ethiopia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460" w:space="720"/>
            <w:col w:w="1939"/>
          </w:cols>
          <w:pgMar w:left="340" w:top="991" w:right="1440" w:bottom="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color w:val="auto"/>
        </w:rPr>
        <w:t>ATC International Coöperatief U.A.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71" w:lineRule="exact"/>
        <w:rPr>
          <w:sz w:val="20"/>
          <w:szCs w:val="20"/>
          <w:color w:val="auto"/>
        </w:rPr>
      </w:pPr>
    </w:p>
    <w:p>
      <w:pPr>
        <w:sectPr>
          <w:pgSz w:w="11900" w:h="16838" w:orient="portrait"/>
          <w:cols w:equalWidth="0" w:num="2">
            <w:col w:w="7460" w:space="720"/>
            <w:col w:w="1939"/>
          </w:cols>
          <w:pgMar w:left="340" w:top="70" w:right="144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ATC International Financing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72" w:lineRule="exact"/>
        <w:rPr>
          <w:sz w:val="20"/>
          <w:szCs w:val="20"/>
          <w:color w:val="auto"/>
        </w:rPr>
      </w:pPr>
    </w:p>
    <w:p>
      <w:pPr>
        <w:sectPr>
          <w:pgSz w:w="11900" w:h="16838" w:orient="portrait"/>
          <w:cols w:equalWidth="0" w:num="2">
            <w:col w:w="7460" w:space="720"/>
            <w:col w:w="1939"/>
          </w:cols>
          <w:pgMar w:left="340" w:top="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ATC International Financing II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172" w:lineRule="exact"/>
        <w:rPr>
          <w:sz w:val="20"/>
          <w:szCs w:val="20"/>
          <w:color w:val="auto"/>
        </w:rPr>
      </w:pPr>
    </w:p>
    <w:p>
      <w:pPr>
        <w:sectPr>
          <w:pgSz w:w="11900" w:h="16838" w:orient="portrait"/>
          <w:cols w:equalWidth="0" w:num="2">
            <w:col w:w="7460" w:space="720"/>
            <w:col w:w="1939"/>
          </w:cols>
          <w:pgMar w:left="340" w:top="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ATC International Holding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72" w:lineRule="exact"/>
        <w:rPr>
          <w:sz w:val="20"/>
          <w:szCs w:val="20"/>
          <w:color w:val="auto"/>
        </w:rPr>
      </w:pPr>
    </w:p>
    <w:p>
      <w:pPr>
        <w:sectPr>
          <w:pgSz w:w="11900" w:h="16838" w:orient="portrait"/>
          <w:cols w:equalWidth="0" w:num="2">
            <w:col w:w="7460" w:space="720"/>
            <w:col w:w="1939"/>
          </w:cols>
          <w:pgMar w:left="340" w:top="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ATC Iris 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38" w:orient="portrait"/>
          <w:cols w:equalWidth="0" w:num="2">
            <w:col w:w="7460" w:space="720"/>
            <w:col w:w="1939"/>
          </w:cols>
          <w:pgMar w:left="340" w:top="70" w:right="1440"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t>ATC Kenya Operations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Kenya Services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Managed Sites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MexHold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Mexico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MIP III REIT Iron Holdings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Niger Wireless Infrastructure S.A.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Nigeria Coöperatief U.A.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Nigeria Foundation Limited by Guarantee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Nigeria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Nigeria Wireless Infrastructure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On Air +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Operations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Outdoor DAS,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Paraguay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Paraguay S.R.L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Peru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Ponderosa B-I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Ponderosa B-II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Ponderosa K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Rhine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Scala Operations, S.L.U.</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Sequoia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Sitios de Chile S.A.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Sitios de Colombia S.A.S.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Sitios del Peru S.R.L.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Sitios Infraco S.A.S.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ATC South Africa Investment Holdings (Proprietary)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South Africa Services Pty Ltd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South Africa Wireless Infrastructure (Pty) Ltd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South America Holding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South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Tower (Ghana) LTD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Tower Services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TRS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TRS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TRS III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TRS IV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TRS V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Uganda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Uganda ServiceCo - SMC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Watertown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WiFi LLC</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ATC XYZ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Kenya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Kenya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Paraguay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Republic of Ghana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460" w:space="720"/>
            <w:col w:w="1939"/>
          </w:cols>
          <w:pgMar w:left="340" w:top="991" w:right="1440" w:bottom="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color w:val="auto"/>
        </w:rPr>
        <w:t>Blue Sky Towers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South Africa</w:t>
      </w:r>
    </w:p>
    <w:p>
      <w:pPr>
        <w:spacing w:after="0" w:line="172" w:lineRule="exact"/>
        <w:rPr>
          <w:sz w:val="20"/>
          <w:szCs w:val="20"/>
          <w:color w:val="auto"/>
        </w:rPr>
      </w:pPr>
    </w:p>
    <w:p>
      <w:pPr>
        <w:sectPr>
          <w:pgSz w:w="11900" w:h="16838" w:orient="portrait"/>
          <w:cols w:equalWidth="0" w:num="2">
            <w:col w:w="7460" w:space="720"/>
            <w:col w:w="1939"/>
          </w:cols>
          <w:pgMar w:left="340" w:top="292" w:right="144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Blue Transfer Sociedad Anonima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Paraguay</w:t>
      </w:r>
    </w:p>
    <w:p>
      <w:pPr>
        <w:spacing w:after="0" w:line="172" w:lineRule="exact"/>
        <w:rPr>
          <w:sz w:val="20"/>
          <w:szCs w:val="20"/>
          <w:color w:val="auto"/>
        </w:rPr>
      </w:pPr>
    </w:p>
    <w:p>
      <w:pPr>
        <w:sectPr>
          <w:pgSz w:w="11900" w:h="16838" w:orient="portrait"/>
          <w:cols w:equalWidth="0" w:num="2">
            <w:col w:w="7460" w:space="720"/>
            <w:col w:w="1939"/>
          </w:cols>
          <w:pgMar w:left="340" w:top="292"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Broadcast Towers,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72" w:lineRule="exact"/>
        <w:rPr>
          <w:sz w:val="20"/>
          <w:szCs w:val="20"/>
          <w:color w:val="auto"/>
        </w:rPr>
      </w:pPr>
    </w:p>
    <w:p>
      <w:pPr>
        <w:sectPr>
          <w:pgSz w:w="11900" w:h="16838" w:orient="portrait"/>
          <w:cols w:equalWidth="0" w:num="2">
            <w:col w:w="7460" w:space="720"/>
            <w:col w:w="1939"/>
          </w:cols>
          <w:pgMar w:left="340" w:top="292"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California Tower,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38" w:orient="portrait"/>
          <w:cols w:equalWidth="0" w:num="2">
            <w:col w:w="7460" w:space="720"/>
            <w:col w:w="1939"/>
          </w:cols>
          <w:pgMar w:left="340" w:top="292" w:right="1440" w:bottom="1440" w:gutter="0" w:footer="0" w:header="0"/>
          <w:type w:val="continuous"/>
        </w:sectPr>
      </w:pPr>
    </w:p>
    <w:bookmarkStart w:id="196" w:name="page197"/>
    <w:bookmarkEnd w:id="196"/>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 Site NewCo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 Tower Lease Acquisition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States Tower Holdings,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CNC2 Associates,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Comfluent Acquisition,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Properties,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Comunicaciones y Consumos S.R.L.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Connectivity Infrastructure Services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1099 14th Street NW,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1275 K Street,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32 Avenue of the Americas,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AT1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Data Center Services,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Denver,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DE3 DCS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DE3 Venture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One Wilshire,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 DE3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CoreSite Real Estate 12100 Sunrise Valley Drive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1656 McCarthy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1656 McCarthy,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2 Emerson Lane,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2115 NW 22nd Street,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2901 Coronado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2901 Coronado,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2950 Stender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2950 Stender,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2972 Stender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2972 Stender,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3001 Coronado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3001 Coronado,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3032 Coronado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3032 Coronado,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3045 Stender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3045 Stender,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427 S. LaSalle,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55 S. Market Street,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70 Innerbelt,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900 N. Alameda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AT2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CH1 Annex,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CH2, L.L.C.</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CH3 LLC</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DE3 LLC</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Argentina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917" w:orient="portrait"/>
          <w:cols w:equalWidth="0" w:num="2">
            <w:col w:w="7460" w:space="720"/>
            <w:col w:w="1939"/>
          </w:cols>
          <w:pgMar w:left="340" w:top="991" w:right="1440" w:bottom="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color w:val="auto"/>
        </w:rPr>
        <w:t>CoreSite Real Estate Hillsboro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6" w:lineRule="exact"/>
        <w:rPr>
          <w:sz w:val="20"/>
          <w:szCs w:val="20"/>
          <w:color w:val="auto"/>
        </w:rPr>
      </w:pPr>
    </w:p>
    <w:p>
      <w:pPr>
        <w:sectPr>
          <w:pgSz w:w="11900" w:h="16838" w:orient="portrait"/>
          <w:cols w:equalWidth="0" w:num="2">
            <w:col w:w="7460" w:space="720"/>
            <w:col w:w="1939"/>
          </w:cols>
          <w:pgMar w:left="340" w:top="227" w:right="144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CoreSite Real Estate LA2 &amp; LA3,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6" w:lineRule="exact"/>
        <w:rPr>
          <w:sz w:val="20"/>
          <w:szCs w:val="20"/>
          <w:color w:val="auto"/>
        </w:rPr>
      </w:pPr>
    </w:p>
    <w:p>
      <w:pPr>
        <w:sectPr>
          <w:pgSz w:w="11900" w:h="16838" w:orient="portrait"/>
          <w:cols w:equalWidth="0" w:num="2">
            <w:col w:w="7460" w:space="720"/>
            <w:col w:w="1939"/>
          </w:cols>
          <w:pgMar w:left="340" w:top="22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CoreSite Real Estate Irving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6" w:lineRule="exact"/>
        <w:rPr>
          <w:sz w:val="20"/>
          <w:szCs w:val="20"/>
          <w:color w:val="auto"/>
        </w:rPr>
      </w:pPr>
    </w:p>
    <w:p>
      <w:pPr>
        <w:sectPr>
          <w:pgSz w:w="11900" w:h="16838" w:orient="portrait"/>
          <w:cols w:equalWidth="0" w:num="2">
            <w:col w:w="7460" w:space="720"/>
            <w:col w:w="1939"/>
          </w:cols>
          <w:pgMar w:left="340" w:top="22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CoreSite Real Estate LA5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38" w:orient="portrait"/>
          <w:cols w:equalWidth="0" w:num="2">
            <w:col w:w="7460" w:space="720"/>
            <w:col w:w="1939"/>
          </w:cols>
          <w:pgMar w:left="340" w:top="227" w:right="1440"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color w:val="auto"/>
        </w:rPr>
        <w:t>CoreSite Real Estate LA5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MI2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NY4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OR1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CoreSite Real Estate Sunrise Technology Park,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SV9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SV9,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SV10 GP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Real Estate SV10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CoreSite, 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DCS Tower Sub,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Eaton Towers Ghana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Eaton Towers Holdings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Eaton Towers Kenya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Eaton Towers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 Tower InterCo B.V.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Tower Assets III,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Tower Assets,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Tower Holdings,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Tower Services,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Tower,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Gondola Tower Holdings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GrainComm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GrainComm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GrainComm III,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GrainComm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GrainComm Marketing,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Acquisition Partners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Acquisition Partners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Acquisition Partners III,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Costa Rica Finance,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Infrastructure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Infrastructure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Infrastructure III,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Investments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LATAM Holdings B.V.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LatAm Holdings Coöperatieve U.A.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Operations CR, S.R.L.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South Acquisitions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Structures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Structures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Torres CR, S.R.L.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Towers 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Kenya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Rica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Rica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460" w:space="720"/>
            <w:col w:w="1939"/>
          </w:cols>
          <w:pgMar w:left="340" w:top="991" w:right="1440" w:bottom="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color w:val="auto"/>
        </w:rPr>
        <w:t>GTP Towers 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71" w:lineRule="exact"/>
        <w:rPr>
          <w:sz w:val="20"/>
          <w:szCs w:val="20"/>
          <w:color w:val="auto"/>
        </w:rPr>
      </w:pPr>
    </w:p>
    <w:p>
      <w:pPr>
        <w:sectPr>
          <w:pgSz w:w="11900" w:h="16838" w:orient="portrait"/>
          <w:cols w:equalWidth="0" w:num="2">
            <w:col w:w="7460" w:space="720"/>
            <w:col w:w="1939"/>
          </w:cols>
          <w:pgMar w:left="340" w:top="70" w:right="144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GTP Towers III,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72" w:lineRule="exact"/>
        <w:rPr>
          <w:sz w:val="20"/>
          <w:szCs w:val="20"/>
          <w:color w:val="auto"/>
        </w:rPr>
      </w:pPr>
    </w:p>
    <w:p>
      <w:pPr>
        <w:sectPr>
          <w:pgSz w:w="11900" w:h="16838" w:orient="portrait"/>
          <w:cols w:equalWidth="0" w:num="2">
            <w:col w:w="7460" w:space="720"/>
            <w:col w:w="1939"/>
          </w:cols>
          <w:pgMar w:left="340" w:top="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GTP Towers IV,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72" w:lineRule="exact"/>
        <w:rPr>
          <w:sz w:val="20"/>
          <w:szCs w:val="20"/>
          <w:color w:val="auto"/>
        </w:rPr>
      </w:pPr>
    </w:p>
    <w:p>
      <w:pPr>
        <w:sectPr>
          <w:pgSz w:w="11900" w:h="16838" w:orient="portrait"/>
          <w:cols w:equalWidth="0" w:num="2">
            <w:col w:w="7460" w:space="720"/>
            <w:col w:w="1939"/>
          </w:cols>
          <w:pgMar w:left="340" w:top="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GTP Towers IX,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72" w:lineRule="exact"/>
        <w:rPr>
          <w:sz w:val="20"/>
          <w:szCs w:val="20"/>
          <w:color w:val="auto"/>
        </w:rPr>
      </w:pPr>
    </w:p>
    <w:p>
      <w:pPr>
        <w:sectPr>
          <w:pgSz w:w="11900" w:h="16838" w:orient="portrait"/>
          <w:cols w:equalWidth="0" w:num="2">
            <w:col w:w="7460" w:space="720"/>
            <w:col w:w="1939"/>
          </w:cols>
          <w:pgMar w:left="340" w:top="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GTP Towers V,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38" w:orient="portrait"/>
          <w:cols w:equalWidth="0" w:num="2">
            <w:col w:w="7460" w:space="720"/>
            <w:col w:w="1939"/>
          </w:cols>
          <w:pgMar w:left="340" w:top="70" w:right="1440"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color w:val="auto"/>
        </w:rPr>
        <w:t>GTP Towers VII,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Towers VIII,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 TRS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GTPI HoldCo,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Haysville Towers,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(BCEC)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(MBTA)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Borrower,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Hawaii,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Issuer,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Licensing,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Tower Services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Towers Development 2,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Towers Development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Towers International 2,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Towers International Development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Towers International,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Towers of Puerto Rico,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Towers,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Wireless Development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InSite Wireless Group,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Invisible Towers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 Equipment,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IWD Equipment,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IWG Holdings,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IWG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IWG Towers Assets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IWG Towers Assets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IWG-TLA Encanto 3,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IWG-TLA Holdings,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IWG-TLA Media 2,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IWG-TLA Media,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IWG-TLA Telecom,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Kirtonkhola Tower Bangladesh Limited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Lap do Brasil Empreendimentos Imobiliários Ltda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LAP Inmobiliaria Limitada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LAP Inmobiliaria S.R.L.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 B Sheet 1,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MATC Digital, S. de R.L. de C.V.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MATC Infraestructura, S. de R.L. de C.V.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MATC Servicios, S. de R.L. de C.V.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MHB Tower Rentals of America,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Microwave,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MIP III Iron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Bangladesh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Mississippi</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460" w:space="720"/>
            <w:col w:w="1939"/>
          </w:cols>
          <w:pgMar w:left="340" w:top="990" w:right="1440" w:bottom="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color w:val="auto"/>
        </w:rPr>
        <w:t>Mountain Communications,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California</w:t>
      </w:r>
    </w:p>
    <w:p>
      <w:pPr>
        <w:spacing w:after="0" w:line="171" w:lineRule="exact"/>
        <w:rPr>
          <w:sz w:val="20"/>
          <w:szCs w:val="20"/>
          <w:color w:val="auto"/>
        </w:rPr>
      </w:pPr>
    </w:p>
    <w:p>
      <w:pPr>
        <w:sectPr>
          <w:pgSz w:w="11900" w:h="16838" w:orient="portrait"/>
          <w:cols w:equalWidth="0" w:num="2">
            <w:col w:w="7460" w:space="720"/>
            <w:col w:w="1939"/>
          </w:cols>
          <w:pgMar w:left="340" w:top="70" w:right="144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Municipal Bay,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72" w:lineRule="exact"/>
        <w:rPr>
          <w:sz w:val="20"/>
          <w:szCs w:val="20"/>
          <w:color w:val="auto"/>
        </w:rPr>
      </w:pPr>
    </w:p>
    <w:p>
      <w:pPr>
        <w:sectPr>
          <w:pgSz w:w="11900" w:h="16838" w:orient="portrait"/>
          <w:cols w:equalWidth="0" w:num="2">
            <w:col w:w="7460" w:space="720"/>
            <w:col w:w="1939"/>
          </w:cols>
          <w:pgMar w:left="340" w:top="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New Towers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72" w:lineRule="exact"/>
        <w:rPr>
          <w:sz w:val="20"/>
          <w:szCs w:val="20"/>
          <w:color w:val="auto"/>
        </w:rPr>
      </w:pPr>
    </w:p>
    <w:p>
      <w:pPr>
        <w:sectPr>
          <w:pgSz w:w="11900" w:h="16838" w:orient="portrait"/>
          <w:cols w:equalWidth="0" w:num="2">
            <w:col w:w="7460" w:space="720"/>
            <w:col w:w="1939"/>
          </w:cols>
          <w:pgMar w:left="340" w:top="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PCS Structures Towers,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72" w:lineRule="exact"/>
        <w:rPr>
          <w:sz w:val="20"/>
          <w:szCs w:val="20"/>
          <w:color w:val="auto"/>
        </w:rPr>
      </w:pPr>
    </w:p>
    <w:p>
      <w:pPr>
        <w:sectPr>
          <w:pgSz w:w="11900" w:h="16838" w:orient="portrait"/>
          <w:cols w:equalWidth="0" w:num="2">
            <w:col w:w="7460" w:space="720"/>
            <w:col w:w="1939"/>
          </w:cols>
          <w:pgMar w:left="340" w:top="7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R-CAL 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38" w:orient="portrait"/>
          <w:cols w:equalWidth="0" w:num="2">
            <w:col w:w="7460" w:space="720"/>
            <w:col w:w="1939"/>
          </w:cols>
          <w:pgMar w:left="340" w:top="70" w:right="1440"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t>Repeater Communications Group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Repeater Communications Group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Repeater Communications Group III,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Repeater Communications Group IV,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Repeater Communications Group of New York,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Repeater Communications Group V,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Repeater Communications Group VI,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Repeater Communications Group,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Richland Towers,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RSA Media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SpectraSite Communications,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SpectraSite,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T8 Ulysses Site Management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Telecom Lease Advisors Management 2,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TLA PR-2,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Management,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TowerCo1 Infraestrutura e Participações S.A.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Towers of America, L.L.L.P.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Transcend Infrastructure Holdings Pte. Ltd.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Transcend Towers Infrastructure (Philippines),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II DAS,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 Tower Interco B.V.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Ulysses Asset Sub 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Ulysses Asset Sub II,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UniSite,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UniSite/Omnipoint FL Tower Venture,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UniSite/Omnipoint NE Tower Venture,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UniSite/Omnipoint PA Tower Venture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Colo,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Colo Holding Company,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Vangard Wireless, LLC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Verus Management One,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Massachusetts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460" w:space="720"/>
            <w:col w:w="1939"/>
          </w:cols>
          <w:pgMar w:left="340" w:top="991"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333-41224, 333-41226, 333-51959, 333-76324, 333-145609, 333-145610 and</w:t>
      </w:r>
    </w:p>
    <w:p>
      <w:pPr>
        <w:spacing w:after="0" w:line="1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333-261926 each on Form S-8 and Registration Statement No. 333-287714 on Form S-3 of our reports dated February 24, 2026, relating to the consolidated financial statements of American Tower Corporation and the effectiveness of American Tower Corporation’s internal control over financial reporting appearing in this Annual Report on Form 10-K for the year ended 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ectPr>
          <w:pgSz w:w="11900" w:h="16838" w:orient="portrait"/>
          <w:cols w:equalWidth="0" w:num="1">
            <w:col w:w="11240"/>
          </w:cols>
          <w:pgMar w:left="320" w:top="870"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SECTION 302 OF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O. Vondran, certify that:</w:t>
      </w:r>
    </w:p>
    <w:p>
      <w:pPr>
        <w:spacing w:after="0" w:line="109" w:lineRule="exact"/>
        <w:rPr>
          <w:sz w:val="20"/>
          <w:szCs w:val="20"/>
          <w:color w:val="auto"/>
        </w:rPr>
      </w:pPr>
    </w:p>
    <w:p>
      <w:pPr>
        <w:ind w:left="640" w:hanging="635"/>
        <w:spacing w:after="0"/>
        <w:tabs>
          <w:tab w:leader="none" w:pos="6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Tower Corporation;</w:t>
      </w:r>
    </w:p>
    <w:p>
      <w:pPr>
        <w:spacing w:after="0" w:line="109" w:lineRule="exact"/>
        <w:rPr>
          <w:rFonts w:ascii="Times New Roman" w:cs="Times New Roman" w:eastAsia="Times New Roman" w:hAnsi="Times New Roman"/>
          <w:sz w:val="18"/>
          <w:szCs w:val="18"/>
          <w:color w:val="auto"/>
        </w:rPr>
      </w:pPr>
    </w:p>
    <w:p>
      <w:pPr>
        <w:jc w:val="both"/>
        <w:ind w:left="640" w:right="380" w:hanging="635"/>
        <w:spacing w:after="0" w:line="256" w:lineRule="auto"/>
        <w:tabs>
          <w:tab w:leader="none" w:pos="6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40" w:right="360" w:hanging="635"/>
        <w:spacing w:after="0" w:line="269" w:lineRule="auto"/>
        <w:tabs>
          <w:tab w:leader="none" w:pos="6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Times New Roman" w:cs="Times New Roman" w:eastAsia="Times New Roman" w:hAnsi="Times New Roman"/>
          <w:sz w:val="18"/>
          <w:szCs w:val="18"/>
          <w:color w:val="auto"/>
        </w:rPr>
      </w:pPr>
    </w:p>
    <w:p>
      <w:pPr>
        <w:ind w:left="640" w:right="380" w:hanging="635"/>
        <w:spacing w:after="0" w:line="256" w:lineRule="auto"/>
        <w:tabs>
          <w:tab w:leader="none" w:pos="6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960" w:right="320" w:hanging="322"/>
        <w:spacing w:after="0" w:line="256" w:lineRule="auto"/>
        <w:tabs>
          <w:tab w:leader="none" w:pos="95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960" w:right="20" w:hanging="322"/>
        <w:spacing w:after="0" w:line="256" w:lineRule="auto"/>
        <w:tabs>
          <w:tab w:leader="none" w:pos="95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960" w:right="800" w:hanging="322"/>
        <w:spacing w:after="0" w:line="332" w:lineRule="auto"/>
        <w:tabs>
          <w:tab w:leader="none" w:pos="957"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960" w:right="40" w:hanging="322"/>
        <w:spacing w:after="0" w:line="256" w:lineRule="auto"/>
        <w:tabs>
          <w:tab w:leader="none" w:pos="95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640" w:right="280" w:hanging="635"/>
        <w:spacing w:after="0" w:line="269" w:lineRule="auto"/>
        <w:tabs>
          <w:tab w:leader="none" w:pos="6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Times New Roman" w:cs="Times New Roman" w:eastAsia="Times New Roman" w:hAnsi="Times New Roman"/>
          <w:sz w:val="18"/>
          <w:szCs w:val="18"/>
          <w:color w:val="auto"/>
        </w:rPr>
      </w:pPr>
    </w:p>
    <w:p>
      <w:pPr>
        <w:ind w:left="960" w:right="240" w:hanging="322"/>
        <w:spacing w:after="0" w:line="269" w:lineRule="auto"/>
        <w:tabs>
          <w:tab w:leader="none" w:pos="95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Times New Roman" w:cs="Times New Roman" w:eastAsia="Times New Roman" w:hAnsi="Times New Roman"/>
          <w:sz w:val="18"/>
          <w:szCs w:val="18"/>
          <w:color w:val="auto"/>
        </w:rPr>
      </w:pPr>
    </w:p>
    <w:p>
      <w:pPr>
        <w:ind w:left="960" w:right="200" w:hanging="322"/>
        <w:spacing w:after="0" w:line="269" w:lineRule="auto"/>
        <w:tabs>
          <w:tab w:leader="none" w:pos="95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ind w:left="980"/>
        <w:spacing w:after="0"/>
        <w:tabs>
          <w:tab w:leader="none" w:pos="6360" w:val="left"/>
          <w:tab w:leader="none" w:pos="7640" w:val="left"/>
          <w:tab w:leader="none" w:pos="800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STEVEN O. VONDRAN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22225</wp:posOffset>
            </wp:positionV>
            <wp:extent cx="25431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9">
                      <a:extLst>
                        <a:ext uri="{28A0092B-C50C-407E-A947-70E740481C1C}"/>
                      </a:extLst>
                    </a:blip>
                    <a:srcRect/>
                    <a:stretch>
                      <a:fillRect/>
                    </a:stretch>
                  </pic:blipFill>
                  <pic:spPr bwMode="auto">
                    <a:xfrm>
                      <a:off x="0" y="0"/>
                      <a:ext cx="2543175" cy="8255"/>
                    </a:xfrm>
                    <a:prstGeom prst="rect">
                      <a:avLst/>
                    </a:prstGeom>
                    <a:noFill/>
                  </pic:spPr>
                </pic:pic>
              </a:graphicData>
            </a:graphic>
          </wp:anchor>
        </w:drawing>
      </w:r>
    </w:p>
    <w:p>
      <w:pPr>
        <w:spacing w:after="0" w:line="2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color w:val="auto"/>
        </w:rPr>
        <w:t>Steven O. Vondran</w:t>
      </w:r>
    </w:p>
    <w:p>
      <w:pPr>
        <w:spacing w:after="0" w:line="2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0"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Rodney M. Smith, certify that:</w:t>
      </w:r>
    </w:p>
    <w:p>
      <w:pPr>
        <w:spacing w:after="0" w:line="241" w:lineRule="exact"/>
        <w:rPr>
          <w:sz w:val="20"/>
          <w:szCs w:val="20"/>
          <w:color w:val="auto"/>
        </w:rPr>
      </w:pPr>
    </w:p>
    <w:p>
      <w:pPr>
        <w:ind w:left="640" w:hanging="635"/>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Tower Corporation;</w:t>
      </w:r>
    </w:p>
    <w:p>
      <w:pPr>
        <w:spacing w:after="0" w:line="109" w:lineRule="exact"/>
        <w:rPr>
          <w:rFonts w:ascii="Times New Roman" w:cs="Times New Roman" w:eastAsia="Times New Roman" w:hAnsi="Times New Roman"/>
          <w:sz w:val="18"/>
          <w:szCs w:val="18"/>
          <w:color w:val="auto"/>
        </w:rPr>
      </w:pPr>
    </w:p>
    <w:p>
      <w:pPr>
        <w:jc w:val="both"/>
        <w:ind w:left="640" w:right="380" w:hanging="635"/>
        <w:spacing w:after="0" w:line="256" w:lineRule="auto"/>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40" w:right="360" w:hanging="635"/>
        <w:spacing w:after="0" w:line="269" w:lineRule="auto"/>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Times New Roman" w:cs="Times New Roman" w:eastAsia="Times New Roman" w:hAnsi="Times New Roman"/>
          <w:sz w:val="18"/>
          <w:szCs w:val="18"/>
          <w:color w:val="auto"/>
        </w:rPr>
      </w:pPr>
    </w:p>
    <w:p>
      <w:pPr>
        <w:ind w:left="640" w:right="380" w:hanging="635"/>
        <w:spacing w:after="0" w:line="256" w:lineRule="auto"/>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960" w:right="320" w:hanging="322"/>
        <w:spacing w:after="0" w:line="256" w:lineRule="auto"/>
        <w:tabs>
          <w:tab w:leader="none" w:pos="957"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960" w:right="20" w:hanging="322"/>
        <w:spacing w:after="0" w:line="256" w:lineRule="auto"/>
        <w:tabs>
          <w:tab w:leader="none" w:pos="95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960" w:right="800" w:hanging="322"/>
        <w:spacing w:after="0" w:line="332" w:lineRule="auto"/>
        <w:tabs>
          <w:tab w:leader="none" w:pos="957"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960" w:right="40" w:hanging="322"/>
        <w:spacing w:after="0" w:line="256" w:lineRule="auto"/>
        <w:tabs>
          <w:tab w:leader="none" w:pos="95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640" w:right="280" w:hanging="635"/>
        <w:spacing w:after="0" w:line="269" w:lineRule="auto"/>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Times New Roman" w:cs="Times New Roman" w:eastAsia="Times New Roman" w:hAnsi="Times New Roman"/>
          <w:sz w:val="18"/>
          <w:szCs w:val="18"/>
          <w:color w:val="auto"/>
        </w:rPr>
      </w:pPr>
    </w:p>
    <w:p>
      <w:pPr>
        <w:ind w:left="960" w:right="240" w:hanging="322"/>
        <w:spacing w:after="0" w:line="269" w:lineRule="auto"/>
        <w:tabs>
          <w:tab w:leader="none" w:pos="957"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Times New Roman" w:cs="Times New Roman" w:eastAsia="Times New Roman" w:hAnsi="Times New Roman"/>
          <w:sz w:val="18"/>
          <w:szCs w:val="18"/>
          <w:color w:val="auto"/>
        </w:rPr>
      </w:pPr>
    </w:p>
    <w:p>
      <w:pPr>
        <w:ind w:left="960" w:right="200" w:hanging="322"/>
        <w:spacing w:after="0" w:line="269" w:lineRule="auto"/>
        <w:tabs>
          <w:tab w:leader="none" w:pos="954"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ind w:left="980"/>
        <w:spacing w:after="0"/>
        <w:tabs>
          <w:tab w:leader="none" w:pos="6960" w:val="left"/>
          <w:tab w:leader="none" w:pos="8200" w:val="left"/>
          <w:tab w:leader="none" w:pos="854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R</w:t>
      </w:r>
      <w:r>
        <w:rPr>
          <w:rFonts w:ascii="Times New Roman" w:cs="Times New Roman" w:eastAsia="Times New Roman" w:hAnsi="Times New Roman"/>
          <w:sz w:val="13"/>
          <w:szCs w:val="13"/>
          <w:color w:val="auto"/>
        </w:rPr>
        <w:t>ODNEY</w:t>
      </w:r>
      <w:r>
        <w:rPr>
          <w:rFonts w:ascii="Times New Roman" w:cs="Times New Roman" w:eastAsia="Times New Roman" w:hAnsi="Times New Roman"/>
          <w:sz w:val="16"/>
          <w:szCs w:val="16"/>
          <w:color w:val="auto"/>
        </w:rPr>
        <w:t xml:space="preserve"> M. S</w:t>
      </w:r>
      <w:r>
        <w:rPr>
          <w:rFonts w:ascii="Times New Roman" w:cs="Times New Roman" w:eastAsia="Times New Roman" w:hAnsi="Times New Roman"/>
          <w:sz w:val="13"/>
          <w:szCs w:val="13"/>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22225</wp:posOffset>
            </wp:positionV>
            <wp:extent cx="20910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0">
                      <a:extLst>
                        <a:ext uri="{28A0092B-C50C-407E-A947-70E740481C1C}"/>
                      </a:extLst>
                    </a:blip>
                    <a:srcRect/>
                    <a:stretch>
                      <a:fillRect/>
                    </a:stretch>
                  </pic:blipFill>
                  <pic:spPr bwMode="auto">
                    <a:xfrm>
                      <a:off x="0" y="0"/>
                      <a:ext cx="2091055" cy="8255"/>
                    </a:xfrm>
                    <a:prstGeom prst="rect">
                      <a:avLst/>
                    </a:prstGeom>
                    <a:noFill/>
                  </pic:spPr>
                </pic:pic>
              </a:graphicData>
            </a:graphic>
          </wp:anchor>
        </w:drawing>
      </w:r>
    </w:p>
    <w:p>
      <w:pPr>
        <w:spacing w:after="0" w:line="23"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Rodney M. Smith</w:t>
      </w:r>
    </w:p>
    <w:p>
      <w:pPr>
        <w:spacing w:after="0" w:line="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Executive Vice President, Chief Financial</w:t>
      </w:r>
    </w:p>
    <w:p>
      <w:pPr>
        <w:ind w:left="8440"/>
        <w:spacing w:after="0"/>
        <w:rPr>
          <w:sz w:val="20"/>
          <w:szCs w:val="20"/>
          <w:color w:val="auto"/>
        </w:rPr>
      </w:pPr>
      <w:r>
        <w:rPr>
          <w:rFonts w:ascii="Times New Roman" w:cs="Times New Roman" w:eastAsia="Times New Roman" w:hAnsi="Times New Roman"/>
          <w:sz w:val="18"/>
          <w:szCs w:val="18"/>
          <w:color w:val="auto"/>
        </w:rPr>
        <w:t>Officer and Treasurer</w:t>
      </w:r>
    </w:p>
    <w:p>
      <w:pPr>
        <w:sectPr>
          <w:pgSz w:w="11900" w:h="16838" w:orient="portrait"/>
          <w:cols w:equalWidth="0" w:num="1">
            <w:col w:w="11240"/>
          </w:cols>
          <w:pgMar w:left="320" w:top="870" w:right="339" w:bottom="1440" w:gutter="0" w:footer="0" w:header="0"/>
        </w:sectPr>
      </w:pPr>
    </w:p>
    <w:bookmarkStart w:id="206" w:name="page207"/>
    <w:bookmarkEnd w:id="206"/>
    <w:p>
      <w:pPr>
        <w:ind w:left="1046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2" w:lineRule="exact"/>
        <w:rPr>
          <w:sz w:val="20"/>
          <w:szCs w:val="20"/>
          <w:color w:val="auto"/>
        </w:rPr>
      </w:pPr>
    </w:p>
    <w:p>
      <w:pPr>
        <w:ind w:right="520" w:firstLine="435"/>
        <w:spacing w:after="0" w:line="256" w:lineRule="auto"/>
        <w:rPr>
          <w:sz w:val="20"/>
          <w:szCs w:val="20"/>
          <w:color w:val="auto"/>
        </w:rPr>
      </w:pPr>
      <w:r>
        <w:rPr>
          <w:rFonts w:ascii="Times New Roman" w:cs="Times New Roman" w:eastAsia="Times New Roman" w:hAnsi="Times New Roman"/>
          <w:sz w:val="18"/>
          <w:szCs w:val="18"/>
          <w:color w:val="auto"/>
        </w:rPr>
        <w:t>In connection with this Annual Report on Form 10-K of American Tower Corporation (the “Company”) for the twelve months ended December 31, 2025, as filed with the Securities and Exchange Commission on the date hereof (the “Report”), each of the undersigned officers of the Company hereby certifies, pursuant to 18 U.S.C. Section 1350, that:</w:t>
      </w:r>
    </w:p>
    <w:p>
      <w:pPr>
        <w:spacing w:after="0" w:line="207" w:lineRule="exact"/>
        <w:rPr>
          <w:sz w:val="20"/>
          <w:szCs w:val="20"/>
          <w:color w:val="auto"/>
        </w:rPr>
      </w:pPr>
    </w:p>
    <w:p>
      <w:pPr>
        <w:ind w:left="680" w:hanging="253"/>
        <w:spacing w:after="0"/>
        <w:tabs>
          <w:tab w:leader="none" w:pos="6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0"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40"/>
        <w:spacing w:after="0"/>
        <w:tabs>
          <w:tab w:leader="none" w:pos="6920" w:val="left"/>
          <w:tab w:leader="none" w:pos="844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6"/>
          <w:szCs w:val="26"/>
          <w:color w:val="auto"/>
          <w:vertAlign w:val="superscript"/>
        </w:rPr>
        <w:t>/S/  STEVEN O. VONDRAN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-10160</wp:posOffset>
            </wp:positionV>
            <wp:extent cx="24796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1">
                      <a:extLst>
                        <a:ext uri="{28A0092B-C50C-407E-A947-70E740481C1C}"/>
                      </a:extLst>
                    </a:blip>
                    <a:srcRect/>
                    <a:stretch>
                      <a:fillRect/>
                    </a:stretch>
                  </pic:blipFill>
                  <pic:spPr bwMode="auto">
                    <a:xfrm>
                      <a:off x="0" y="0"/>
                      <a:ext cx="2479675" cy="8255"/>
                    </a:xfrm>
                    <a:prstGeom prst="rect">
                      <a:avLst/>
                    </a:prstGeom>
                    <a:noFill/>
                  </pic:spPr>
                </pic:pic>
              </a:graphicData>
            </a:graphic>
          </wp:anchor>
        </w:drawing>
      </w:r>
    </w:p>
    <w:p>
      <w:pPr>
        <w:jc w:val="center"/>
        <w:ind w:left="7800"/>
        <w:spacing w:after="0"/>
        <w:rPr>
          <w:sz w:val="20"/>
          <w:szCs w:val="20"/>
          <w:color w:val="auto"/>
        </w:rPr>
      </w:pPr>
      <w:r>
        <w:rPr>
          <w:rFonts w:ascii="Times New Roman" w:cs="Times New Roman" w:eastAsia="Times New Roman" w:hAnsi="Times New Roman"/>
          <w:sz w:val="18"/>
          <w:szCs w:val="18"/>
          <w:color w:val="auto"/>
        </w:rPr>
        <w:t>Steven O. Vondran</w:t>
      </w:r>
    </w:p>
    <w:p>
      <w:pPr>
        <w:spacing w:after="0" w:line="1"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10" w:lineRule="exact"/>
        <w:rPr>
          <w:sz w:val="20"/>
          <w:szCs w:val="20"/>
          <w:color w:val="auto"/>
        </w:rPr>
      </w:pPr>
    </w:p>
    <w:p>
      <w:pPr>
        <w:ind w:left="440"/>
        <w:spacing w:after="0"/>
        <w:tabs>
          <w:tab w:leader="none" w:pos="6920" w:val="left"/>
          <w:tab w:leader="none" w:pos="8540" w:val="left"/>
          <w:tab w:leader="none" w:pos="892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35"/>
          <w:szCs w:val="35"/>
          <w:color w:val="auto"/>
          <w:vertAlign w:val="superscript"/>
        </w:rPr>
        <w:t>/S/</w:t>
      </w:r>
      <w:r>
        <w:rPr>
          <w:sz w:val="20"/>
          <w:szCs w:val="20"/>
          <w:color w:val="auto"/>
        </w:rPr>
        <w:tab/>
      </w:r>
      <w:r>
        <w:rPr>
          <w:rFonts w:ascii="Times New Roman" w:cs="Times New Roman" w:eastAsia="Times New Roman" w:hAnsi="Times New Roman"/>
          <w:sz w:val="26"/>
          <w:szCs w:val="26"/>
          <w:color w:val="auto"/>
          <w:vertAlign w:val="superscript"/>
        </w:rPr>
        <w:t>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-17145</wp:posOffset>
            </wp:positionV>
            <wp:extent cx="24796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2">
                      <a:extLst>
                        <a:ext uri="{28A0092B-C50C-407E-A947-70E740481C1C}"/>
                      </a:extLst>
                    </a:blip>
                    <a:srcRect/>
                    <a:stretch>
                      <a:fillRect/>
                    </a:stretch>
                  </pic:blipFill>
                  <pic:spPr bwMode="auto">
                    <a:xfrm>
                      <a:off x="0" y="0"/>
                      <a:ext cx="2479675" cy="8255"/>
                    </a:xfrm>
                    <a:prstGeom prst="rect">
                      <a:avLst/>
                    </a:prstGeom>
                    <a:noFill/>
                  </pic:spPr>
                </pic:pic>
              </a:graphicData>
            </a:graphic>
          </wp:anchor>
        </w:drawing>
      </w:r>
    </w:p>
    <w:p>
      <w:pPr>
        <w:ind w:left="8900"/>
        <w:spacing w:after="0"/>
        <w:rPr>
          <w:sz w:val="20"/>
          <w:szCs w:val="20"/>
          <w:color w:val="auto"/>
        </w:rPr>
      </w:pPr>
      <w:r>
        <w:rPr>
          <w:rFonts w:ascii="Times New Roman" w:cs="Times New Roman" w:eastAsia="Times New Roman" w:hAnsi="Times New Roman"/>
          <w:sz w:val="18"/>
          <w:szCs w:val="18"/>
          <w:color w:val="auto"/>
        </w:rPr>
        <w:t>Rodney M. Smith</w:t>
      </w:r>
    </w:p>
    <w:p>
      <w:pPr>
        <w:jc w:val="right"/>
        <w:spacing w:after="0" w:line="218" w:lineRule="auto"/>
        <w:rPr>
          <w:sz w:val="20"/>
          <w:szCs w:val="20"/>
          <w:color w:val="auto"/>
        </w:rPr>
      </w:pPr>
      <w:r>
        <w:rPr>
          <w:rFonts w:ascii="Times New Roman" w:cs="Times New Roman" w:eastAsia="Times New Roman" w:hAnsi="Times New Roman"/>
          <w:sz w:val="18"/>
          <w:szCs w:val="18"/>
          <w:color w:val="auto"/>
        </w:rPr>
        <w:t>Executive Vice President, Chief Financial Officer an</w:t>
      </w:r>
    </w:p>
    <w:p>
      <w:pPr>
        <w:ind w:left="9200"/>
        <w:spacing w:after="0"/>
        <w:rPr>
          <w:sz w:val="20"/>
          <w:szCs w:val="20"/>
          <w:color w:val="auto"/>
        </w:rPr>
      </w:pPr>
      <w:r>
        <w:rPr>
          <w:rFonts w:ascii="Times New Roman" w:cs="Times New Roman" w:eastAsia="Times New Roman" w:hAnsi="Times New Roman"/>
          <w:sz w:val="18"/>
          <w:szCs w:val="18"/>
          <w:color w:val="auto"/>
        </w:rPr>
        <w:t>Treasurer</w:t>
      </w:r>
    </w:p>
    <w:p>
      <w:pPr>
        <w:spacing w:after="0" w:line="287" w:lineRule="exact"/>
        <w:rPr>
          <w:sz w:val="20"/>
          <w:szCs w:val="20"/>
          <w:color w:val="auto"/>
        </w:rPr>
      </w:pPr>
    </w:p>
    <w:p>
      <w:pPr>
        <w:ind w:right="780" w:firstLine="435"/>
        <w:spacing w:after="0" w:line="26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340"/>
          </w:cols>
          <w:pgMar w:left="320" w:top="923" w:right="2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AMERICAN TOWER CORPORATION COMPENSATION RECOVERY POLICY</w:t>
      </w:r>
    </w:p>
    <w:p>
      <w:pPr>
        <w:spacing w:after="0" w:line="217" w:lineRule="exact"/>
        <w:rPr>
          <w:sz w:val="20"/>
          <w:szCs w:val="20"/>
          <w:color w:val="auto"/>
        </w:rPr>
      </w:pPr>
    </w:p>
    <w:p>
      <w:pPr>
        <w:jc w:val="both"/>
        <w:ind w:left="320" w:hanging="318"/>
        <w:spacing w:after="0" w:line="248" w:lineRule="auto"/>
        <w:tabs>
          <w:tab w:leader="none" w:pos="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xml:space="preserve">. This Policy (defined in Section 3) describes the circumstances in which each Executive Officer (defined in Section 3) must repay or return Erroneously Awarded Compensation (defined in Section 3) to members of the Company Group (defined in Section 3) in accordance with the Clawback Rules (defined in Section 3). Each Executive Officer will be required to sign and return to the Company the Acknowledgement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that Executive Officer will acknowledge that they are bound by the terms of this Policy;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Policy will apply to, and be enforceable against, any Executive Officer and their successors (as specified in Section 11) regardless of whether that Executive Officer (a) properly signs and returns to the Company the Acknowledgement Form or (b) is aware of their status as an Executive Officer. This Policy is designed to comply with the Clawback Rules.</w:t>
      </w:r>
    </w:p>
    <w:p>
      <w:pPr>
        <w:spacing w:after="0" w:line="189" w:lineRule="exact"/>
        <w:rPr>
          <w:rFonts w:ascii="Times New Roman" w:cs="Times New Roman" w:eastAsia="Times New Roman" w:hAnsi="Times New Roman"/>
          <w:sz w:val="18"/>
          <w:szCs w:val="18"/>
          <w:color w:val="auto"/>
        </w:rPr>
      </w:pPr>
    </w:p>
    <w:p>
      <w:pPr>
        <w:jc w:val="both"/>
        <w:ind w:left="320" w:hanging="318"/>
        <w:spacing w:after="0" w:line="289" w:lineRule="auto"/>
        <w:tabs>
          <w:tab w:leader="none" w:pos="32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Administration</w:t>
      </w:r>
      <w:r>
        <w:rPr>
          <w:rFonts w:ascii="Times New Roman" w:cs="Times New Roman" w:eastAsia="Times New Roman" w:hAnsi="Times New Roman"/>
          <w:sz w:val="16"/>
          <w:szCs w:val="16"/>
          <w:color w:val="auto"/>
        </w:rPr>
        <w:t>. Except as specifically set forth herein, this Policy will be administered by the Committee (defined in Section 3) unless the Board determines to administer this Policy itself. Any determinations made by the Board and/or the Committee will be final and binding on all affected individuals and need not be uniform with respect to each individual covered by this Policy. Subject to any limitation under applicable law, the Board and/or the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56" w:lineRule="exact"/>
        <w:rPr>
          <w:rFonts w:ascii="Times New Roman" w:cs="Times New Roman" w:eastAsia="Times New Roman" w:hAnsi="Times New Roman"/>
          <w:sz w:val="16"/>
          <w:szCs w:val="16"/>
          <w:color w:val="auto"/>
        </w:rPr>
      </w:pPr>
    </w:p>
    <w:p>
      <w:pPr>
        <w:ind w:left="320" w:hanging="318"/>
        <w:spacing w:after="0"/>
        <w:tabs>
          <w:tab w:leader="none" w:pos="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Policy, the following capitalized terms shall have the meanings set forth below.</w:t>
      </w:r>
    </w:p>
    <w:p>
      <w:pPr>
        <w:spacing w:after="0" w:line="210" w:lineRule="exact"/>
        <w:rPr>
          <w:rFonts w:ascii="Times New Roman" w:cs="Times New Roman" w:eastAsia="Times New Roman" w:hAnsi="Times New Roman"/>
          <w:sz w:val="18"/>
          <w:szCs w:val="18"/>
          <w:color w:val="auto"/>
        </w:rPr>
      </w:pPr>
    </w:p>
    <w:p>
      <w:pPr>
        <w:jc w:val="both"/>
        <w:ind w:left="960" w:hanging="326"/>
        <w:spacing w:after="0" w:line="296" w:lineRule="auto"/>
        <w:tabs>
          <w:tab w:leader="none" w:pos="957"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Accounting Restatement</w:t>
      </w:r>
      <w:r>
        <w:rPr>
          <w:rFonts w:ascii="Times New Roman" w:cs="Times New Roman" w:eastAsia="Times New Roman" w:hAnsi="Times New Roman"/>
          <w:sz w:val="16"/>
          <w:szCs w:val="16"/>
          <w:color w:val="auto"/>
        </w:rPr>
        <w:t>” shall mean an accounting restatement (i) due to the material noncompliance of the Company with any financial reporting requirement under the securities laws, including (i) any required accounting restatement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spacing w:after="0" w:line="146" w:lineRule="exact"/>
        <w:rPr>
          <w:rFonts w:ascii="Times New Roman" w:cs="Times New Roman" w:eastAsia="Times New Roman" w:hAnsi="Times New Roman"/>
          <w:sz w:val="16"/>
          <w:szCs w:val="16"/>
          <w:color w:val="auto"/>
        </w:rPr>
      </w:pPr>
    </w:p>
    <w:p>
      <w:pPr>
        <w:ind w:left="940" w:hanging="306"/>
        <w:spacing w:after="0"/>
        <w:tabs>
          <w:tab w:leader="none" w:pos="9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14" w:lineRule="exact"/>
        <w:rPr>
          <w:rFonts w:ascii="Times New Roman" w:cs="Times New Roman" w:eastAsia="Times New Roman" w:hAnsi="Times New Roman"/>
          <w:sz w:val="18"/>
          <w:szCs w:val="18"/>
          <w:color w:val="auto"/>
        </w:rPr>
      </w:pPr>
    </w:p>
    <w:p>
      <w:pPr>
        <w:jc w:val="both"/>
        <w:ind w:left="960" w:hanging="326"/>
        <w:spacing w:after="0" w:line="250" w:lineRule="auto"/>
        <w:tabs>
          <w:tab w:leader="none" w:pos="957"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Eligible Incentive Compensation</w:t>
      </w:r>
      <w:r>
        <w:rPr>
          <w:rFonts w:ascii="Times New Roman" w:cs="Times New Roman" w:eastAsia="Times New Roman" w:hAnsi="Times New Roman"/>
          <w:sz w:val="18"/>
          <w:szCs w:val="18"/>
          <w:color w:val="auto"/>
        </w:rPr>
        <w:t>” shall mean,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Group), all Incentive-based Compensation Received by such individual: (i) on or after the Effective Date; (ii) after beginning service as an Executive Officer; (iii) while the Company has a class of securities listed on the NYSE (or any other U.S. national securities exchange or a national securities association); and (iv) during the applicable Clawback Period.</w:t>
      </w:r>
    </w:p>
    <w:p>
      <w:pPr>
        <w:spacing w:after="0" w:line="181" w:lineRule="exact"/>
        <w:rPr>
          <w:rFonts w:ascii="Times New Roman" w:cs="Times New Roman" w:eastAsia="Times New Roman" w:hAnsi="Times New Roman"/>
          <w:sz w:val="18"/>
          <w:szCs w:val="18"/>
          <w:color w:val="auto"/>
        </w:rPr>
      </w:pPr>
    </w:p>
    <w:p>
      <w:pPr>
        <w:jc w:val="both"/>
        <w:ind w:left="960" w:hanging="326"/>
        <w:spacing w:after="0" w:line="259" w:lineRule="auto"/>
        <w:tabs>
          <w:tab w:leader="none" w:pos="95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Period</w:t>
      </w:r>
      <w:r>
        <w:rPr>
          <w:rFonts w:ascii="Times New Roman" w:cs="Times New Roman" w:eastAsia="Times New Roman" w:hAnsi="Times New Roman"/>
          <w:sz w:val="18"/>
          <w:szCs w:val="18"/>
          <w:color w:val="auto"/>
        </w:rPr>
        <w:t>” shall mean, with respect to any Accounting Restatement, the three (3) completed fiscal years of the Company immediately preceding the Restatement Date and any transition period (that results from a change in the Company’s fiscal year) of fewer than nine (9) months within or immediately following those three (3) completed fiscal years.</w:t>
      </w:r>
    </w:p>
    <w:p>
      <w:pPr>
        <w:spacing w:after="0" w:line="173" w:lineRule="exact"/>
        <w:rPr>
          <w:rFonts w:ascii="Times New Roman" w:cs="Times New Roman" w:eastAsia="Times New Roman" w:hAnsi="Times New Roman"/>
          <w:sz w:val="18"/>
          <w:szCs w:val="18"/>
          <w:color w:val="auto"/>
        </w:rPr>
      </w:pPr>
    </w:p>
    <w:p>
      <w:pPr>
        <w:jc w:val="both"/>
        <w:ind w:left="960" w:hanging="326"/>
        <w:spacing w:after="0" w:line="254" w:lineRule="auto"/>
        <w:tabs>
          <w:tab w:leader="none" w:pos="957"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Rules</w:t>
      </w:r>
      <w:r>
        <w:rPr>
          <w:rFonts w:ascii="Times New Roman" w:cs="Times New Roman" w:eastAsia="Times New Roman" w:hAnsi="Times New Roman"/>
          <w:sz w:val="18"/>
          <w:szCs w:val="18"/>
          <w:color w:val="auto"/>
        </w:rPr>
        <w:t>” shall mean Section 10D of the Exchange Act and any applicable rules or standards adopted by the SEC thereunder (including Rule 10D-1 under the Exchange Act), the NYSE (including Section 303A.14 of the NYSE Listed Company Manual) or the rules of any other U.S. national securities exchange or national securities association on which the Company’s securities are listed, in each case as may periodically be in effect.</w:t>
      </w:r>
    </w:p>
    <w:p>
      <w:pPr>
        <w:sectPr>
          <w:pgSz w:w="11900" w:h="16838" w:orient="portrait"/>
          <w:cols w:equalWidth="0" w:num="1">
            <w:col w:w="10920"/>
          </w:cols>
          <w:pgMar w:left="640" w:top="119" w:right="339" w:bottom="1440" w:gutter="0" w:footer="0" w:header="0"/>
        </w:sectPr>
      </w:pPr>
    </w:p>
    <w:bookmarkStart w:id="208" w:name="page209"/>
    <w:bookmarkEnd w:id="208"/>
    <w:p>
      <w:pPr>
        <w:spacing w:after="0" w:line="153" w:lineRule="exact"/>
        <w:rPr>
          <w:sz w:val="20"/>
          <w:szCs w:val="20"/>
          <w:color w:val="auto"/>
        </w:rPr>
      </w:pPr>
    </w:p>
    <w:p>
      <w:pPr>
        <w:ind w:left="326" w:hanging="326"/>
        <w:spacing w:after="0" w:line="273" w:lineRule="auto"/>
        <w:tabs>
          <w:tab w:leader="none" w:pos="31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shall mean the Compensation and Human Capital Committee of the Board, or any other committee designated by the Board to administer the Policy, and in the absence of such a committee, a majority of the independent directors serving on the Board.</w:t>
      </w:r>
    </w:p>
    <w:p>
      <w:pPr>
        <w:spacing w:after="0" w:line="161" w:lineRule="exact"/>
        <w:rPr>
          <w:rFonts w:ascii="Times New Roman" w:cs="Times New Roman" w:eastAsia="Times New Roman" w:hAnsi="Times New Roman"/>
          <w:sz w:val="18"/>
          <w:szCs w:val="18"/>
          <w:color w:val="auto"/>
        </w:rPr>
      </w:pPr>
    </w:p>
    <w:p>
      <w:pPr>
        <w:ind w:left="306" w:hanging="306"/>
        <w:spacing w:after="0"/>
        <w:tabs>
          <w:tab w:leader="none" w:pos="30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American Tower Corporation.</w:t>
      </w:r>
    </w:p>
    <w:p>
      <w:pPr>
        <w:spacing w:after="0" w:line="214" w:lineRule="exact"/>
        <w:rPr>
          <w:rFonts w:ascii="Times New Roman" w:cs="Times New Roman" w:eastAsia="Times New Roman" w:hAnsi="Times New Roman"/>
          <w:sz w:val="18"/>
          <w:szCs w:val="18"/>
          <w:color w:val="auto"/>
        </w:rPr>
      </w:pPr>
    </w:p>
    <w:p>
      <w:pPr>
        <w:ind w:left="306" w:hanging="306"/>
        <w:spacing w:after="0"/>
        <w:tabs>
          <w:tab w:leader="none" w:pos="30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shall mean the Company, together with each of its direct and indirect subsidiaries.</w:t>
      </w:r>
    </w:p>
    <w:p>
      <w:pPr>
        <w:spacing w:after="0" w:line="214" w:lineRule="exact"/>
        <w:rPr>
          <w:rFonts w:ascii="Times New Roman" w:cs="Times New Roman" w:eastAsia="Times New Roman" w:hAnsi="Times New Roman"/>
          <w:sz w:val="18"/>
          <w:szCs w:val="18"/>
          <w:color w:val="auto"/>
        </w:rPr>
      </w:pPr>
    </w:p>
    <w:p>
      <w:pPr>
        <w:ind w:left="326" w:hanging="326"/>
        <w:spacing w:after="0" w:line="273" w:lineRule="auto"/>
        <w:tabs>
          <w:tab w:leader="none" w:pos="32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the effective date of the applicable NYSE listing standard issued pursuant to Rule 10D-1 under the Exchange Act.</w:t>
      </w:r>
    </w:p>
    <w:p>
      <w:pPr>
        <w:spacing w:after="0" w:line="161" w:lineRule="exact"/>
        <w:rPr>
          <w:rFonts w:ascii="Times New Roman" w:cs="Times New Roman" w:eastAsia="Times New Roman" w:hAnsi="Times New Roman"/>
          <w:sz w:val="18"/>
          <w:szCs w:val="18"/>
          <w:color w:val="auto"/>
        </w:rPr>
      </w:pPr>
    </w:p>
    <w:p>
      <w:pPr>
        <w:jc w:val="both"/>
        <w:ind w:left="326" w:hanging="326"/>
        <w:spacing w:after="0" w:line="306" w:lineRule="auto"/>
        <w:tabs>
          <w:tab w:leader="none" w:pos="321"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Erroneously Awarded Compensation</w:t>
      </w:r>
      <w:r>
        <w:rPr>
          <w:rFonts w:ascii="Times New Roman" w:cs="Times New Roman" w:eastAsia="Times New Roman" w:hAnsi="Times New Roman"/>
          <w:sz w:val="16"/>
          <w:szCs w:val="16"/>
          <w:color w:val="auto"/>
        </w:rPr>
        <w:t>” shall mean, with respect to each Executive Officer in connection with an Accounting Restatement, the amount of Clawback Eligible Incentive Compensation that exceeds the amount of Clawback Eligible Incentive Compensation that otherwise would have been Received had it been determined based on the restated amounts, computed without regard to any taxes paid.</w:t>
      </w:r>
    </w:p>
    <w:p>
      <w:pPr>
        <w:spacing w:after="0" w:line="139" w:lineRule="exact"/>
        <w:rPr>
          <w:rFonts w:ascii="Times New Roman" w:cs="Times New Roman" w:eastAsia="Times New Roman" w:hAnsi="Times New Roman"/>
          <w:sz w:val="16"/>
          <w:szCs w:val="16"/>
          <w:color w:val="auto"/>
        </w:rPr>
      </w:pPr>
    </w:p>
    <w:p>
      <w:pPr>
        <w:jc w:val="both"/>
        <w:ind w:left="326" w:hanging="326"/>
        <w:spacing w:after="0" w:line="218" w:lineRule="exact"/>
        <w:tabs>
          <w:tab w:leader="none" w:pos="3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shall mean any individual who is (or was at any time during the applicable Clawback Period) an “officer” of the Company within the meaning of Rule 16a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1(f) under the Exchange Act and an “executive officer” of the Company within the meaning of Rule 3b-7 under the Exchange Act as determined annually by the Board.</w:t>
      </w:r>
    </w:p>
    <w:p>
      <w:pPr>
        <w:spacing w:after="0" w:line="191" w:lineRule="exact"/>
        <w:rPr>
          <w:rFonts w:ascii="Times New Roman" w:cs="Times New Roman" w:eastAsia="Times New Roman" w:hAnsi="Times New Roman"/>
          <w:sz w:val="18"/>
          <w:szCs w:val="18"/>
          <w:color w:val="auto"/>
        </w:rPr>
      </w:pPr>
    </w:p>
    <w:p>
      <w:pPr>
        <w:ind w:left="306" w:hanging="306"/>
        <w:spacing w:after="0"/>
        <w:tabs>
          <w:tab w:leader="none" w:pos="30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214" w:lineRule="exact"/>
        <w:rPr>
          <w:rFonts w:ascii="Times New Roman" w:cs="Times New Roman" w:eastAsia="Times New Roman" w:hAnsi="Times New Roman"/>
          <w:sz w:val="18"/>
          <w:szCs w:val="18"/>
          <w:color w:val="auto"/>
        </w:rPr>
      </w:pPr>
    </w:p>
    <w:p>
      <w:pPr>
        <w:jc w:val="both"/>
        <w:ind w:left="326" w:hanging="326"/>
        <w:spacing w:after="0" w:line="296" w:lineRule="auto"/>
        <w:tabs>
          <w:tab w:leader="none" w:pos="316"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Financial Reporting Measures</w:t>
      </w:r>
      <w:r>
        <w:rPr>
          <w:rFonts w:ascii="Times New Roman" w:cs="Times New Roman" w:eastAsia="Times New Roman" w:hAnsi="Times New Roman"/>
          <w:sz w:val="16"/>
          <w:szCs w:val="16"/>
          <w:color w:val="auto"/>
        </w:rPr>
        <w:t>” shall mean measures that are determined and presented in accordance with the accounting principles used in preparing the Company’s financial statements, and any measures that are derived wholly or in part from such measures. Stock price and total shareholder return shall for purposes of this Policy be considered Financial Reporting Measures. For the avoidance of doubt, a Financial Reporting Measure need not be presented within the Company’s financial statements or included in a filing with the SEC.</w:t>
      </w:r>
    </w:p>
    <w:p>
      <w:pPr>
        <w:spacing w:after="0" w:line="146" w:lineRule="exact"/>
        <w:rPr>
          <w:rFonts w:ascii="Times New Roman" w:cs="Times New Roman" w:eastAsia="Times New Roman" w:hAnsi="Times New Roman"/>
          <w:sz w:val="16"/>
          <w:szCs w:val="16"/>
          <w:color w:val="auto"/>
        </w:rPr>
      </w:pPr>
    </w:p>
    <w:p>
      <w:pPr>
        <w:ind w:left="326" w:hanging="326"/>
        <w:spacing w:after="0" w:line="273" w:lineRule="auto"/>
        <w:tabs>
          <w:tab w:leader="none" w:pos="3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w:t>
      </w:r>
    </w:p>
    <w:p>
      <w:pPr>
        <w:spacing w:after="0" w:line="161" w:lineRule="exact"/>
        <w:rPr>
          <w:rFonts w:ascii="Times New Roman" w:cs="Times New Roman" w:eastAsia="Times New Roman" w:hAnsi="Times New Roman"/>
          <w:sz w:val="18"/>
          <w:szCs w:val="18"/>
          <w:color w:val="auto"/>
        </w:rPr>
      </w:pPr>
    </w:p>
    <w:p>
      <w:pPr>
        <w:jc w:val="both"/>
        <w:ind w:left="326" w:hanging="326"/>
        <w:spacing w:after="0" w:line="247" w:lineRule="auto"/>
        <w:tabs>
          <w:tab w:leader="none" w:pos="3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Impracticable</w:t>
      </w:r>
      <w:r>
        <w:rPr>
          <w:rFonts w:ascii="Times New Roman" w:cs="Times New Roman" w:eastAsia="Times New Roman" w:hAnsi="Times New Roman"/>
          <w:sz w:val="18"/>
          <w:szCs w:val="18"/>
          <w:color w:val="auto"/>
        </w:rPr>
        <w:t>” shall mean, in accordance with the good faith determination of the Committee that either: (i) the direct expenses paid to a third party to assist in enforcing the Policy against an Executive Officer would exceed the amount to be recovered, after the Company has made a reasonable attempt to recover the applicable Erroneously Awarded Compensation, documented such reasonable attempt(s) and provided such documentation to the NYSE (or another U.S. national securities exchange or national securities association on which the Company’s securities are listed); (ii) recovery would violate the Company’s home country law where that law was adopted prior to November 28, 2022, provided that, before concluding that it would be impracticable to recover any amount of Erroneously Awarded Compensation based on violation of home country law, the Company has obtained an opinion of home country counsel, acceptable to the NYSE (or another U.S. national securities exchange or national securities association on which the Company’s securities are listed), that recovery would result in such a violation and a copy of the opinion is provided to the NYSE (or another U.S. national securities exchange or national securities association on which the Company’s securities are listed); or (iii) recovery would likely cause an otherwise tax-qualified retirement plan, under which benefits are broadly available to employees of the Company Group, to fail to meet the requirements of 26 U.S.C. 401(a)(13) or 26 U.S.C. 411(a) and regulations thereunder.</w:t>
      </w:r>
    </w:p>
    <w:p>
      <w:pPr>
        <w:sectPr>
          <w:pgSz w:w="11900" w:h="16838" w:orient="portrait"/>
          <w:cols w:equalWidth="0" w:num="1">
            <w:col w:w="10286"/>
          </w:cols>
          <w:pgMar w:left="1274" w:top="1440" w:right="339" w:bottom="1440" w:gutter="0" w:footer="0" w:header="0"/>
        </w:sectPr>
      </w:pPr>
    </w:p>
    <w:bookmarkStart w:id="209" w:name="page210"/>
    <w:bookmarkEnd w:id="209"/>
    <w:p>
      <w:pPr>
        <w:spacing w:after="0" w:line="153" w:lineRule="exact"/>
        <w:rPr>
          <w:sz w:val="20"/>
          <w:szCs w:val="20"/>
          <w:color w:val="auto"/>
        </w:rPr>
      </w:pPr>
    </w:p>
    <w:p>
      <w:pPr>
        <w:jc w:val="both"/>
        <w:ind w:left="958" w:hanging="326"/>
        <w:spacing w:after="0" w:line="251" w:lineRule="auto"/>
        <w:tabs>
          <w:tab w:leader="none" w:pos="95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Method of Recovery</w:t>
      </w:r>
      <w:r>
        <w:rPr>
          <w:rFonts w:ascii="Times New Roman" w:cs="Times New Roman" w:eastAsia="Times New Roman" w:hAnsi="Times New Roman"/>
          <w:sz w:val="18"/>
          <w:szCs w:val="18"/>
          <w:color w:val="auto"/>
        </w:rPr>
        <w:t>” shall include, but is not limited to: (i) requiring reimbursement of Erroneously Awarded Compensation; (ii) seeking recovery of any gain realized on the vesting, exercise, settlement, sale, transfer, or other disposition of any equity-based awards; (iii) offsetting the Erroneously Awarded Compensation from any compensation otherwise owed by the Company to the Executive Officer; (iv) cancelling outstanding vested or unvested equity awards; and (v) taking any other remedial and recovery action permitted by applicable law, as determined by the Committee.</w:t>
      </w:r>
    </w:p>
    <w:p>
      <w:pPr>
        <w:spacing w:after="0" w:line="182" w:lineRule="exact"/>
        <w:rPr>
          <w:rFonts w:ascii="Times New Roman" w:cs="Times New Roman" w:eastAsia="Times New Roman" w:hAnsi="Times New Roman"/>
          <w:sz w:val="18"/>
          <w:szCs w:val="18"/>
          <w:color w:val="auto"/>
        </w:rPr>
      </w:pPr>
    </w:p>
    <w:p>
      <w:pPr>
        <w:ind w:left="938" w:hanging="306"/>
        <w:spacing w:after="0"/>
        <w:tabs>
          <w:tab w:leader="none" w:pos="93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shall mean the New York Stock Exchange.</w:t>
      </w:r>
    </w:p>
    <w:p>
      <w:pPr>
        <w:spacing w:after="0" w:line="214" w:lineRule="exact"/>
        <w:rPr>
          <w:rFonts w:ascii="Times New Roman" w:cs="Times New Roman" w:eastAsia="Times New Roman" w:hAnsi="Times New Roman"/>
          <w:sz w:val="18"/>
          <w:szCs w:val="18"/>
          <w:color w:val="auto"/>
        </w:rPr>
      </w:pPr>
    </w:p>
    <w:p>
      <w:pPr>
        <w:ind w:left="938" w:hanging="306"/>
        <w:spacing w:after="0"/>
        <w:tabs>
          <w:tab w:leader="none" w:pos="93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shall mean this Compensation Recovery Policy, as the same may be periodically amended or restated.</w:t>
      </w:r>
    </w:p>
    <w:p>
      <w:pPr>
        <w:spacing w:after="0" w:line="214" w:lineRule="exact"/>
        <w:rPr>
          <w:rFonts w:ascii="Times New Roman" w:cs="Times New Roman" w:eastAsia="Times New Roman" w:hAnsi="Times New Roman"/>
          <w:sz w:val="18"/>
          <w:szCs w:val="18"/>
          <w:color w:val="auto"/>
        </w:rPr>
      </w:pPr>
    </w:p>
    <w:p>
      <w:pPr>
        <w:jc w:val="both"/>
        <w:ind w:left="958" w:hanging="326"/>
        <w:spacing w:after="0" w:line="250" w:lineRule="auto"/>
        <w:tabs>
          <w:tab w:leader="none" w:pos="94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shall, with respect to any Incentive-based Compensation, mean deemed receipt and 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spacing w:after="0" w:line="181" w:lineRule="exact"/>
        <w:rPr>
          <w:rFonts w:ascii="Times New Roman" w:cs="Times New Roman" w:eastAsia="Times New Roman" w:hAnsi="Times New Roman"/>
          <w:sz w:val="18"/>
          <w:szCs w:val="18"/>
          <w:color w:val="auto"/>
        </w:rPr>
      </w:pPr>
    </w:p>
    <w:p>
      <w:pPr>
        <w:jc w:val="both"/>
        <w:ind w:left="958" w:hanging="326"/>
        <w:spacing w:after="0" w:line="254" w:lineRule="auto"/>
        <w:tabs>
          <w:tab w:leader="none" w:pos="953"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77" w:lineRule="exact"/>
        <w:rPr>
          <w:rFonts w:ascii="Times New Roman" w:cs="Times New Roman" w:eastAsia="Times New Roman" w:hAnsi="Times New Roman"/>
          <w:sz w:val="18"/>
          <w:szCs w:val="18"/>
          <w:color w:val="auto"/>
        </w:rPr>
      </w:pPr>
    </w:p>
    <w:p>
      <w:pPr>
        <w:ind w:left="938" w:hanging="306"/>
        <w:spacing w:after="0"/>
        <w:tabs>
          <w:tab w:leader="none" w:pos="93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U.S. Securities and Exchange Commission.</w:t>
      </w:r>
    </w:p>
    <w:p>
      <w:pPr>
        <w:spacing w:after="0" w:line="218" w:lineRule="exact"/>
        <w:rPr>
          <w:rFonts w:ascii="Times New Roman" w:cs="Times New Roman" w:eastAsia="Times New Roman" w:hAnsi="Times New Roman"/>
          <w:sz w:val="18"/>
          <w:szCs w:val="18"/>
          <w:color w:val="auto"/>
        </w:rPr>
      </w:pPr>
    </w:p>
    <w:p>
      <w:pPr>
        <w:ind w:left="318" w:hanging="318"/>
        <w:spacing w:after="0"/>
        <w:tabs>
          <w:tab w:leader="none" w:pos="31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Erroneously Awarded Compensation</w:t>
      </w:r>
      <w:r>
        <w:rPr>
          <w:rFonts w:ascii="Times New Roman" w:cs="Times New Roman" w:eastAsia="Times New Roman" w:hAnsi="Times New Roman"/>
          <w:sz w:val="18"/>
          <w:szCs w:val="18"/>
          <w:color w:val="auto"/>
        </w:rPr>
        <w:t>.</w:t>
      </w:r>
    </w:p>
    <w:p>
      <w:pPr>
        <w:spacing w:after="0" w:line="214" w:lineRule="exact"/>
        <w:rPr>
          <w:rFonts w:ascii="Times New Roman" w:cs="Times New Roman" w:eastAsia="Times New Roman" w:hAnsi="Times New Roman"/>
          <w:sz w:val="18"/>
          <w:szCs w:val="18"/>
          <w:color w:val="auto"/>
        </w:rPr>
      </w:pPr>
    </w:p>
    <w:p>
      <w:pPr>
        <w:jc w:val="both"/>
        <w:ind w:left="958" w:hanging="326"/>
        <w:spacing w:after="0" w:line="280" w:lineRule="auto"/>
        <w:tabs>
          <w:tab w:leader="none" w:pos="956"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Company is required to prepare an Accounting Restatement, the Committee shall reasonably promptly (in accordance with the applicable Clawback Rules) determine the amount of any Erroneously Awarded Compensation for each Executive Officer in connection with such Accounting Restatement and shall reasonably promptly thereafter provide each Executive Officer with written notice containing the amount of Erroneously Awarded Compensation and a demand for repayment or return, as applicable. For Clawback Eligible Incentive Compensation based on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Clawback Eligible Incentive Compensation was Received (in which case, the Company shall maintain documentation of such determination of that reasonable estimate and provide such documentation to the NYSE (or another U.S. national securities exchange or national securities association on which the Company’s securities are listed)). The Committee is authorized to engage, on behalf of the Company, any third-party advisors it deems advisable in order to perform any calculations contemplated by this Policy. For the avoidance of doubt, recovery under this Policy with respect to an Executive Officer shall not require the finding of any misconduct by such Executive Officer or such Executive Officer being found responsible for the accounting error leading to an Accounting Restatement.</w:t>
      </w:r>
    </w:p>
    <w:p>
      <w:pPr>
        <w:spacing w:after="0" w:line="375" w:lineRule="exact"/>
        <w:rPr>
          <w:rFonts w:ascii="Times New Roman" w:cs="Times New Roman" w:eastAsia="Times New Roman" w:hAnsi="Times New Roman"/>
          <w:sz w:val="16"/>
          <w:szCs w:val="16"/>
          <w:color w:val="auto"/>
        </w:rPr>
      </w:pPr>
    </w:p>
    <w:p>
      <w:pPr>
        <w:ind w:left="958" w:hanging="326"/>
        <w:spacing w:after="0" w:line="269" w:lineRule="auto"/>
        <w:tabs>
          <w:tab w:leader="none" w:pos="95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repayment of Erroneously Awarded Compensation is owed to the Company, the Committee shall, or shall cause one or more other members of the Company Group to, recover</w:t>
      </w:r>
    </w:p>
    <w:p>
      <w:pPr>
        <w:sectPr>
          <w:pgSz w:w="11900" w:h="16838" w:orient="portrait"/>
          <w:cols w:equalWidth="0" w:num="1">
            <w:col w:w="10918"/>
          </w:cols>
          <w:pgMar w:left="642" w:top="1440" w:right="339" w:bottom="1440" w:gutter="0" w:footer="0" w:header="0"/>
        </w:sectPr>
      </w:pPr>
    </w:p>
    <w:bookmarkStart w:id="210" w:name="page211"/>
    <w:bookmarkEnd w:id="210"/>
    <w:p>
      <w:pPr>
        <w:spacing w:after="0" w:line="157" w:lineRule="exact"/>
        <w:rPr>
          <w:sz w:val="20"/>
          <w:szCs w:val="20"/>
          <w:color w:val="auto"/>
        </w:rPr>
      </w:pPr>
    </w:p>
    <w:p>
      <w:pPr>
        <w:jc w:val="both"/>
        <w:ind w:left="958"/>
        <w:spacing w:after="0" w:line="246" w:lineRule="auto"/>
        <w:rPr>
          <w:sz w:val="20"/>
          <w:szCs w:val="20"/>
          <w:color w:val="auto"/>
        </w:rPr>
      </w:pPr>
      <w:r>
        <w:rPr>
          <w:rFonts w:ascii="Times New Roman" w:cs="Times New Roman" w:eastAsia="Times New Roman" w:hAnsi="Times New Roman"/>
          <w:sz w:val="18"/>
          <w:szCs w:val="18"/>
          <w:color w:val="auto"/>
        </w:rPr>
        <w:t>reasonably promptly the Erroneously Awarded Compensation through any Method of Recovery it deems appropriate through its broad discretion based on all applicable facts and circumstances and taking into account the time value of money and the cost to shareholders of delaying recovery. For the avoidance of doubt, except to the extent permitted pursuant to the Clawback Rules, in no event may the Company Group accept an amount that is less than the amount of Erroneously Awarded Compensation in satisfaction of an Executive Officer’s obligations hereunder. Notwithstanding anything herein to the contrary, the Company shall not be required to take the actions contemplated in this Section 4(b) if the Committee determines in good faith that recovery would be Impracticable. In implementing the actions contemplated in this Section 4(b), the Committee will act in accordance with the listing standards and requirements of the NYSE (or the rules of another U.S. national securities exchange or national securities association on which the Company’s securities are listed) and with the applicable Clawback Rules. Subject to the discretion of the Committee, an applicable Executive Officer may be required to reimburse the Company for any and all expenses reasonably incurred (including legal fees) by the Company in recovering Erroneously Awarded Compensation in accordance with this Section 4(b).</w:t>
      </w:r>
    </w:p>
    <w:p>
      <w:pPr>
        <w:spacing w:after="0" w:line="196" w:lineRule="exact"/>
        <w:rPr>
          <w:sz w:val="20"/>
          <w:szCs w:val="20"/>
          <w:color w:val="auto"/>
        </w:rPr>
      </w:pPr>
    </w:p>
    <w:p>
      <w:pPr>
        <w:ind w:left="318" w:hanging="318"/>
        <w:spacing w:after="0" w:line="269" w:lineRule="auto"/>
        <w:tabs>
          <w:tab w:leader="none" w:pos="3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and Disclosure</w:t>
      </w:r>
      <w:r>
        <w:rPr>
          <w:rFonts w:ascii="Times New Roman" w:cs="Times New Roman" w:eastAsia="Times New Roman" w:hAnsi="Times New Roman"/>
          <w:sz w:val="18"/>
          <w:szCs w:val="18"/>
          <w:color w:val="auto"/>
        </w:rPr>
        <w:t>. The Company shall file all disclosures with respect to this Policy in accordance with the requirements of U.S. federal securities laws, including any disclosure required by applicable SEC rules.</w:t>
      </w:r>
    </w:p>
    <w:p>
      <w:pPr>
        <w:spacing w:after="0" w:line="168" w:lineRule="exact"/>
        <w:rPr>
          <w:rFonts w:ascii="Times New Roman" w:cs="Times New Roman" w:eastAsia="Times New Roman" w:hAnsi="Times New Roman"/>
          <w:sz w:val="18"/>
          <w:szCs w:val="18"/>
          <w:color w:val="auto"/>
        </w:rPr>
      </w:pPr>
    </w:p>
    <w:p>
      <w:pPr>
        <w:jc w:val="both"/>
        <w:ind w:left="318" w:hanging="318"/>
        <w:spacing w:after="0" w:line="248" w:lineRule="auto"/>
        <w:tabs>
          <w:tab w:leader="none" w:pos="3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Prohibition</w:t>
      </w:r>
      <w:r>
        <w:rPr>
          <w:rFonts w:ascii="Times New Roman" w:cs="Times New Roman" w:eastAsia="Times New Roman" w:hAnsi="Times New Roman"/>
          <w:sz w:val="18"/>
          <w:szCs w:val="18"/>
          <w:color w:val="auto"/>
        </w:rPr>
        <w:t>. No member of the Company Group shall be permitted to indemnify any Executive Officer against the loss of any Erroneously Awarded Compensation that is repaid, returned or recovered pursuant to the terms of this Policy and/or pursuant to the Clawback Rules, including any payment or reimbursement for the cost of third-party insurance purchased by any Executive Officer to cover any such loss under this Policy and/or pursuant to the Clawback Rules.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 Any such purported indemnification (whether oral or in writing) shall be null and void.</w:t>
      </w:r>
    </w:p>
    <w:p>
      <w:pPr>
        <w:spacing w:after="0" w:line="189" w:lineRule="exact"/>
        <w:rPr>
          <w:rFonts w:ascii="Times New Roman" w:cs="Times New Roman" w:eastAsia="Times New Roman" w:hAnsi="Times New Roman"/>
          <w:sz w:val="18"/>
          <w:szCs w:val="18"/>
          <w:color w:val="auto"/>
        </w:rPr>
      </w:pPr>
    </w:p>
    <w:p>
      <w:pPr>
        <w:jc w:val="both"/>
        <w:ind w:left="318" w:hanging="318"/>
        <w:spacing w:after="0" w:line="248" w:lineRule="auto"/>
        <w:tabs>
          <w:tab w:leader="none" w:pos="3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Committee is authorized to interpret and construe this Policy and to make all determinations necessary, appropriate, or advisable for the administration of this Policy. It is intended that this Policy be interpreted in a manner that is consistent with the requirements of the Clawback Rules. The terms of this Policy shall also be construed and enforced in such a manner as to comply with applicable law, including the Sarbanes-Oxley Act of 2002, the Dodd-Frank Wall Street Reform and Consumer Protection Act, and any other law or regulation that the Committee determines is applicable. In the event any provision of this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w:t>
      </w:r>
    </w:p>
    <w:p>
      <w:pPr>
        <w:spacing w:after="0" w:line="189" w:lineRule="exact"/>
        <w:rPr>
          <w:rFonts w:ascii="Times New Roman" w:cs="Times New Roman" w:eastAsia="Times New Roman" w:hAnsi="Times New Roman"/>
          <w:sz w:val="18"/>
          <w:szCs w:val="18"/>
          <w:color w:val="auto"/>
        </w:rPr>
      </w:pPr>
    </w:p>
    <w:p>
      <w:pPr>
        <w:ind w:left="318" w:hanging="318"/>
        <w:spacing w:after="0"/>
        <w:tabs>
          <w:tab w:leader="none" w:pos="3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Policy shall be effective as of the Effective Date.</w:t>
      </w:r>
    </w:p>
    <w:p>
      <w:pPr>
        <w:spacing w:after="0" w:line="214" w:lineRule="exact"/>
        <w:rPr>
          <w:rFonts w:ascii="Times New Roman" w:cs="Times New Roman" w:eastAsia="Times New Roman" w:hAnsi="Times New Roman"/>
          <w:sz w:val="18"/>
          <w:szCs w:val="18"/>
          <w:color w:val="auto"/>
        </w:rPr>
      </w:pPr>
    </w:p>
    <w:p>
      <w:pPr>
        <w:jc w:val="both"/>
        <w:ind w:left="318" w:hanging="318"/>
        <w:spacing w:after="0" w:line="247" w:lineRule="auto"/>
        <w:tabs>
          <w:tab w:leader="none" w:pos="3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Termination</w:t>
      </w:r>
      <w:r>
        <w:rPr>
          <w:rFonts w:ascii="Times New Roman" w:cs="Times New Roman" w:eastAsia="Times New Roman" w:hAnsi="Times New Roman"/>
          <w:sz w:val="18"/>
          <w:szCs w:val="18"/>
          <w:color w:val="auto"/>
        </w:rPr>
        <w:t>. The Committee shall review this Policy no less frequently than annually, and may modify or amend this Policy, in whole or in part, from time to time in its discretion and shall amend any or all of the provisions of this Policy as it deems necessary, including as and when it determines that it is legally required by the Clawback Rules or any federal securities law, SEC rule, NYSE rule or the rule of any other U.S.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the Clawback Rules, or any federal securities law, SEC rule, NYSE rule or the rule of any other U.S. national securities exchange or national</w:t>
      </w:r>
    </w:p>
    <w:p>
      <w:pPr>
        <w:sectPr>
          <w:pgSz w:w="11900" w:h="16838" w:orient="portrait"/>
          <w:cols w:equalWidth="0" w:num="1">
            <w:col w:w="10918"/>
          </w:cols>
          <w:pgMar w:left="642" w:top="1440" w:right="339" w:bottom="1440" w:gutter="0" w:footer="0" w:header="0"/>
        </w:sectPr>
      </w:pPr>
    </w:p>
    <w:bookmarkStart w:id="211" w:name="page212"/>
    <w:bookmarkEnd w:id="211"/>
    <w:p>
      <w:pPr>
        <w:spacing w:after="0" w:line="157" w:lineRule="exact"/>
        <w:rPr>
          <w:sz w:val="20"/>
          <w:szCs w:val="20"/>
          <w:color w:val="auto"/>
        </w:rPr>
      </w:pPr>
    </w:p>
    <w:p>
      <w:pPr>
        <w:ind w:left="318"/>
        <w:spacing w:after="0" w:line="269" w:lineRule="auto"/>
        <w:rPr>
          <w:sz w:val="20"/>
          <w:szCs w:val="20"/>
          <w:color w:val="auto"/>
        </w:rPr>
      </w:pPr>
      <w:r>
        <w:rPr>
          <w:rFonts w:ascii="Times New Roman" w:cs="Times New Roman" w:eastAsia="Times New Roman" w:hAnsi="Times New Roman"/>
          <w:sz w:val="18"/>
          <w:szCs w:val="18"/>
          <w:color w:val="auto"/>
        </w:rPr>
        <w:t>securities association on which the Company’s securities are listed. Furthermore, unless otherwise determined by the Committee or as otherwise amended, this Policy shall automatically be deemed amended in a manner necessary to comply with any change in the Clawback Rules.</w:t>
      </w:r>
    </w:p>
    <w:p>
      <w:pPr>
        <w:spacing w:after="0" w:line="168" w:lineRule="exact"/>
        <w:rPr>
          <w:sz w:val="20"/>
          <w:szCs w:val="20"/>
          <w:color w:val="auto"/>
        </w:rPr>
      </w:pPr>
    </w:p>
    <w:p>
      <w:pPr>
        <w:jc w:val="both"/>
        <w:ind w:left="318" w:hanging="318"/>
        <w:spacing w:after="0" w:line="278" w:lineRule="auto"/>
        <w:tabs>
          <w:tab w:leader="none" w:pos="314"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Recoupment Rights; No Additional Payments</w:t>
      </w:r>
      <w:r>
        <w:rPr>
          <w:rFonts w:ascii="Times New Roman" w:cs="Times New Roman" w:eastAsia="Times New Roman" w:hAnsi="Times New Roman"/>
          <w:sz w:val="16"/>
          <w:szCs w:val="16"/>
          <w:color w:val="auto"/>
        </w:rPr>
        <w:t>. The Committee intends that this Policy will be applied to the fullest extent permitted by applicable law. The Committee may require that any employment agreement, equity award agreement, or any other agreement entered into on or after the Effective Date shall, as a condition to the grant of any benefit thereunder, require an Executive Officer to agree to abide by the terms of this Policy. Executive Officers shall be deemed to have accepted continuing employment on terms that include compliance with the Policy, to the extent of its otherwise applicable provisions, and to be contractually bound by its enforcement provisions. Executive Officers who cease employment or service with the Company Group shall continue to be bound by the terms of the Policy with respect to Clawback Eligible Incentive Compensation.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cash-based bonus plan, equity award agreement or similar agreement and any other legal remedies available to the Company Group. To the extent that an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as determined by the Administrator in its sole discretion. Nothing in this Policy precludes the Company from implementing any additional clawback or recoupment policies with respect to Executive Officers or any other service provider to the Company Group. Application of this Policy does not preclude the Company Group from taking any other action to enforce any Executive Officer’s obligations to the Company or the Company Group, including termination of employment or institution of civil or criminal proceedings or any other remedies that may be available to the Company or Company Group with respect to any Executive Officer.</w:t>
      </w:r>
    </w:p>
    <w:p>
      <w:pPr>
        <w:spacing w:after="0" w:line="386" w:lineRule="exact"/>
        <w:rPr>
          <w:rFonts w:ascii="Times New Roman" w:cs="Times New Roman" w:eastAsia="Times New Roman" w:hAnsi="Times New Roman"/>
          <w:sz w:val="16"/>
          <w:szCs w:val="16"/>
          <w:color w:val="auto"/>
        </w:rPr>
      </w:pPr>
    </w:p>
    <w:p>
      <w:pPr>
        <w:ind w:left="318" w:hanging="318"/>
        <w:spacing w:after="0" w:line="269" w:lineRule="auto"/>
        <w:tabs>
          <w:tab w:leader="none" w:pos="30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Policy shall be binding and enforceable against all Executive Officers and their beneficiaries, estates, heirs, executors, administrators or other legal representatives to the extent required by the Clawback Rules or as otherwise determined by the Committee.</w:t>
      </w:r>
    </w:p>
    <w:p>
      <w:pPr>
        <w:sectPr>
          <w:pgSz w:w="11900" w:h="16838" w:orient="portrait"/>
          <w:cols w:equalWidth="0" w:num="1">
            <w:col w:w="10918"/>
          </w:cols>
          <w:pgMar w:left="642" w:top="1440"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TOWER CORPORATION COMPENSATION RECOVERY POLICY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FORM</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By signing below, the undersigned executive officer (the “</w:t>
      </w:r>
      <w:r>
        <w:rPr>
          <w:rFonts w:ascii="Times New Roman" w:cs="Times New Roman" w:eastAsia="Times New Roman" w:hAnsi="Times New Roman"/>
          <w:sz w:val="18"/>
          <w:szCs w:val="18"/>
          <w:b w:val="1"/>
          <w:bCs w:val="1"/>
          <w:i w:val="1"/>
          <w:iCs w:val="1"/>
          <w:u w:val="single" w:color="auto"/>
          <w:color w:val="auto"/>
        </w:rPr>
        <w:t>Executive Officer</w:t>
      </w:r>
      <w:r>
        <w:rPr>
          <w:rFonts w:ascii="Times New Roman" w:cs="Times New Roman" w:eastAsia="Times New Roman" w:hAnsi="Times New Roman"/>
          <w:sz w:val="18"/>
          <w:szCs w:val="18"/>
          <w:color w:val="auto"/>
        </w:rPr>
        <w:t>”) acknowledges and confirms receipt and review of the American Tower Corporation Compensation Recovery Policy (the “</w:t>
      </w:r>
      <w:r>
        <w:rPr>
          <w:rFonts w:ascii="Times New Roman" w:cs="Times New Roman" w:eastAsia="Times New Roman" w:hAnsi="Times New Roman"/>
          <w:sz w:val="18"/>
          <w:szCs w:val="18"/>
          <w:b w:val="1"/>
          <w:bCs w:val="1"/>
          <w:i w:val="1"/>
          <w:iCs w:val="1"/>
          <w:u w:val="single" w:color="auto"/>
          <w:color w:val="auto"/>
        </w:rPr>
        <w:t>Policy</w:t>
      </w:r>
      <w:r>
        <w:rPr>
          <w:rFonts w:ascii="Times New Roman" w:cs="Times New Roman" w:eastAsia="Times New Roman" w:hAnsi="Times New Roman"/>
          <w:sz w:val="18"/>
          <w:szCs w:val="18"/>
          <w:color w:val="auto"/>
        </w:rPr>
        <w:t>”). Capitalized terms used but not otherwise defined in this Acknowledgement Form (this “</w:t>
      </w:r>
      <w:r>
        <w:rPr>
          <w:rFonts w:ascii="Times New Roman" w:cs="Times New Roman" w:eastAsia="Times New Roman" w:hAnsi="Times New Roman"/>
          <w:sz w:val="18"/>
          <w:szCs w:val="18"/>
          <w:b w:val="1"/>
          <w:bCs w:val="1"/>
          <w:i w:val="1"/>
          <w:iCs w:val="1"/>
          <w:u w:val="single" w:color="auto"/>
          <w:color w:val="auto"/>
        </w:rPr>
        <w:t>Acknowledgement Form</w:t>
      </w:r>
      <w:r>
        <w:rPr>
          <w:rFonts w:ascii="Times New Roman" w:cs="Times New Roman" w:eastAsia="Times New Roman" w:hAnsi="Times New Roman"/>
          <w:sz w:val="18"/>
          <w:szCs w:val="18"/>
          <w:color w:val="auto"/>
        </w:rPr>
        <w:t>”) shall have the meanings ascribed to such terms in the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this Acknowledgement Form, the Executive Officer acknowledges and agrees as follows:</w:t>
      </w:r>
    </w:p>
    <w:p>
      <w:pPr>
        <w:spacing w:after="0" w:line="215" w:lineRule="exact"/>
        <w:rPr>
          <w:sz w:val="20"/>
          <w:szCs w:val="20"/>
          <w:color w:val="auto"/>
        </w:rPr>
      </w:pPr>
    </w:p>
    <w:p>
      <w:pPr>
        <w:ind w:left="1280" w:hanging="492"/>
        <w:spacing w:after="0" w:line="269" w:lineRule="auto"/>
        <w:tabs>
          <w:tab w:leader="none" w:pos="12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 is and will continue to be subject to the Policy and that the Policy will apply both during and after the Executive Officer’s employment with the Company Group;</w:t>
      </w:r>
    </w:p>
    <w:p>
      <w:pPr>
        <w:spacing w:after="0" w:line="168" w:lineRule="exact"/>
        <w:rPr>
          <w:rFonts w:ascii="Times New Roman" w:cs="Times New Roman" w:eastAsia="Times New Roman" w:hAnsi="Times New Roman"/>
          <w:sz w:val="18"/>
          <w:szCs w:val="18"/>
          <w:color w:val="auto"/>
        </w:rPr>
      </w:pPr>
    </w:p>
    <w:p>
      <w:pPr>
        <w:ind w:left="1280" w:hanging="540"/>
        <w:spacing w:after="0" w:line="269" w:lineRule="auto"/>
        <w:tabs>
          <w:tab w:leader="none" w:pos="12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the Policy, the Policy hereby amends any employment agreement, equity award agreement or similar agreement that the Executive Officer is a party to with the Company Group;</w:t>
      </w:r>
    </w:p>
    <w:p>
      <w:pPr>
        <w:spacing w:after="0" w:line="168" w:lineRule="exact"/>
        <w:rPr>
          <w:rFonts w:ascii="Times New Roman" w:cs="Times New Roman" w:eastAsia="Times New Roman" w:hAnsi="Times New Roman"/>
          <w:sz w:val="18"/>
          <w:szCs w:val="18"/>
          <w:color w:val="auto"/>
        </w:rPr>
      </w:pPr>
    </w:p>
    <w:p>
      <w:pPr>
        <w:ind w:left="1280" w:hanging="589"/>
        <w:spacing w:after="0" w:line="269" w:lineRule="auto"/>
        <w:tabs>
          <w:tab w:leader="none" w:pos="12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 shall abide by the terms of the Policy, including, without limitation, by returning any Erroneously Awarded Compensation to the Company Group to the extent required by, and in a manner permitted by, the Policy;</w:t>
      </w:r>
    </w:p>
    <w:p>
      <w:pPr>
        <w:spacing w:after="0" w:line="168" w:lineRule="exact"/>
        <w:rPr>
          <w:rFonts w:ascii="Times New Roman" w:cs="Times New Roman" w:eastAsia="Times New Roman" w:hAnsi="Times New Roman"/>
          <w:sz w:val="18"/>
          <w:szCs w:val="18"/>
          <w:color w:val="auto"/>
        </w:rPr>
      </w:pPr>
    </w:p>
    <w:p>
      <w:pPr>
        <w:jc w:val="both"/>
        <w:ind w:left="1280" w:hanging="579"/>
        <w:spacing w:after="0" w:line="303" w:lineRule="auto"/>
        <w:tabs>
          <w:tab w:leader="none" w:pos="128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amounts payable to the Executive Officer, including any Incentive-based Compensation shall be subject to the Policy as may be in effect and modified from time to time in the sole discretion of the Company or as required by applicable law or the requirements of an exchange on which the Company’s shares are listed for trading, and that such modification will be deemed to amend this acknowledgment;</w:t>
      </w:r>
    </w:p>
    <w:p>
      <w:pPr>
        <w:spacing w:after="0" w:line="146" w:lineRule="exact"/>
        <w:rPr>
          <w:rFonts w:ascii="Times New Roman" w:cs="Times New Roman" w:eastAsia="Times New Roman" w:hAnsi="Times New Roman"/>
          <w:sz w:val="16"/>
          <w:szCs w:val="16"/>
          <w:color w:val="auto"/>
        </w:rPr>
      </w:pPr>
    </w:p>
    <w:p>
      <w:pPr>
        <w:jc w:val="both"/>
        <w:ind w:left="1280" w:hanging="531"/>
        <w:spacing w:after="0" w:line="256" w:lineRule="auto"/>
        <w:tabs>
          <w:tab w:leader="none" w:pos="12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may recover compensation paid to the Executive Officer through any Method of Recovery the Committee deems appropriate, and the Executive Officer agrees to comply with any request or demand for repayment by the Company Group in order to comply with the Policy; and</w:t>
      </w:r>
    </w:p>
    <w:p>
      <w:pPr>
        <w:spacing w:after="0" w:line="180" w:lineRule="exact"/>
        <w:rPr>
          <w:rFonts w:ascii="Times New Roman" w:cs="Times New Roman" w:eastAsia="Times New Roman" w:hAnsi="Times New Roman"/>
          <w:sz w:val="18"/>
          <w:szCs w:val="18"/>
          <w:color w:val="auto"/>
        </w:rPr>
      </w:pPr>
    </w:p>
    <w:p>
      <w:pPr>
        <w:jc w:val="both"/>
        <w:ind w:left="1280" w:hanging="579"/>
        <w:spacing w:after="0" w:line="303" w:lineRule="auto"/>
        <w:tabs>
          <w:tab w:leader="none" w:pos="128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Group may, to the greatest extent permitted by applicable law, reduce any amount that may become payable to the Executive Officer by any amount to be recovered by the Company Group pursuant to the Policy to the extent such amount has not been returned by the Executive Officer to the Company Group prior to the date that any subsequent amount becomes payable to the Executive Officer.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 – Signature Page Follows**</w:t>
      </w:r>
    </w:p>
    <w:p>
      <w:pPr>
        <w:sectPr>
          <w:pgSz w:w="11900" w:h="16838" w:orient="portrait"/>
          <w:cols w:equalWidth="0" w:num="1">
            <w:col w:w="11240"/>
          </w:cols>
          <w:pgMar w:left="320" w:top="1372" w:right="339" w:bottom="1440" w:gutter="0" w:footer="0" w:header="0"/>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_______________________</w:t>
      </w:r>
    </w:p>
    <w:p>
      <w:pPr>
        <w:spacing w:after="0" w:line="13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_______________________</w:t>
      </w:r>
    </w:p>
    <w:p>
      <w:pPr>
        <w:spacing w:after="0" w:line="132"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ectPr>
          <w:pgSz w:w="11900" w:h="16838" w:orient="portrait"/>
          <w:cols w:equalWidth="0" w:num="2">
            <w:col w:w="7200" w:space="720"/>
            <w:col w:w="1099"/>
          </w:cols>
          <w:pgMar w:left="1440" w:top="1440" w:right="1440"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American Tower Corporation Compensation Recovery Policy Acknowledgement Form</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1)"/>
      <w:numFmt w:val="decimal"/>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1)"/>
      <w:numFmt w:val="decimal"/>
      <w:start w:val="1"/>
    </w:lvl>
  </w:abstractNum>
  <w:abstractNum w:abstractNumId="15">
    <w:nsid w:val="57FC4FBB"/>
    <w:multiLevelType w:val="hybridMultilevel"/>
    <w:lvl w:ilvl="0">
      <w:lvlJc w:val="left"/>
      <w:lvlText w:val="(%1)"/>
      <w:numFmt w:val="decimal"/>
      <w:start w:val="1"/>
    </w:lvl>
  </w:abstractNum>
  <w:abstractNum w:abstractNumId="16">
    <w:nsid w:val="CC1016F"/>
    <w:multiLevelType w:val="hybridMultilevel"/>
    <w:lvl w:ilvl="0">
      <w:lvlJc w:val="left"/>
      <w:lvlText w:val="(%1)"/>
      <w:numFmt w:val="decimal"/>
      <w:start w:val="1"/>
    </w:lvl>
  </w:abstractNum>
  <w:abstractNum w:abstractNumId="17">
    <w:nsid w:val="43F18422"/>
    <w:multiLevelType w:val="hybridMultilevel"/>
    <w:lvl w:ilvl="0">
      <w:lvlJc w:val="left"/>
      <w:lvlText w:val="•"/>
      <w:numFmt w:val="bullet"/>
      <w:start w:val="1"/>
    </w:lvl>
    <w:lvl w:ilvl="1">
      <w:lvlJc w:val="left"/>
      <w:lvlText w:val="•"/>
      <w:numFmt w:val="bullet"/>
      <w:start w:val="1"/>
    </w:lvl>
  </w:abstractNum>
  <w:abstractNum w:abstractNumId="18">
    <w:nsid w:val="60EF0119"/>
    <w:multiLevelType w:val="hybridMultilevel"/>
    <w:lvl w:ilvl="0">
      <w:lvlJc w:val="left"/>
      <w:lvlText w:val="•"/>
      <w:numFmt w:val="bullet"/>
      <w:start w:val="1"/>
    </w:lvl>
  </w:abstractNum>
  <w:abstractNum w:abstractNumId="19">
    <w:nsid w:val="26F324BA"/>
    <w:multiLevelType w:val="hybridMultilevel"/>
    <w:lvl w:ilvl="0">
      <w:lvlJc w:val="left"/>
      <w:lvlText w:val="•"/>
      <w:numFmt w:val="bullet"/>
      <w:start w:val="1"/>
    </w:lvl>
  </w:abstractNum>
  <w:abstractNum w:abstractNumId="20">
    <w:nsid w:val="7F01579B"/>
    <w:multiLevelType w:val="hybridMultilevel"/>
    <w:lvl w:ilvl="0">
      <w:lvlJc w:val="left"/>
      <w:lvlText w:val="(%1)"/>
      <w:numFmt w:val="decimal"/>
      <w:start w:val="1"/>
    </w:lvl>
  </w:abstractNum>
  <w:abstractNum w:abstractNumId="21">
    <w:nsid w:val="49DA307D"/>
    <w:multiLevelType w:val="hybridMultilevel"/>
    <w:lvl w:ilvl="0">
      <w:lvlJc w:val="left"/>
      <w:lvlText w:val="(%1)"/>
      <w:numFmt w:val="lowerRoman"/>
      <w:start w:val="6"/>
    </w:lvl>
  </w:abstractNum>
  <w:abstractNum w:abstractNumId="22">
    <w:nsid w:val="7055A5F5"/>
    <w:multiLevelType w:val="hybridMultilevel"/>
    <w:lvl w:ilvl="0">
      <w:lvlJc w:val="left"/>
      <w:lvlText w:val="(%1)"/>
      <w:numFmt w:val="decimal"/>
      <w:start w:val="5"/>
    </w:lvl>
  </w:abstractNum>
  <w:abstractNum w:abstractNumId="23">
    <w:nsid w:val="5FB8370B"/>
    <w:multiLevelType w:val="hybridMultilevel"/>
    <w:lvl w:ilvl="0">
      <w:lvlJc w:val="left"/>
      <w:lvlText w:val="•"/>
      <w:numFmt w:val="bullet"/>
      <w:start w:val="1"/>
    </w:lvl>
    <w:lvl w:ilvl="1">
      <w:lvlJc w:val="left"/>
      <w:lvlText w:val="◦"/>
      <w:numFmt w:val="bullet"/>
      <w:start w:val="1"/>
    </w:lvl>
  </w:abstractNum>
  <w:abstractNum w:abstractNumId="24">
    <w:nsid w:val="50801EE1"/>
    <w:multiLevelType w:val="hybridMultilevel"/>
    <w:lvl w:ilvl="0">
      <w:lvlJc w:val="left"/>
      <w:lvlText w:val="•"/>
      <w:numFmt w:val="bullet"/>
      <w:start w:val="1"/>
    </w:lvl>
    <w:lvl w:ilvl="1">
      <w:lvlJc w:val="left"/>
      <w:lvlText w:val="◦"/>
      <w:numFmt w:val="bullet"/>
      <w:start w:val="1"/>
    </w:lvl>
  </w:abstractNum>
  <w:abstractNum w:abstractNumId="25">
    <w:nsid w:val="488AC1A"/>
    <w:multiLevelType w:val="hybridMultilevel"/>
    <w:lvl w:ilvl="0">
      <w:lvlJc w:val="left"/>
      <w:lvlText w:val="•"/>
      <w:numFmt w:val="bullet"/>
      <w:start w:val="1"/>
    </w:lvl>
    <w:lvl w:ilvl="1">
      <w:lvlJc w:val="left"/>
      <w:lvlText w:val="◦"/>
      <w:numFmt w:val="bullet"/>
      <w:start w:val="1"/>
    </w:lvl>
  </w:abstractNum>
  <w:abstractNum w:abstractNumId="26">
    <w:nsid w:val="5FB8011C"/>
    <w:multiLevelType w:val="hybridMultilevel"/>
    <w:lvl w:ilvl="0">
      <w:lvlJc w:val="left"/>
      <w:lvlText w:val="•"/>
      <w:numFmt w:val="bullet"/>
      <w:start w:val="1"/>
    </w:lvl>
    <w:lvl w:ilvl="1">
      <w:lvlJc w:val="left"/>
      <w:lvlText w:val="◦"/>
      <w:numFmt w:val="bullet"/>
      <w:start w:val="1"/>
    </w:lvl>
  </w:abstractNum>
  <w:abstractNum w:abstractNumId="27">
    <w:nsid w:val="6AA78F7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7672BD23"/>
    <w:multiLevelType w:val="hybridMultilevel"/>
    <w:lvl w:ilvl="0">
      <w:lvlJc w:val="left"/>
      <w:lvlText w:val="•"/>
      <w:numFmt w:val="bullet"/>
      <w:start w:val="1"/>
    </w:lvl>
  </w:abstractNum>
  <w:abstractNum w:abstractNumId="29">
    <w:nsid w:val="6FC75AF8"/>
    <w:multiLevelType w:val="hybridMultilevel"/>
    <w:lvl w:ilvl="0">
      <w:lvlJc w:val="left"/>
      <w:lvlText w:val="•"/>
      <w:numFmt w:val="bullet"/>
      <w:start w:val="1"/>
    </w:lvl>
  </w:abstractNum>
  <w:abstractNum w:abstractNumId="30">
    <w:nsid w:val="6A5F7029"/>
    <w:multiLevelType w:val="hybridMultilevel"/>
    <w:lvl w:ilvl="0">
      <w:lvlJc w:val="left"/>
      <w:lvlText w:val="•"/>
      <w:numFmt w:val="bullet"/>
      <w:start w:val="1"/>
    </w:lvl>
  </w:abstractNum>
  <w:abstractNum w:abstractNumId="31">
    <w:nsid w:val="7D5E18F8"/>
    <w:multiLevelType w:val="hybridMultilevel"/>
    <w:lvl w:ilvl="0">
      <w:lvlJc w:val="left"/>
      <w:lvlText w:val="•"/>
      <w:numFmt w:val="bullet"/>
      <w:start w:val="1"/>
    </w:lvl>
  </w:abstractNum>
  <w:abstractNum w:abstractNumId="32">
    <w:nsid w:val="5F3534A4"/>
    <w:multiLevelType w:val="hybridMultilevel"/>
    <w:lvl w:ilvl="0">
      <w:lvlJc w:val="left"/>
      <w:lvlText w:val="•"/>
      <w:numFmt w:val="bullet"/>
      <w:start w:val="1"/>
    </w:lvl>
  </w:abstractNum>
  <w:abstractNum w:abstractNumId="33">
    <w:nsid w:val="73A1821B"/>
    <w:multiLevelType w:val="hybridMultilevel"/>
    <w:lvl w:ilvl="0">
      <w:lvlJc w:val="left"/>
      <w:lvlText w:val="•"/>
      <w:numFmt w:val="bullet"/>
      <w:start w:val="1"/>
    </w:lvl>
  </w:abstractNum>
  <w:abstractNum w:abstractNumId="34">
    <w:nsid w:val="7DE67713"/>
    <w:multiLevelType w:val="hybridMultilevel"/>
    <w:lvl w:ilvl="0">
      <w:lvlJc w:val="left"/>
      <w:lvlText w:val="(%1)"/>
      <w:numFmt w:val="decimal"/>
      <w:start w:val="1"/>
    </w:lvl>
  </w:abstractNum>
  <w:abstractNum w:abstractNumId="35">
    <w:nsid w:val="555C55B5"/>
    <w:multiLevelType w:val="hybridMultilevel"/>
    <w:lvl w:ilvl="0">
      <w:lvlJc w:val="left"/>
      <w:lvlText w:val="(%1)"/>
      <w:numFmt w:val="decimal"/>
      <w:start w:val="3"/>
    </w:lvl>
  </w:abstractNum>
  <w:abstractNum w:abstractNumId="36">
    <w:nsid w:val="3FA62ACA"/>
    <w:multiLevelType w:val="hybridMultilevel"/>
    <w:lvl w:ilvl="0">
      <w:lvlJc w:val="left"/>
      <w:lvlText w:val="(%1)"/>
      <w:numFmt w:val="decimal"/>
      <w:start w:val="1"/>
    </w:lvl>
  </w:abstractNum>
  <w:abstractNum w:abstractNumId="37">
    <w:nsid w:val="14FCE74E"/>
    <w:multiLevelType w:val="hybridMultilevel"/>
    <w:lvl w:ilvl="0">
      <w:lvlJc w:val="left"/>
      <w:lvlText w:val="(%1)"/>
      <w:numFmt w:val="decimal"/>
      <w:start w:val="1"/>
    </w:lvl>
  </w:abstractNum>
  <w:abstractNum w:abstractNumId="38">
    <w:nsid w:val="6A3DD3E8"/>
    <w:multiLevelType w:val="hybridMultilevel"/>
    <w:lvl w:ilvl="0">
      <w:lvlJc w:val="left"/>
      <w:lvlText w:val="•"/>
      <w:numFmt w:val="bullet"/>
      <w:start w:val="1"/>
    </w:lvl>
  </w:abstractNum>
  <w:abstractNum w:abstractNumId="39">
    <w:nsid w:val="71C91298"/>
    <w:multiLevelType w:val="hybridMultilevel"/>
    <w:lvl w:ilvl="0">
      <w:lvlJc w:val="left"/>
      <w:lvlText w:val="•"/>
      <w:numFmt w:val="bullet"/>
      <w:start w:val="1"/>
    </w:lvl>
    <w:lvl w:ilvl="1">
      <w:lvlJc w:val="left"/>
      <w:lvlText w:val="◦"/>
      <w:numFmt w:val="bullet"/>
      <w:start w:val="1"/>
    </w:lvl>
  </w:abstractNum>
  <w:abstractNum w:abstractNumId="40">
    <w:nsid w:val="9DAF632"/>
    <w:multiLevelType w:val="hybridMultilevel"/>
    <w:lvl w:ilvl="0">
      <w:lvlJc w:val="left"/>
      <w:lvlText w:val="•"/>
      <w:numFmt w:val="bullet"/>
      <w:start w:val="1"/>
    </w:lvl>
  </w:abstractNum>
  <w:abstractNum w:abstractNumId="41">
    <w:nsid w:val="53299938"/>
    <w:multiLevelType w:val="hybridMultilevel"/>
    <w:lvl w:ilvl="0">
      <w:lvlJc w:val="left"/>
      <w:lvlText w:val="(%1)"/>
      <w:numFmt w:val="decimal"/>
      <w:start w:val="1"/>
    </w:lvl>
  </w:abstractNum>
  <w:abstractNum w:abstractNumId="42">
    <w:nsid w:val="1FBFE8E0"/>
    <w:multiLevelType w:val="hybridMultilevel"/>
    <w:lvl w:ilvl="0">
      <w:lvlJc w:val="left"/>
      <w:lvlText w:val="(%1)"/>
      <w:numFmt w:val="decimal"/>
      <w:start w:val="1"/>
    </w:lvl>
  </w:abstractNum>
  <w:abstractNum w:abstractNumId="43">
    <w:nsid w:val="5092CA79"/>
    <w:multiLevelType w:val="hybridMultilevel"/>
    <w:lvl w:ilvl="0">
      <w:lvlJc w:val="left"/>
      <w:lvlText w:val="(%1)"/>
      <w:numFmt w:val="decimal"/>
      <w:start w:val="1"/>
    </w:lvl>
  </w:abstractNum>
  <w:abstractNum w:abstractNumId="44">
    <w:nsid w:val="1D545C4D"/>
    <w:multiLevelType w:val="hybridMultilevel"/>
    <w:lvl w:ilvl="0">
      <w:lvlJc w:val="left"/>
      <w:lvlText w:val="%1."/>
      <w:numFmt w:val="lowerRoman"/>
      <w:start w:val="1"/>
    </w:lvl>
  </w:abstractNum>
  <w:abstractNum w:abstractNumId="45">
    <w:nsid w:val="59ADEA3D"/>
    <w:multiLevelType w:val="hybridMultilevel"/>
    <w:lvl w:ilvl="0">
      <w:lvlJc w:val="left"/>
      <w:lvlText w:val="(%1)"/>
      <w:numFmt w:val="decimal"/>
      <w:start w:val="1"/>
    </w:lvl>
  </w:abstractNum>
  <w:abstractNum w:abstractNumId="46">
    <w:nsid w:val="288F1A34"/>
    <w:multiLevelType w:val="hybridMultilevel"/>
    <w:lvl w:ilvl="0">
      <w:lvlJc w:val="left"/>
      <w:lvlText w:val="(%1)"/>
      <w:numFmt w:val="decimal"/>
      <w:start w:val="1"/>
    </w:lvl>
  </w:abstractNum>
  <w:abstractNum w:abstractNumId="47">
    <w:nsid w:val="2A155DBC"/>
    <w:multiLevelType w:val="hybridMultilevel"/>
    <w:lvl w:ilvl="0">
      <w:lvlJc w:val="left"/>
      <w:lvlText w:val="(%1)"/>
      <w:numFmt w:val="decimal"/>
      <w:start w:val="1"/>
    </w:lvl>
  </w:abstractNum>
  <w:abstractNum w:abstractNumId="48">
    <w:nsid w:val="1D9F6E5F"/>
    <w:multiLevelType w:val="hybridMultilevel"/>
    <w:lvl w:ilvl="0">
      <w:lvlJc w:val="left"/>
      <w:lvlText w:val="(%1)"/>
      <w:numFmt w:val="decimal"/>
      <w:start w:val="1"/>
    </w:lvl>
  </w:abstractNum>
  <w:abstractNum w:abstractNumId="49">
    <w:nsid w:val="97E1B4E"/>
    <w:multiLevelType w:val="hybridMultilevel"/>
    <w:lvl w:ilvl="0">
      <w:lvlJc w:val="left"/>
      <w:lvlText w:val="•"/>
      <w:numFmt w:val="bullet"/>
      <w:start w:val="1"/>
    </w:lvl>
  </w:abstractNum>
  <w:abstractNum w:abstractNumId="50">
    <w:nsid w:val="51088277"/>
    <w:multiLevelType w:val="hybridMultilevel"/>
    <w:lvl w:ilvl="0">
      <w:lvlJc w:val="left"/>
      <w:lvlText w:val="•"/>
      <w:numFmt w:val="bullet"/>
      <w:start w:val="1"/>
    </w:lvl>
  </w:abstractNum>
  <w:abstractNum w:abstractNumId="51">
    <w:nsid w:val="1CA0C5FA"/>
    <w:multiLevelType w:val="hybridMultilevel"/>
    <w:lvl w:ilvl="0">
      <w:lvlJc w:val="left"/>
      <w:lvlText w:val="(%1)"/>
      <w:numFmt w:val="lowerLetter"/>
      <w:start w:val="1"/>
    </w:lvl>
  </w:abstractNum>
  <w:abstractNum w:abstractNumId="52">
    <w:nsid w:val="53584BCB"/>
    <w:multiLevelType w:val="hybridMultilevel"/>
    <w:lvl w:ilvl="0">
      <w:lvlJc w:val="left"/>
      <w:lvlText w:val="(%1)"/>
      <w:numFmt w:val="lowerLetter"/>
      <w:start w:val="1"/>
    </w:lvl>
    <w:lvl w:ilvl="1">
      <w:lvlJc w:val="left"/>
      <w:lvlText w:val="%2."/>
      <w:numFmt w:val="decimal"/>
      <w:start w:val="1"/>
    </w:lvl>
  </w:abstractNum>
  <w:abstractNum w:abstractNumId="53">
    <w:nsid w:val="415E286C"/>
    <w:multiLevelType w:val="hybridMultilevel"/>
    <w:lvl w:ilvl="0">
      <w:lvlJc w:val="left"/>
      <w:lvlText w:val="(%1)"/>
      <w:numFmt w:val="lowerRoman"/>
      <w:start w:val="3"/>
    </w:lvl>
  </w:abstractNum>
  <w:abstractNum w:abstractNumId="54">
    <w:nsid w:val="7C58FD05"/>
    <w:multiLevelType w:val="hybridMultilevel"/>
    <w:lvl w:ilvl="0">
      <w:lvlJc w:val="left"/>
      <w:lvlText w:val="%1"/>
      <w:numFmt w:val="decimal"/>
      <w:start w:val="32"/>
    </w:lvl>
  </w:abstractNum>
  <w:abstractNum w:abstractNumId="55">
    <w:nsid w:val="23D86AAC"/>
    <w:multiLevelType w:val="hybridMultilevel"/>
    <w:lvl w:ilvl="0">
      <w:lvlJc w:val="left"/>
      <w:lvlText w:val="%1"/>
      <w:numFmt w:val="decimal"/>
      <w:start w:val="97"/>
    </w:lvl>
  </w:abstractNum>
  <w:abstractNum w:abstractNumId="56">
    <w:nsid w:val="45E6D486"/>
    <w:multiLevelType w:val="hybridMultilevel"/>
    <w:lvl w:ilvl="0">
      <w:lvlJc w:val="left"/>
      <w:lvlText w:val="%1"/>
      <w:numFmt w:val="decimal"/>
      <w:start w:val="101"/>
    </w:lvl>
  </w:abstractNum>
  <w:abstractNum w:abstractNumId="57">
    <w:nsid w:val="5C10FE21"/>
    <w:multiLevelType w:val="hybridMultilevel"/>
    <w:lvl w:ilvl="0">
      <w:lvlJc w:val="left"/>
      <w:lvlText w:val="%1"/>
      <w:numFmt w:val="decimal"/>
      <w:start w:val="104"/>
    </w:lvl>
  </w:abstractNum>
  <w:abstractNum w:abstractNumId="58">
    <w:nsid w:val="E7FFA2B"/>
    <w:multiLevelType w:val="hybridMultilevel"/>
    <w:lvl w:ilvl="0">
      <w:lvlJc w:val="left"/>
      <w:lvlText w:val="*"/>
      <w:numFmt w:val="bullet"/>
      <w:start w:val="1"/>
    </w:lvl>
  </w:abstractNum>
  <w:abstractNum w:abstractNumId="59">
    <w:nsid w:val="3C5991AA"/>
    <w:multiLevelType w:val="hybridMultilevel"/>
    <w:lvl w:ilvl="0">
      <w:lvlJc w:val="left"/>
      <w:lvlText w:val="**"/>
      <w:numFmt w:val="bullet"/>
      <w:start w:val="1"/>
    </w:lvl>
  </w:abstractNum>
  <w:abstractNum w:abstractNumId="60">
    <w:nsid w:val="4BD8591A"/>
    <w:multiLevelType w:val="hybridMultilevel"/>
    <w:lvl w:ilvl="0">
      <w:lvlJc w:val="left"/>
      <w:lvlText w:val="(%1)"/>
      <w:numFmt w:val="decimal"/>
      <w:start w:val="1"/>
    </w:lvl>
  </w:abstractNum>
  <w:abstractNum w:abstractNumId="61">
    <w:nsid w:val="78DF6A55"/>
    <w:multiLevelType w:val="hybridMultilevel"/>
    <w:lvl w:ilvl="0">
      <w:lvlJc w:val="left"/>
      <w:lvlText w:val="(%1)"/>
      <w:numFmt w:val="decimal"/>
      <w:start w:val="1"/>
    </w:lvl>
  </w:abstractNum>
  <w:abstractNum w:abstractNumId="62">
    <w:nsid w:val="39B7AAA2"/>
    <w:multiLevelType w:val="hybridMultilevel"/>
    <w:lvl w:ilvl="0">
      <w:lvlJc w:val="left"/>
      <w:lvlText w:val="%1)"/>
      <w:numFmt w:val="decimal"/>
      <w:start w:val="14"/>
    </w:lvl>
  </w:abstractNum>
  <w:abstractNum w:abstractNumId="63">
    <w:nsid w:val="2B0D8DBE"/>
    <w:multiLevelType w:val="hybridMultilevel"/>
    <w:lvl w:ilvl="0">
      <w:lvlJc w:val="left"/>
      <w:lvlText w:val="(%1)"/>
      <w:numFmt w:val="decimal"/>
      <w:start w:val="1"/>
    </w:lvl>
  </w:abstractNum>
  <w:abstractNum w:abstractNumId="64">
    <w:nsid w:val="6C80EC70"/>
    <w:multiLevelType w:val="hybridMultilevel"/>
    <w:lvl w:ilvl="0">
      <w:lvlJc w:val="left"/>
      <w:lvlText w:val="(%1)"/>
      <w:numFmt w:val="decimal"/>
      <w:start w:val="1"/>
    </w:lvl>
  </w:abstractNum>
  <w:abstractNum w:abstractNumId="65">
    <w:nsid w:val="379E21B5"/>
    <w:multiLevelType w:val="hybridMultilevel"/>
    <w:lvl w:ilvl="0">
      <w:lvlJc w:val="left"/>
      <w:lvlText w:val="(%1)"/>
      <w:numFmt w:val="decimal"/>
      <w:start w:val="1"/>
    </w:lvl>
  </w:abstractNum>
  <w:abstractNum w:abstractNumId="66">
    <w:nsid w:val="69E373"/>
    <w:multiLevelType w:val="hybridMultilevel"/>
    <w:lvl w:ilvl="0">
      <w:lvlJc w:val="left"/>
      <w:lvlText w:val="(%1)"/>
      <w:numFmt w:val="decimal"/>
      <w:start w:val="1"/>
    </w:lvl>
  </w:abstractNum>
  <w:abstractNum w:abstractNumId="67">
    <w:nsid w:val="2C27173B"/>
    <w:multiLevelType w:val="hybridMultilevel"/>
    <w:lvl w:ilvl="0">
      <w:lvlJc w:val="left"/>
      <w:lvlText w:val="(%1)"/>
      <w:numFmt w:val="decimal"/>
      <w:start w:val="1"/>
    </w:lvl>
  </w:abstractNum>
  <w:abstractNum w:abstractNumId="68">
    <w:nsid w:val="4C9B0904"/>
    <w:multiLevelType w:val="hybridMultilevel"/>
    <w:lvl w:ilvl="0">
      <w:lvlJc w:val="left"/>
      <w:lvlText w:val="(%1)"/>
      <w:numFmt w:val="decimal"/>
      <w:start w:val="1"/>
    </w:lvl>
  </w:abstractNum>
  <w:abstractNum w:abstractNumId="69">
    <w:nsid w:val="6AA7B75C"/>
    <w:multiLevelType w:val="hybridMultilevel"/>
    <w:lvl w:ilvl="0">
      <w:lvlJc w:val="left"/>
      <w:lvlText w:val="(%1)"/>
      <w:numFmt w:val="decimal"/>
      <w:start w:val="1"/>
    </w:lvl>
  </w:abstractNum>
  <w:abstractNum w:abstractNumId="70">
    <w:nsid w:val="1DF029D3"/>
    <w:multiLevelType w:val="hybridMultilevel"/>
    <w:lvl w:ilvl="0">
      <w:lvlJc w:val="left"/>
      <w:lvlText w:val="%1."/>
      <w:numFmt w:val="lowerRoman"/>
      <w:start w:val="1"/>
    </w:lvl>
  </w:abstractNum>
  <w:abstractNum w:abstractNumId="71">
    <w:nsid w:val="5675FF36"/>
    <w:multiLevelType w:val="hybridMultilevel"/>
    <w:lvl w:ilvl="0">
      <w:lvlJc w:val="left"/>
      <w:lvlText w:val="(%1)"/>
      <w:numFmt w:val="decimal"/>
      <w:start w:val="1"/>
    </w:lvl>
  </w:abstractNum>
  <w:abstractNum w:abstractNumId="72">
    <w:nsid w:val="3DD15094"/>
    <w:multiLevelType w:val="hybridMultilevel"/>
    <w:lvl w:ilvl="0">
      <w:lvlJc w:val="left"/>
      <w:lvlText w:val="(%1)"/>
      <w:numFmt w:val="decimal"/>
      <w:start w:val="1"/>
    </w:lvl>
  </w:abstractNum>
  <w:abstractNum w:abstractNumId="73">
    <w:nsid w:val="3DB012B3"/>
    <w:multiLevelType w:val="hybridMultilevel"/>
    <w:lvl w:ilvl="0">
      <w:lvlJc w:val="left"/>
      <w:lvlText w:val="(%1)"/>
      <w:numFmt w:val="decimal"/>
      <w:start w:val="1"/>
    </w:lvl>
  </w:abstractNum>
  <w:abstractNum w:abstractNumId="74">
    <w:nsid w:val="2708C9AF"/>
    <w:multiLevelType w:val="hybridMultilevel"/>
    <w:lvl w:ilvl="0">
      <w:lvlJc w:val="left"/>
      <w:lvlText w:val="(%1)"/>
      <w:numFmt w:val="decimal"/>
      <w:start w:val="1"/>
    </w:lvl>
  </w:abstractNum>
  <w:abstractNum w:abstractNumId="75">
    <w:nsid w:val="5B25ACE2"/>
    <w:multiLevelType w:val="hybridMultilevel"/>
    <w:lvl w:ilvl="0">
      <w:lvlJc w:val="left"/>
      <w:lvlText w:val="(%1)"/>
      <w:numFmt w:val="decimal"/>
      <w:start w:val="1"/>
    </w:lvl>
  </w:abstractNum>
  <w:abstractNum w:abstractNumId="76">
    <w:nsid w:val="175DFCF0"/>
    <w:multiLevelType w:val="hybridMultilevel"/>
    <w:lvl w:ilvl="0">
      <w:lvlJc w:val="left"/>
      <w:lvlText w:val="(%1)"/>
      <w:numFmt w:val="decimal"/>
      <w:start w:val="1"/>
    </w:lvl>
  </w:abstractNum>
  <w:abstractNum w:abstractNumId="77">
    <w:nsid w:val="4F97E3E4"/>
    <w:multiLevelType w:val="hybridMultilevel"/>
    <w:lvl w:ilvl="0">
      <w:lvlJc w:val="left"/>
      <w:lvlText w:val="(%1)"/>
      <w:numFmt w:val="decimal"/>
      <w:start w:val="1"/>
    </w:lvl>
  </w:abstractNum>
  <w:abstractNum w:abstractNumId="78">
    <w:nsid w:val="53B0A9E"/>
    <w:multiLevelType w:val="hybridMultilevel"/>
    <w:lvl w:ilvl="0">
      <w:lvlJc w:val="left"/>
      <w:lvlText w:val="(%1)"/>
      <w:numFmt w:val="decimal"/>
      <w:start w:val="1"/>
    </w:lvl>
  </w:abstractNum>
  <w:abstractNum w:abstractNumId="79">
    <w:nsid w:val="34FD6B4F"/>
    <w:multiLevelType w:val="hybridMultilevel"/>
    <w:lvl w:ilvl="0">
      <w:lvlJc w:val="left"/>
      <w:lvlText w:val="(%1)"/>
      <w:numFmt w:val="decimal"/>
      <w:start w:val="1"/>
    </w:lvl>
  </w:abstractNum>
  <w:abstractNum w:abstractNumId="80">
    <w:nsid w:val="5915FF32"/>
    <w:multiLevelType w:val="hybridMultilevel"/>
    <w:lvl w:ilvl="0">
      <w:lvlJc w:val="left"/>
      <w:lvlText w:val="(%1)"/>
      <w:numFmt w:val="decimal"/>
      <w:start w:val="1"/>
    </w:lvl>
  </w:abstractNum>
  <w:abstractNum w:abstractNumId="81">
    <w:nsid w:val="56438D15"/>
    <w:multiLevelType w:val="hybridMultilevel"/>
    <w:lvl w:ilvl="0">
      <w:lvlJc w:val="left"/>
      <w:lvlText w:val="(%1)"/>
      <w:numFmt w:val="decimal"/>
      <w:start w:val="1"/>
    </w:lvl>
  </w:abstractNum>
  <w:abstractNum w:abstractNumId="82">
    <w:nsid w:val="519E3149"/>
    <w:multiLevelType w:val="hybridMultilevel"/>
    <w:lvl w:ilvl="0">
      <w:lvlJc w:val="left"/>
      <w:lvlText w:val="(%1)"/>
      <w:numFmt w:val="decimal"/>
      <w:start w:val="1"/>
    </w:lvl>
  </w:abstractNum>
  <w:abstractNum w:abstractNumId="83">
    <w:nsid w:val="2C6E4AFD"/>
    <w:multiLevelType w:val="hybridMultilevel"/>
    <w:lvl w:ilvl="0">
      <w:lvlJc w:val="left"/>
      <w:lvlText w:val="(%1)"/>
      <w:numFmt w:val="decimal"/>
      <w:start w:val="1"/>
    </w:lvl>
  </w:abstractNum>
  <w:abstractNum w:abstractNumId="84">
    <w:nsid w:val="17A1B582"/>
    <w:multiLevelType w:val="hybridMultilevel"/>
    <w:lvl w:ilvl="0">
      <w:lvlJc w:val="left"/>
      <w:lvlText w:val="(%1)"/>
      <w:numFmt w:val="decimal"/>
      <w:start w:val="1"/>
    </w:lvl>
  </w:abstractNum>
  <w:abstractNum w:abstractNumId="85">
    <w:nsid w:val="4DF72E4E"/>
    <w:multiLevelType w:val="hybridMultilevel"/>
    <w:lvl w:ilvl="0">
      <w:lvlJc w:val="left"/>
      <w:lvlText w:val="(%1)"/>
      <w:numFmt w:val="decimal"/>
      <w:start w:val="1"/>
    </w:lvl>
  </w:abstractNum>
  <w:abstractNum w:abstractNumId="86">
    <w:nsid w:val="5046B5A9"/>
    <w:multiLevelType w:val="hybridMultilevel"/>
    <w:lvl w:ilvl="0">
      <w:lvlJc w:val="left"/>
      <w:lvlText w:val="(%1)"/>
      <w:numFmt w:val="decimal"/>
      <w:start w:val="1"/>
    </w:lvl>
  </w:abstractNum>
  <w:abstractNum w:abstractNumId="87">
    <w:nsid w:val="5D888A08"/>
    <w:multiLevelType w:val="hybridMultilevel"/>
    <w:lvl w:ilvl="0">
      <w:lvlJc w:val="left"/>
      <w:lvlText w:val="(%1)"/>
      <w:numFmt w:val="decimal"/>
      <w:start w:val="1"/>
    </w:lvl>
  </w:abstractNum>
  <w:abstractNum w:abstractNumId="88">
    <w:nsid w:val="2A082C70"/>
    <w:multiLevelType w:val="hybridMultilevel"/>
    <w:lvl w:ilvl="0">
      <w:lvlJc w:val="left"/>
      <w:lvlText w:val="(%1)"/>
      <w:numFmt w:val="decimal"/>
      <w:start w:val="1"/>
    </w:lvl>
  </w:abstractNum>
  <w:abstractNum w:abstractNumId="89">
    <w:nsid w:val="5EC6AFD4"/>
    <w:multiLevelType w:val="hybridMultilevel"/>
    <w:lvl w:ilvl="0">
      <w:lvlJc w:val="left"/>
      <w:lvlText w:val="(%1)"/>
      <w:numFmt w:val="decimal"/>
      <w:start w:val="1"/>
    </w:lvl>
  </w:abstractNum>
  <w:abstractNum w:abstractNumId="90">
    <w:nsid w:val="19E21BB2"/>
    <w:multiLevelType w:val="hybridMultilevel"/>
    <w:lvl w:ilvl="0">
      <w:lvlJc w:val="left"/>
      <w:lvlText w:val="(%1)"/>
      <w:numFmt w:val="decimal"/>
      <w:start w:val="1"/>
    </w:lvl>
  </w:abstractNum>
  <w:abstractNum w:abstractNumId="91">
    <w:nsid w:val="75E0858A"/>
    <w:multiLevelType w:val="hybridMultilevel"/>
    <w:lvl w:ilvl="0">
      <w:lvlJc w:val="left"/>
      <w:lvlText w:val="•"/>
      <w:numFmt w:val="bullet"/>
      <w:start w:val="1"/>
    </w:lvl>
  </w:abstractNum>
  <w:abstractNum w:abstractNumId="92">
    <w:nsid w:val="57A61A29"/>
    <w:multiLevelType w:val="hybridMultilevel"/>
    <w:lvl w:ilvl="0">
      <w:lvlJc w:val="left"/>
      <w:lvlText w:val="(%1)"/>
      <w:numFmt w:val="decimal"/>
      <w:start w:val="1"/>
    </w:lvl>
  </w:abstractNum>
  <w:abstractNum w:abstractNumId="93">
    <w:nsid w:val="5399C654"/>
    <w:multiLevelType w:val="hybridMultilevel"/>
    <w:lvl w:ilvl="0">
      <w:lvlJc w:val="left"/>
      <w:lvlText w:val="(%1)"/>
      <w:numFmt w:val="decimal"/>
      <w:start w:val="1"/>
    </w:lvl>
  </w:abstractNum>
  <w:abstractNum w:abstractNumId="94">
    <w:nsid w:val="20EE1348"/>
    <w:multiLevelType w:val="hybridMultilevel"/>
    <w:lvl w:ilvl="0">
      <w:lvlJc w:val="left"/>
      <w:lvlText w:val="(%1)"/>
      <w:numFmt w:val="decimal"/>
      <w:start w:val="1"/>
    </w:lvl>
  </w:abstractNum>
  <w:abstractNum w:abstractNumId="95">
    <w:nsid w:val="4427069A"/>
    <w:multiLevelType w:val="hybridMultilevel"/>
    <w:lvl w:ilvl="0">
      <w:lvlJc w:val="left"/>
      <w:lvlText w:val="(%1)"/>
      <w:numFmt w:val="decimal"/>
      <w:start w:val="1"/>
    </w:lvl>
  </w:abstractNum>
  <w:abstractNum w:abstractNumId="96">
    <w:nsid w:val="B37E80A"/>
    <w:multiLevelType w:val="hybridMultilevel"/>
    <w:lvl w:ilvl="0">
      <w:lvlJc w:val="left"/>
      <w:lvlText w:val="(%1)"/>
      <w:numFmt w:val="decimal"/>
      <w:start w:val="1"/>
    </w:lvl>
  </w:abstractNum>
  <w:abstractNum w:abstractNumId="97">
    <w:nsid w:val="2157F6BC"/>
    <w:multiLevelType w:val="hybridMultilevel"/>
    <w:lvl w:ilvl="0">
      <w:lvlJc w:val="left"/>
      <w:lvlText w:val="(%1)"/>
      <w:numFmt w:val="decimal"/>
      <w:start w:val="1"/>
    </w:lvl>
  </w:abstractNum>
  <w:abstractNum w:abstractNumId="98">
    <w:nsid w:val="704E1DD5"/>
    <w:multiLevelType w:val="hybridMultilevel"/>
    <w:lvl w:ilvl="0">
      <w:lvlJc w:val="left"/>
      <w:lvlText w:val="(%1)"/>
      <w:numFmt w:val="decimal"/>
      <w:start w:val="1"/>
    </w:lvl>
  </w:abstractNum>
  <w:abstractNum w:abstractNumId="99">
    <w:nsid w:val="57D2F10E"/>
    <w:multiLevelType w:val="hybridMultilevel"/>
    <w:lvl w:ilvl="0">
      <w:lvlJc w:val="left"/>
      <w:lvlText w:val="(%1)"/>
      <w:numFmt w:val="decimal"/>
      <w:start w:val="1"/>
    </w:lvl>
  </w:abstractNum>
  <w:abstractNum w:abstractNumId="100">
    <w:nsid w:val="BFFAE18"/>
    <w:multiLevelType w:val="hybridMultilevel"/>
    <w:lvl w:ilvl="0">
      <w:lvlJc w:val="left"/>
      <w:lvlText w:val="(%1)"/>
      <w:numFmt w:val="decimal"/>
      <w:start w:val="1"/>
    </w:lvl>
  </w:abstractNum>
  <w:abstractNum w:abstractNumId="101">
    <w:nsid w:val="E3E47A8"/>
    <w:multiLevelType w:val="hybridMultilevel"/>
    <w:lvl w:ilvl="0">
      <w:lvlJc w:val="left"/>
      <w:lvlText w:val="(%1)"/>
      <w:numFmt w:val="decimal"/>
      <w:start w:val="1"/>
    </w:lvl>
  </w:abstractNum>
  <w:abstractNum w:abstractNumId="102">
    <w:nsid w:val="2E48F044"/>
    <w:multiLevelType w:val="hybridMultilevel"/>
    <w:lvl w:ilvl="0">
      <w:lvlJc w:val="left"/>
      <w:lvlText w:val="(%1)"/>
      <w:numFmt w:val="decimal"/>
      <w:start w:val="7"/>
    </w:lvl>
  </w:abstractNum>
  <w:abstractNum w:abstractNumId="103">
    <w:nsid w:val="49D0FEAC"/>
    <w:multiLevelType w:val="hybridMultilevel"/>
    <w:lvl w:ilvl="0">
      <w:lvlJc w:val="left"/>
      <w:lvlText w:val="•"/>
      <w:numFmt w:val="bullet"/>
      <w:start w:val="1"/>
    </w:lvl>
  </w:abstractNum>
  <w:abstractNum w:abstractNumId="104">
    <w:nsid w:val="4BEE5A5B"/>
    <w:multiLevelType w:val="hybridMultilevel"/>
    <w:lvl w:ilvl="0">
      <w:lvlJc w:val="left"/>
      <w:lvlText w:val="•"/>
      <w:numFmt w:val="bullet"/>
      <w:start w:val="1"/>
    </w:lvl>
  </w:abstractNum>
  <w:abstractNum w:abstractNumId="105">
    <w:nsid w:val="5551B9F3"/>
    <w:multiLevelType w:val="hybridMultilevel"/>
    <w:lvl w:ilvl="0">
      <w:lvlJc w:val="left"/>
      <w:lvlText w:val="•"/>
      <w:numFmt w:val="bullet"/>
      <w:start w:val="1"/>
    </w:lvl>
  </w:abstractNum>
  <w:abstractNum w:abstractNumId="106">
    <w:nsid w:val="24F6AB8E"/>
    <w:multiLevelType w:val="hybridMultilevel"/>
    <w:lvl w:ilvl="0">
      <w:lvlJc w:val="left"/>
      <w:lvlText w:val="•"/>
      <w:numFmt w:val="bullet"/>
      <w:start w:val="1"/>
    </w:lvl>
  </w:abstractNum>
  <w:abstractNum w:abstractNumId="107">
    <w:nsid w:val="634C574C"/>
    <w:multiLevelType w:val="hybridMultilevel"/>
    <w:lvl w:ilvl="0">
      <w:lvlJc w:val="left"/>
      <w:lvlText w:val="•"/>
      <w:numFmt w:val="bullet"/>
      <w:start w:val="1"/>
    </w:lvl>
  </w:abstractNum>
  <w:abstractNum w:abstractNumId="108">
    <w:nsid w:val="24E99DD7"/>
    <w:multiLevelType w:val="hybridMultilevel"/>
    <w:lvl w:ilvl="0">
      <w:lvlJc w:val="left"/>
      <w:lvlText w:val="(%1)"/>
      <w:numFmt w:val="decimal"/>
      <w:start w:val="1"/>
    </w:lvl>
  </w:abstractNum>
  <w:abstractNum w:abstractNumId="109">
    <w:nsid w:val="2A31B62D"/>
    <w:multiLevelType w:val="hybridMultilevel"/>
    <w:lvl w:ilvl="0">
      <w:lvlJc w:val="left"/>
      <w:lvlText w:val="(%1)"/>
      <w:numFmt w:val="decimal"/>
      <w:start w:val="1"/>
    </w:lvl>
  </w:abstractNum>
  <w:abstractNum w:abstractNumId="110">
    <w:nsid w:val="1849C29B"/>
    <w:multiLevelType w:val="hybridMultilevel"/>
    <w:lvl w:ilvl="0">
      <w:lvlJc w:val="left"/>
      <w:lvlText w:val="(%1)"/>
      <w:numFmt w:val="decimal"/>
      <w:start w:val="1"/>
    </w:lvl>
  </w:abstractNum>
  <w:abstractNum w:abstractNumId="111">
    <w:nsid w:val="7DFF9D09"/>
    <w:multiLevelType w:val="hybridMultilevel"/>
    <w:lvl w:ilvl="0">
      <w:lvlJc w:val="left"/>
      <w:lvlText w:val="(%1)"/>
      <w:numFmt w:val="decimal"/>
      <w:start w:val="1"/>
    </w:lvl>
  </w:abstractNum>
  <w:abstractNum w:abstractNumId="112">
    <w:nsid w:val="754342"/>
    <w:multiLevelType w:val="hybridMultilevel"/>
    <w:lvl w:ilvl="0">
      <w:lvlJc w:val="left"/>
      <w:lvlText w:val="(%1)"/>
      <w:numFmt w:val="decimal"/>
      <w:start w:val="1"/>
    </w:lvl>
  </w:abstractNum>
  <w:abstractNum w:abstractNumId="113">
    <w:nsid w:val="69E7F3E5"/>
    <w:multiLevelType w:val="hybridMultilevel"/>
    <w:lvl w:ilvl="0">
      <w:lvlJc w:val="left"/>
      <w:lvlText w:val="(%1)"/>
      <w:numFmt w:val="decimal"/>
      <w:start w:val="1"/>
    </w:lvl>
  </w:abstractNum>
  <w:abstractNum w:abstractNumId="114">
    <w:nsid w:val="2A6DE806"/>
    <w:multiLevelType w:val="hybridMultilevel"/>
    <w:lvl w:ilvl="0">
      <w:lvlJc w:val="left"/>
      <w:lvlText w:val="(%1)"/>
      <w:numFmt w:val="decimal"/>
      <w:start w:val="2"/>
    </w:lvl>
  </w:abstractNum>
  <w:abstractNum w:abstractNumId="115">
    <w:nsid w:val="1816F8C4"/>
    <w:multiLevelType w:val="hybridMultilevel"/>
    <w:lvl w:ilvl="0">
      <w:lvlJc w:val="left"/>
      <w:lvlText w:val="(%1)"/>
      <w:numFmt w:val="decimal"/>
      <w:start w:val="1"/>
    </w:lvl>
  </w:abstractNum>
  <w:abstractNum w:abstractNumId="116">
    <w:nsid w:val="37DF2233"/>
    <w:multiLevelType w:val="hybridMultilevel"/>
    <w:lvl w:ilvl="0">
      <w:lvlJc w:val="left"/>
      <w:lvlText w:val="(%1)"/>
      <w:numFmt w:val="decimal"/>
      <w:start w:val="1"/>
    </w:lvl>
  </w:abstractNum>
  <w:abstractNum w:abstractNumId="117">
    <w:nsid w:val="7AB49DAF"/>
    <w:multiLevelType w:val="hybridMultilevel"/>
    <w:lvl w:ilvl="0">
      <w:lvlJc w:val="left"/>
      <w:lvlText w:val="(%1)"/>
      <w:numFmt w:val="decimal"/>
      <w:start w:val="1"/>
    </w:lvl>
  </w:abstractNum>
  <w:abstractNum w:abstractNumId="118">
    <w:nsid w:val="759F82CD"/>
    <w:multiLevelType w:val="hybridMultilevel"/>
    <w:lvl w:ilvl="0">
      <w:lvlJc w:val="left"/>
      <w:lvlText w:val="(%1)"/>
      <w:numFmt w:val="decimal"/>
      <w:start w:val="1"/>
    </w:lvl>
  </w:abstractNum>
  <w:abstractNum w:abstractNumId="119">
    <w:nsid w:val="61E74EA3"/>
    <w:multiLevelType w:val="hybridMultilevel"/>
    <w:lvl w:ilvl="0">
      <w:lvlJc w:val="left"/>
      <w:lvlText w:val="(%1)"/>
      <w:numFmt w:val="decimal"/>
      <w:start w:val="1"/>
    </w:lvl>
  </w:abstractNum>
  <w:abstractNum w:abstractNumId="120">
    <w:nsid w:val="597B4D84"/>
    <w:multiLevelType w:val="hybridMultilevel"/>
    <w:lvl w:ilvl="0">
      <w:lvlJc w:val="left"/>
      <w:lvlText w:val="(%1)"/>
      <w:numFmt w:val="decimal"/>
      <w:start w:val="1"/>
    </w:lvl>
  </w:abstractNum>
  <w:abstractNum w:abstractNumId="121">
    <w:nsid w:val="F819E7F"/>
    <w:multiLevelType w:val="hybridMultilevel"/>
    <w:lvl w:ilvl="0">
      <w:lvlJc w:val="left"/>
      <w:lvlText w:val="(%1)"/>
      <w:numFmt w:val="decimal"/>
      <w:start w:val="1"/>
    </w:lvl>
  </w:abstractNum>
  <w:abstractNum w:abstractNumId="122">
    <w:nsid w:val="57C7D42D"/>
    <w:multiLevelType w:val="hybridMultilevel"/>
    <w:lvl w:ilvl="0">
      <w:lvlJc w:val="left"/>
      <w:lvlText w:val="(%1)"/>
      <w:numFmt w:val="decimal"/>
      <w:start w:val="1"/>
    </w:lvl>
  </w:abstractNum>
  <w:abstractNum w:abstractNumId="123">
    <w:nsid w:val="312167AD"/>
    <w:multiLevelType w:val="hybridMultilevel"/>
    <w:lvl w:ilvl="0">
      <w:lvlJc w:val="left"/>
      <w:lvlText w:val="(%1)"/>
      <w:numFmt w:val="decimal"/>
      <w:start w:val="1"/>
    </w:lvl>
  </w:abstractNum>
  <w:abstractNum w:abstractNumId="124">
    <w:nsid w:val="631B64D4"/>
    <w:multiLevelType w:val="hybridMultilevel"/>
    <w:lvl w:ilvl="0">
      <w:lvlJc w:val="left"/>
      <w:lvlText w:val="(%1)"/>
      <w:numFmt w:val="lowerLetter"/>
      <w:start w:val="1"/>
    </w:lvl>
  </w:abstractNum>
  <w:abstractNum w:abstractNumId="125">
    <w:nsid w:val="78B5E776"/>
    <w:multiLevelType w:val="hybridMultilevel"/>
    <w:lvl w:ilvl="0">
      <w:lvlJc w:val="left"/>
      <w:lvlText w:val="(%1)"/>
      <w:numFmt w:val="lowerLetter"/>
      <w:start w:val="8"/>
    </w:lvl>
  </w:abstractNum>
  <w:abstractNum w:abstractNumId="126">
    <w:nsid w:val="75486E47"/>
    <w:multiLevelType w:val="hybridMultilevel"/>
    <w:lvl w:ilvl="0">
      <w:lvlJc w:val="left"/>
      <w:lvlText w:val="•"/>
      <w:numFmt w:val="bullet"/>
      <w:start w:val="1"/>
    </w:lvl>
  </w:abstractNum>
  <w:abstractNum w:abstractNumId="127">
    <w:nsid w:val="6E534CDE"/>
    <w:multiLevelType w:val="hybridMultilevel"/>
    <w:lvl w:ilvl="0">
      <w:lvlJc w:val="left"/>
      <w:lvlText w:val="•"/>
      <w:numFmt w:val="bullet"/>
      <w:start w:val="1"/>
    </w:lvl>
  </w:abstractNum>
  <w:abstractNum w:abstractNumId="128">
    <w:nsid w:val="1A0DDE32"/>
    <w:multiLevelType w:val="hybridMultilevel"/>
    <w:lvl w:ilvl="0">
      <w:lvlJc w:val="left"/>
      <w:lvlText w:val="•"/>
      <w:numFmt w:val="bullet"/>
      <w:start w:val="1"/>
    </w:lvl>
  </w:abstractNum>
  <w:abstractNum w:abstractNumId="129">
    <w:nsid w:val="65968C1C"/>
    <w:multiLevelType w:val="hybridMultilevel"/>
    <w:lvl w:ilvl="0">
      <w:lvlJc w:val="left"/>
      <w:lvlText w:val="•"/>
      <w:numFmt w:val="bullet"/>
      <w:start w:val="1"/>
    </w:lvl>
  </w:abstractNum>
  <w:abstractNum w:abstractNumId="130">
    <w:nsid w:val="46263DEC"/>
    <w:multiLevelType w:val="hybridMultilevel"/>
    <w:lvl w:ilvl="0">
      <w:lvlJc w:val="left"/>
      <w:lvlText w:val="•"/>
      <w:numFmt w:val="bullet"/>
      <w:start w:val="1"/>
    </w:lvl>
  </w:abstractNum>
  <w:abstractNum w:abstractNumId="131">
    <w:nsid w:val="260D8C4A"/>
    <w:multiLevelType w:val="hybridMultilevel"/>
    <w:lvl w:ilvl="0">
      <w:lvlJc w:val="left"/>
      <w:lvlText w:val="•"/>
      <w:numFmt w:val="bullet"/>
      <w:start w:val="1"/>
    </w:lvl>
  </w:abstractNum>
  <w:abstractNum w:abstractNumId="132">
    <w:nsid w:val="73D4D3C4"/>
    <w:multiLevelType w:val="hybridMultilevel"/>
    <w:lvl w:ilvl="0">
      <w:lvlJc w:val="left"/>
      <w:lvlText w:val="•"/>
      <w:numFmt w:val="bullet"/>
      <w:start w:val="1"/>
    </w:lvl>
  </w:abstractNum>
  <w:abstractNum w:abstractNumId="133">
    <w:nsid w:val="746F2E30"/>
    <w:multiLevelType w:val="hybridMultilevel"/>
    <w:lvl w:ilvl="0">
      <w:lvlJc w:val="left"/>
      <w:lvlText w:val="•"/>
      <w:numFmt w:val="bullet"/>
      <w:start w:val="1"/>
    </w:lvl>
  </w:abstractNum>
  <w:abstractNum w:abstractNumId="134">
    <w:nsid w:val="6FDE8AF6"/>
    <w:multiLevelType w:val="hybridMultilevel"/>
    <w:lvl w:ilvl="0">
      <w:lvlJc w:val="left"/>
      <w:lvlText w:val="•"/>
      <w:numFmt w:val="bullet"/>
      <w:start w:val="1"/>
    </w:lvl>
  </w:abstractNum>
  <w:abstractNum w:abstractNumId="135">
    <w:nsid w:val="3FC32E20"/>
    <w:multiLevelType w:val="hybridMultilevel"/>
    <w:lvl w:ilvl="0">
      <w:lvlJc w:val="left"/>
      <w:lvlText w:val="(%1)"/>
      <w:numFmt w:val="decimal"/>
      <w:start w:val="1"/>
    </w:lvl>
  </w:abstractNum>
  <w:abstractNum w:abstractNumId="136">
    <w:nsid w:val="49C0E823"/>
    <w:multiLevelType w:val="hybridMultilevel"/>
    <w:lvl w:ilvl="0">
      <w:lvlJc w:val="left"/>
      <w:lvlText w:val="(%1)"/>
      <w:numFmt w:val="decimal"/>
      <w:start w:val="1"/>
    </w:lvl>
  </w:abstractNum>
  <w:abstractNum w:abstractNumId="137">
    <w:nsid w:val="14D53685"/>
    <w:multiLevelType w:val="hybridMultilevel"/>
    <w:lvl w:ilvl="0">
      <w:lvlJc w:val="left"/>
      <w:lvlText w:val="(%1)"/>
      <w:numFmt w:val="decimal"/>
      <w:start w:val="1"/>
    </w:lvl>
  </w:abstractNum>
  <w:abstractNum w:abstractNumId="138">
    <w:nsid w:val="230F856C"/>
    <w:multiLevelType w:val="hybridMultilevel"/>
    <w:lvl w:ilvl="0">
      <w:lvlJc w:val="left"/>
      <w:lvlText w:val="(%1)"/>
      <w:numFmt w:val="decimal"/>
      <w:start w:val="1"/>
    </w:lvl>
  </w:abstractNum>
  <w:abstractNum w:abstractNumId="139">
    <w:nsid w:val="6EAA85FB"/>
    <w:multiLevelType w:val="hybridMultilevel"/>
    <w:lvl w:ilvl="0">
      <w:lvlJc w:val="left"/>
      <w:lvlText w:val="(%1)"/>
      <w:numFmt w:val="decimal"/>
      <w:start w:val="1"/>
    </w:lvl>
  </w:abstractNum>
  <w:abstractNum w:abstractNumId="140">
    <w:nsid w:val="3F06ECB2"/>
    <w:multiLevelType w:val="hybridMultilevel"/>
    <w:lvl w:ilvl="0">
      <w:lvlJc w:val="left"/>
      <w:lvlText w:val="(%1)"/>
      <w:numFmt w:val="decimal"/>
      <w:start w:val="1"/>
    </w:lvl>
  </w:abstractNum>
  <w:abstractNum w:abstractNumId="141">
    <w:nsid w:val="3B594807"/>
    <w:multiLevelType w:val="hybridMultilevel"/>
    <w:lvl w:ilvl="0">
      <w:lvlJc w:val="left"/>
      <w:lvlText w:val="(%1)"/>
      <w:numFmt w:val="lowerLetter"/>
      <w:start w:val="1"/>
    </w:lvl>
  </w:abstractNum>
  <w:abstractNum w:abstractNumId="142">
    <w:nsid w:val="6CAA2304"/>
    <w:multiLevelType w:val="hybridMultilevel"/>
    <w:lvl w:ilvl="0">
      <w:lvlJc w:val="left"/>
      <w:lvlText w:val="(%1)"/>
      <w:numFmt w:val="decimal"/>
      <w:start w:val="14"/>
    </w:lvl>
  </w:abstractNum>
  <w:abstractNum w:abstractNumId="143">
    <w:nsid w:val="3F7C2FF4"/>
    <w:multiLevelType w:val="hybridMultilevel"/>
    <w:lvl w:ilvl="0">
      <w:lvlJc w:val="left"/>
      <w:lvlText w:val="(%1)"/>
      <w:numFmt w:val="lowerLetter"/>
      <w:start w:val="1"/>
    </w:lvl>
  </w:abstractNum>
  <w:abstractNum w:abstractNumId="144">
    <w:nsid w:val="25413BEC"/>
    <w:multiLevelType w:val="hybridMultilevel"/>
    <w:lvl w:ilvl="0">
      <w:lvlJc w:val="left"/>
      <w:lvlText w:val="%1."/>
      <w:numFmt w:val="decimal"/>
      <w:start w:val="1"/>
    </w:lvl>
  </w:abstractNum>
  <w:abstractNum w:abstractNumId="145">
    <w:nsid w:val="17180B0B"/>
    <w:multiLevelType w:val="hybridMultilevel"/>
    <w:lvl w:ilvl="0">
      <w:lvlJc w:val="left"/>
      <w:lvlText w:val="%1."/>
      <w:numFmt w:val="decimal"/>
      <w:start w:val="2"/>
    </w:lvl>
  </w:abstractNum>
  <w:abstractNum w:abstractNumId="146">
    <w:nsid w:val="579328B9"/>
    <w:multiLevelType w:val="hybridMultilevel"/>
    <w:lvl w:ilvl="0">
      <w:lvlJc w:val="left"/>
      <w:lvlText w:val="%1."/>
      <w:numFmt w:val="decimal"/>
      <w:start w:val="3"/>
    </w:lvl>
  </w:abstractNum>
  <w:abstractNum w:abstractNumId="147">
    <w:nsid w:val="5D205E20"/>
    <w:multiLevelType w:val="hybridMultilevel"/>
    <w:lvl w:ilvl="0">
      <w:lvlJc w:val="left"/>
      <w:lvlText w:val="%1."/>
      <w:numFmt w:val="decimal"/>
      <w:start w:val="4"/>
    </w:lvl>
  </w:abstractNum>
  <w:abstractNum w:abstractNumId="148">
    <w:nsid w:val="11CCA8BA"/>
    <w:multiLevelType w:val="hybridMultilevel"/>
    <w:lvl w:ilvl="0">
      <w:lvlJc w:val="left"/>
      <w:lvlText w:val="•"/>
      <w:numFmt w:val="bullet"/>
      <w:start w:val="1"/>
    </w:lvl>
  </w:abstractNum>
  <w:abstractNum w:abstractNumId="149">
    <w:nsid w:val="4D32AB86"/>
    <w:multiLevelType w:val="hybridMultilevel"/>
    <w:lvl w:ilvl="0">
      <w:lvlJc w:val="left"/>
      <w:lvlText w:val="%1."/>
      <w:numFmt w:val="decimal"/>
      <w:start w:val="5"/>
    </w:lvl>
  </w:abstractNum>
  <w:abstractNum w:abstractNumId="150">
    <w:nsid w:val="3F07ACC3"/>
    <w:multiLevelType w:val="hybridMultilevel"/>
    <w:lvl w:ilvl="0">
      <w:lvlJc w:val="left"/>
      <w:lvlText w:val="•"/>
      <w:numFmt w:val="bullet"/>
      <w:start w:val="1"/>
    </w:lvl>
  </w:abstractNum>
  <w:abstractNum w:abstractNumId="151">
    <w:nsid w:val="6B47F63E"/>
    <w:multiLevelType w:val="hybridMultilevel"/>
    <w:lvl w:ilvl="0">
      <w:lvlJc w:val="left"/>
      <w:lvlText w:val="•"/>
      <w:numFmt w:val="bullet"/>
      <w:start w:val="1"/>
    </w:lvl>
  </w:abstractNum>
  <w:abstractNum w:abstractNumId="152">
    <w:nsid w:val="5CB44A05"/>
    <w:multiLevelType w:val="hybridMultilevel"/>
    <w:lvl w:ilvl="0">
      <w:lvlJc w:val="left"/>
      <w:lvlText w:val="•"/>
      <w:numFmt w:val="bullet"/>
      <w:start w:val="1"/>
    </w:lvl>
  </w:abstractNum>
  <w:abstractNum w:abstractNumId="153">
    <w:nsid w:val="16CF80F1"/>
    <w:multiLevelType w:val="hybridMultilevel"/>
    <w:lvl w:ilvl="0">
      <w:lvlJc w:val="left"/>
      <w:lvlText w:val="•"/>
      <w:numFmt w:val="bullet"/>
      <w:start w:val="1"/>
    </w:lvl>
  </w:abstractNum>
  <w:abstractNum w:abstractNumId="154">
    <w:nsid w:val="1C695DEC"/>
    <w:multiLevelType w:val="hybridMultilevel"/>
    <w:lvl w:ilvl="0">
      <w:lvlJc w:val="left"/>
      <w:lvlText w:val="•"/>
      <w:numFmt w:val="bullet"/>
      <w:start w:val="1"/>
    </w:lvl>
  </w:abstractNum>
  <w:abstractNum w:abstractNumId="155">
    <w:nsid w:val="3FCFAED9"/>
    <w:multiLevelType w:val="hybridMultilevel"/>
    <w:lvl w:ilvl="0">
      <w:lvlJc w:val="left"/>
      <w:lvlText w:val="•"/>
      <w:numFmt w:val="bullet"/>
      <w:start w:val="1"/>
    </w:lvl>
  </w:abstractNum>
  <w:abstractNum w:abstractNumId="156">
    <w:nsid w:val="F856867"/>
    <w:multiLevelType w:val="hybridMultilevel"/>
    <w:lvl w:ilvl="0">
      <w:lvlJc w:val="left"/>
      <w:lvlText w:val="•"/>
      <w:numFmt w:val="bullet"/>
      <w:start w:val="1"/>
    </w:lvl>
  </w:abstractNum>
  <w:abstractNum w:abstractNumId="157">
    <w:nsid w:val="11B1CC33"/>
    <w:multiLevelType w:val="hybridMultilevel"/>
    <w:lvl w:ilvl="0">
      <w:lvlJc w:val="left"/>
      <w:lvlText w:val="%1."/>
      <w:numFmt w:val="decimal"/>
      <w:start w:val="7"/>
    </w:lvl>
  </w:abstractNum>
  <w:abstractNum w:abstractNumId="158">
    <w:nsid w:val="2E22FBB7"/>
    <w:multiLevelType w:val="hybridMultilevel"/>
    <w:lvl w:ilvl="0">
      <w:lvlJc w:val="left"/>
      <w:lvlText w:val="%1."/>
      <w:numFmt w:val="decimal"/>
      <w:start w:val="8"/>
    </w:lvl>
    <w:lvl w:ilvl="1">
      <w:lvlJc w:val="left"/>
      <w:lvlText w:val="•"/>
      <w:numFmt w:val="bullet"/>
      <w:start w:val="1"/>
    </w:lvl>
  </w:abstractNum>
  <w:abstractNum w:abstractNumId="159">
    <w:nsid w:val="29934699"/>
    <w:multiLevelType w:val="hybridMultilevel"/>
    <w:lvl w:ilvl="0">
      <w:lvlJc w:val="left"/>
      <w:lvlText w:val="%1."/>
      <w:numFmt w:val="decimal"/>
      <w:start w:val="1"/>
    </w:lvl>
    <w:lvl w:ilvl="1">
      <w:lvlJc w:val="left"/>
      <w:lvlText w:val="(%2)"/>
      <w:numFmt w:val="lowerLetter"/>
      <w:start w:val="1"/>
    </w:lvl>
  </w:abstractNum>
  <w:abstractNum w:abstractNumId="160">
    <w:nsid w:val="77485850"/>
    <w:multiLevelType w:val="hybridMultilevel"/>
    <w:lvl w:ilvl="0">
      <w:lvlJc w:val="left"/>
      <w:lvlText w:val="%1."/>
      <w:numFmt w:val="decimal"/>
      <w:start w:val="1"/>
    </w:lvl>
    <w:lvl w:ilvl="1">
      <w:lvlJc w:val="left"/>
      <w:lvlText w:val="(%2)"/>
      <w:numFmt w:val="lowerLetter"/>
      <w:start w:val="1"/>
    </w:lvl>
  </w:abstractNum>
  <w:abstractNum w:abstractNumId="161">
    <w:nsid w:val="744939A3"/>
    <w:multiLevelType w:val="hybridMultilevel"/>
    <w:lvl w:ilvl="0">
      <w:lvlJc w:val="left"/>
      <w:lvlText w:val="(%1)"/>
      <w:numFmt w:val="decimal"/>
      <w:start w:val="1"/>
    </w:lvl>
  </w:abstractNum>
  <w:abstractNum w:abstractNumId="162">
    <w:nsid w:val="4FA0D2E3"/>
    <w:multiLevelType w:val="hybridMultilevel"/>
    <w:lvl w:ilvl="0">
      <w:lvlJc w:val="left"/>
      <w:lvlText w:val="%1."/>
      <w:numFmt w:val="decimal"/>
      <w:start w:val="1"/>
    </w:lvl>
    <w:lvl w:ilvl="1">
      <w:lvlJc w:val="left"/>
      <w:lvlText w:val="(%2)"/>
      <w:numFmt w:val="lowerLetter"/>
      <w:start w:val="1"/>
    </w:lvl>
  </w:abstractNum>
  <w:abstractNum w:abstractNumId="163">
    <w:nsid w:val="6B1D2C14"/>
    <w:multiLevelType w:val="hybridMultilevel"/>
    <w:lvl w:ilvl="0">
      <w:lvlJc w:val="left"/>
      <w:lvlText w:val="(%1)"/>
      <w:numFmt w:val="lowerLetter"/>
      <w:start w:val="6"/>
    </w:lvl>
  </w:abstractNum>
  <w:abstractNum w:abstractNumId="164">
    <w:nsid w:val="68B867D3"/>
    <w:multiLevelType w:val="hybridMultilevel"/>
    <w:lvl w:ilvl="0">
      <w:lvlJc w:val="left"/>
      <w:lvlText w:val="%1"/>
      <w:numFmt w:val="decimal"/>
      <w:start w:val="1"/>
    </w:lvl>
    <w:lvl w:ilvl="1">
      <w:lvlJc w:val="left"/>
      <w:lvlText w:val="(%2)"/>
      <w:numFmt w:val="lowerLetter"/>
      <w:start w:val="16"/>
    </w:lvl>
  </w:abstractNum>
  <w:abstractNum w:abstractNumId="165">
    <w:nsid w:val="3F7F5DD9"/>
    <w:multiLevelType w:val="hybridMultilevel"/>
    <w:lvl w:ilvl="0">
      <w:lvlJc w:val="left"/>
      <w:lvlText w:val="%1."/>
      <w:numFmt w:val="decimal"/>
      <w:start w:val="4"/>
    </w:lvl>
    <w:lvl w:ilvl="1">
      <w:lvlJc w:val="left"/>
      <w:lvlText w:val="(%2)"/>
      <w:numFmt w:val="lowerLetter"/>
      <w:start w:val="1"/>
    </w:lvl>
  </w:abstractNum>
  <w:abstractNum w:abstractNumId="166">
    <w:nsid w:val="2AE05A34"/>
    <w:multiLevelType w:val="hybridMultilevel"/>
    <w:lvl w:ilvl="0">
      <w:lvlJc w:val="left"/>
      <w:lvlText w:val="%1."/>
      <w:numFmt w:val="decimal"/>
      <w:start w:val="5"/>
    </w:lvl>
  </w:abstractNum>
  <w:abstractNum w:abstractNumId="167">
    <w:nsid w:val="32794FF7"/>
    <w:multiLevelType w:val="hybridMultilevel"/>
    <w:lvl w:ilvl="0">
      <w:lvlJc w:val="left"/>
      <w:lvlText w:val="%1."/>
      <w:numFmt w:val="decimal"/>
      <w:start w:val="10"/>
    </w:lvl>
  </w:abstractNum>
  <w:abstractNum w:abstractNumId="168">
    <w:nsid w:val="5454945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1" Type="http://schemas.openxmlformats.org/officeDocument/2006/relationships/image" Target="media/image76.png"/><Relationship Id="rId102"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11"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55" Type="http://schemas.openxmlformats.org/officeDocument/2006/relationships/image" Target="media/image90.png"/><Relationship Id="rId161" Type="http://schemas.openxmlformats.org/officeDocument/2006/relationships/image" Target="media/image91.png"/><Relationship Id="rId165" Type="http://schemas.openxmlformats.org/officeDocument/2006/relationships/image" Target="media/image92.png"/><Relationship Id="rId167" Type="http://schemas.openxmlformats.org/officeDocument/2006/relationships/image" Target="media/image93.png"/><Relationship Id="rId173" Type="http://schemas.openxmlformats.org/officeDocument/2006/relationships/image" Target="media/image94.png"/><Relationship Id="rId174" Type="http://schemas.openxmlformats.org/officeDocument/2006/relationships/image" Target="media/image95.png"/><Relationship Id="rId175" Type="http://schemas.openxmlformats.org/officeDocument/2006/relationships/image" Target="media/image96.png"/><Relationship Id="rId179" Type="http://schemas.openxmlformats.org/officeDocument/2006/relationships/image" Target="media/image97.png"/><Relationship Id="rId186" Type="http://schemas.openxmlformats.org/officeDocument/2006/relationships/image" Target="media/image98.png"/><Relationship Id="rId187" Type="http://schemas.openxmlformats.org/officeDocument/2006/relationships/image" Target="media/image99.png"/><Relationship Id="rId188" Type="http://schemas.openxmlformats.org/officeDocument/2006/relationships/image" Target="media/image100.png"/><Relationship Id="rId189" Type="http://schemas.openxmlformats.org/officeDocument/2006/relationships/image" Target="media/image101.png"/><Relationship Id="rId190" Type="http://schemas.openxmlformats.org/officeDocument/2006/relationships/image" Target="media/image102.png"/><Relationship Id="rId196" Type="http://schemas.openxmlformats.org/officeDocument/2006/relationships/image" Target="media/image103.png"/><Relationship Id="rId197" Type="http://schemas.openxmlformats.org/officeDocument/2006/relationships/image" Target="media/image104.png"/><Relationship Id="rId200" Type="http://schemas.openxmlformats.org/officeDocument/2006/relationships/image" Target="media/image105.png"/><Relationship Id="rId201" Type="http://schemas.openxmlformats.org/officeDocument/2006/relationships/image" Target="media/image106.png"/><Relationship Id="rId202" Type="http://schemas.openxmlformats.org/officeDocument/2006/relationships/image" Target="media/image107.png"/><Relationship Id="rId203" Type="http://schemas.openxmlformats.org/officeDocument/2006/relationships/image" Target="media/image108.png"/><Relationship Id="rId204" Type="http://schemas.openxmlformats.org/officeDocument/2006/relationships/image" Target="media/image109.png"/><Relationship Id="rId205" Type="http://schemas.openxmlformats.org/officeDocument/2006/relationships/image" Target="media/image110.png"/><Relationship Id="rId206" Type="http://schemas.openxmlformats.org/officeDocument/2006/relationships/image" Target="media/image111.png"/><Relationship Id="rId207" Type="http://schemas.openxmlformats.org/officeDocument/2006/relationships/image" Target="media/image112.png"/><Relationship Id="rId208" Type="http://schemas.openxmlformats.org/officeDocument/2006/relationships/image" Target="media/image113.png"/><Relationship Id="rId209" Type="http://schemas.openxmlformats.org/officeDocument/2006/relationships/image" Target="media/image114.png"/><Relationship Id="rId210" Type="http://schemas.openxmlformats.org/officeDocument/2006/relationships/image" Target="media/image115.png"/><Relationship Id="rId211" Type="http://schemas.openxmlformats.org/officeDocument/2006/relationships/image" Target="media/image116.png"/><Relationship Id="rId212" Type="http://schemas.openxmlformats.org/officeDocument/2006/relationships/image" Target="media/image117.png"/><Relationship Id="rId213" Type="http://schemas.openxmlformats.org/officeDocument/2006/relationships/image" Target="media/image118.png"/><Relationship Id="rId214" Type="http://schemas.openxmlformats.org/officeDocument/2006/relationships/image" Target="media/image119.png"/><Relationship Id="rId215" Type="http://schemas.openxmlformats.org/officeDocument/2006/relationships/image" Target="media/image120.png"/><Relationship Id="rId216" Type="http://schemas.openxmlformats.org/officeDocument/2006/relationships/image" Target="media/image121.png"/><Relationship Id="rId217" Type="http://schemas.openxmlformats.org/officeDocument/2006/relationships/image" Target="media/image122.png"/><Relationship Id="rId218" Type="http://schemas.openxmlformats.org/officeDocument/2006/relationships/image" Target="media/image123.png"/><Relationship Id="rId219" Type="http://schemas.openxmlformats.org/officeDocument/2006/relationships/image" Target="media/image124.png"/><Relationship Id="rId220" Type="http://schemas.openxmlformats.org/officeDocument/2006/relationships/image" Target="media/image125.png"/><Relationship Id="rId221" Type="http://schemas.openxmlformats.org/officeDocument/2006/relationships/image" Target="media/image126.png"/><Relationship Id="rId222" Type="http://schemas.openxmlformats.org/officeDocument/2006/relationships/image" Target="media/image127.png"/><Relationship Id="rId223" Type="http://schemas.openxmlformats.org/officeDocument/2006/relationships/image" Target="media/image128.png"/><Relationship Id="rId224" Type="http://schemas.openxmlformats.org/officeDocument/2006/relationships/image" Target="media/image129.png"/><Relationship Id="rId225" Type="http://schemas.openxmlformats.org/officeDocument/2006/relationships/image" Target="media/image130.png"/><Relationship Id="rId226" Type="http://schemas.openxmlformats.org/officeDocument/2006/relationships/image" Target="media/image131.png"/><Relationship Id="rId227" Type="http://schemas.openxmlformats.org/officeDocument/2006/relationships/image" Target="media/image132.png"/><Relationship Id="rId228" Type="http://schemas.openxmlformats.org/officeDocument/2006/relationships/image" Target="media/image133.png"/><Relationship Id="rId229" Type="http://schemas.openxmlformats.org/officeDocument/2006/relationships/image" Target="media/image134.png"/><Relationship Id="rId230" Type="http://schemas.openxmlformats.org/officeDocument/2006/relationships/image" Target="media/image135.png"/><Relationship Id="rId231" Type="http://schemas.openxmlformats.org/officeDocument/2006/relationships/image" Target="media/image136.png"/><Relationship Id="rId232" Type="http://schemas.openxmlformats.org/officeDocument/2006/relationships/image" Target="media/image137.png"/><Relationship Id="rId233" Type="http://schemas.openxmlformats.org/officeDocument/2006/relationships/image" Target="media/image138.png"/><Relationship Id="rId234" Type="http://schemas.openxmlformats.org/officeDocument/2006/relationships/image" Target="media/image139.png"/><Relationship Id="rId235" Type="http://schemas.openxmlformats.org/officeDocument/2006/relationships/image" Target="media/image140.png"/><Relationship Id="rId236" Type="http://schemas.openxmlformats.org/officeDocument/2006/relationships/image" Target="media/image141.png"/><Relationship Id="rId237" Type="http://schemas.openxmlformats.org/officeDocument/2006/relationships/image" Target="media/image142.png"/><Relationship Id="rId238" Type="http://schemas.openxmlformats.org/officeDocument/2006/relationships/image" Target="media/image143.png"/><Relationship Id="rId239" Type="http://schemas.openxmlformats.org/officeDocument/2006/relationships/image" Target="media/image144.png"/><Relationship Id="rId240" Type="http://schemas.openxmlformats.org/officeDocument/2006/relationships/image" Target="media/image145.png"/><Relationship Id="rId241" Type="http://schemas.openxmlformats.org/officeDocument/2006/relationships/image" Target="media/image146.png"/><Relationship Id="rId242" Type="http://schemas.openxmlformats.org/officeDocument/2006/relationships/image" Target="media/image147.png"/><Relationship Id="rId243" Type="http://schemas.openxmlformats.org/officeDocument/2006/relationships/image" Target="media/image148.png"/><Relationship Id="rId244" Type="http://schemas.openxmlformats.org/officeDocument/2006/relationships/image" Target="media/image149.png"/><Relationship Id="rId245" Type="http://schemas.openxmlformats.org/officeDocument/2006/relationships/image" Target="media/image150.png"/><Relationship Id="rId246" Type="http://schemas.openxmlformats.org/officeDocument/2006/relationships/image" Target="media/image151.png"/><Relationship Id="rId247" Type="http://schemas.openxmlformats.org/officeDocument/2006/relationships/image" Target="media/image152.png"/><Relationship Id="rId248" Type="http://schemas.openxmlformats.org/officeDocument/2006/relationships/image" Target="media/image153.png"/><Relationship Id="rId249" Type="http://schemas.openxmlformats.org/officeDocument/2006/relationships/image" Target="media/image154.png"/><Relationship Id="rId250" Type="http://schemas.openxmlformats.org/officeDocument/2006/relationships/image" Target="media/image155.png"/><Relationship Id="rId251" Type="http://schemas.openxmlformats.org/officeDocument/2006/relationships/image" Target="media/image156.png"/><Relationship Id="rId252" Type="http://schemas.openxmlformats.org/officeDocument/2006/relationships/image" Target="media/image157.png"/><Relationship Id="rId253" Type="http://schemas.openxmlformats.org/officeDocument/2006/relationships/image" Target="media/image158.png"/><Relationship Id="rId254" Type="http://schemas.openxmlformats.org/officeDocument/2006/relationships/image" Target="media/image159.png"/><Relationship Id="rId255" Type="http://schemas.openxmlformats.org/officeDocument/2006/relationships/image" Target="media/image160.png"/><Relationship Id="rId256" Type="http://schemas.openxmlformats.org/officeDocument/2006/relationships/image" Target="media/image161.png"/><Relationship Id="rId257" Type="http://schemas.openxmlformats.org/officeDocument/2006/relationships/image" Target="media/image162.png"/><Relationship Id="rId258" Type="http://schemas.openxmlformats.org/officeDocument/2006/relationships/image" Target="media/image163.png"/><Relationship Id="rId259" Type="http://schemas.openxmlformats.org/officeDocument/2006/relationships/image" Target="media/image164.png"/><Relationship Id="rId260" Type="http://schemas.openxmlformats.org/officeDocument/2006/relationships/image" Target="media/image165.png"/><Relationship Id="rId261" Type="http://schemas.openxmlformats.org/officeDocument/2006/relationships/image" Target="media/image166.png"/><Relationship Id="rId262" Type="http://schemas.openxmlformats.org/officeDocument/2006/relationships/image" Target="media/image167.png"/><Relationship Id="rId263" Type="http://schemas.openxmlformats.org/officeDocument/2006/relationships/image" Target="media/image168.png"/><Relationship Id="rId264" Type="http://schemas.openxmlformats.org/officeDocument/2006/relationships/image" Target="media/image169.png"/><Relationship Id="rId265" Type="http://schemas.openxmlformats.org/officeDocument/2006/relationships/image" Target="media/image170.png"/><Relationship Id="rId266" Type="http://schemas.openxmlformats.org/officeDocument/2006/relationships/image" Target="media/image171.png"/><Relationship Id="rId267" Type="http://schemas.openxmlformats.org/officeDocument/2006/relationships/image" Target="media/image172.png"/><Relationship Id="rId268" Type="http://schemas.openxmlformats.org/officeDocument/2006/relationships/image" Target="media/image173.png"/><Relationship Id="rId269" Type="http://schemas.openxmlformats.org/officeDocument/2006/relationships/image" Target="media/image174.png"/><Relationship Id="rId270" Type="http://schemas.openxmlformats.org/officeDocument/2006/relationships/image" Target="media/image175.png"/><Relationship Id="rId271" Type="http://schemas.openxmlformats.org/officeDocument/2006/relationships/image" Target="media/image176.png"/><Relationship Id="rId272" Type="http://schemas.openxmlformats.org/officeDocument/2006/relationships/image" Target="media/image177.png"/><Relationship Id="rId273" Type="http://schemas.openxmlformats.org/officeDocument/2006/relationships/image" Target="media/image178.png"/><Relationship Id="rId274" Type="http://schemas.openxmlformats.org/officeDocument/2006/relationships/image" Target="media/image179.png"/><Relationship Id="rId275" Type="http://schemas.openxmlformats.org/officeDocument/2006/relationships/image" Target="media/image180.png"/><Relationship Id="rId276" Type="http://schemas.openxmlformats.org/officeDocument/2006/relationships/image" Target="media/image181.png"/><Relationship Id="rId277" Type="http://schemas.openxmlformats.org/officeDocument/2006/relationships/image" Target="media/image182.png"/><Relationship Id="rId278" Type="http://schemas.openxmlformats.org/officeDocument/2006/relationships/image" Target="media/image183.png"/><Relationship Id="rId279" Type="http://schemas.openxmlformats.org/officeDocument/2006/relationships/image" Target="media/image184.png"/><Relationship Id="rId280" Type="http://schemas.openxmlformats.org/officeDocument/2006/relationships/image" Target="media/image185.png"/><Relationship Id="rId281" Type="http://schemas.openxmlformats.org/officeDocument/2006/relationships/image" Target="media/image186.png"/><Relationship Id="rId282" Type="http://schemas.openxmlformats.org/officeDocument/2006/relationships/image" Target="media/image187.png"/><Relationship Id="rId283" Type="http://schemas.openxmlformats.org/officeDocument/2006/relationships/image" Target="media/image188.png"/><Relationship Id="rId284" Type="http://schemas.openxmlformats.org/officeDocument/2006/relationships/image" Target="media/image189.png"/><Relationship Id="rId285" Type="http://schemas.openxmlformats.org/officeDocument/2006/relationships/image" Target="media/image190.png"/><Relationship Id="rId286" Type="http://schemas.openxmlformats.org/officeDocument/2006/relationships/image" Target="media/image191.png"/><Relationship Id="rId287" Type="http://schemas.openxmlformats.org/officeDocument/2006/relationships/image" Target="media/image192.png"/><Relationship Id="rId288" Type="http://schemas.openxmlformats.org/officeDocument/2006/relationships/image" Target="media/image193.png"/><Relationship Id="rId289" Type="http://schemas.openxmlformats.org/officeDocument/2006/relationships/image" Target="media/image194.png"/><Relationship Id="rId290" Type="http://schemas.openxmlformats.org/officeDocument/2006/relationships/image" Target="media/image195.png"/><Relationship Id="rId291" Type="http://schemas.openxmlformats.org/officeDocument/2006/relationships/image" Target="media/image196.png"/><Relationship Id="rId292" Type="http://schemas.openxmlformats.org/officeDocument/2006/relationships/image" Target="media/image197.png"/><Relationship Id="rId293" Type="http://schemas.openxmlformats.org/officeDocument/2006/relationships/image" Target="media/image198.png"/><Relationship Id="rId294" Type="http://schemas.openxmlformats.org/officeDocument/2006/relationships/image" Target="media/image199.png"/><Relationship Id="rId295" Type="http://schemas.openxmlformats.org/officeDocument/2006/relationships/image" Target="media/image200.png"/><Relationship Id="rId296" Type="http://schemas.openxmlformats.org/officeDocument/2006/relationships/image" Target="media/image201.png"/><Relationship Id="rId297" Type="http://schemas.openxmlformats.org/officeDocument/2006/relationships/image" Target="media/image202.png"/><Relationship Id="rId298" Type="http://schemas.openxmlformats.org/officeDocument/2006/relationships/image" Target="media/image203.png"/><Relationship Id="rId299" Type="http://schemas.openxmlformats.org/officeDocument/2006/relationships/image" Target="media/image204.png"/><Relationship Id="rId300" Type="http://schemas.openxmlformats.org/officeDocument/2006/relationships/image" Target="media/image205.png"/><Relationship Id="rId301" Type="http://schemas.openxmlformats.org/officeDocument/2006/relationships/image" Target="media/image206.png"/><Relationship Id="rId302" Type="http://schemas.openxmlformats.org/officeDocument/2006/relationships/image" Target="media/image207.png"/><Relationship Id="rId303" Type="http://schemas.openxmlformats.org/officeDocument/2006/relationships/image" Target="media/image208.png"/><Relationship Id="rId304" Type="http://schemas.openxmlformats.org/officeDocument/2006/relationships/image" Target="media/image209.png"/><Relationship Id="rId305" Type="http://schemas.openxmlformats.org/officeDocument/2006/relationships/image" Target="media/image210.png"/><Relationship Id="rId306" Type="http://schemas.openxmlformats.org/officeDocument/2006/relationships/image" Target="media/image211.png"/><Relationship Id="rId307" Type="http://schemas.openxmlformats.org/officeDocument/2006/relationships/image" Target="media/image212.png"/><Relationship Id="rId308" Type="http://schemas.openxmlformats.org/officeDocument/2006/relationships/image" Target="media/image213.png"/><Relationship Id="rId309" Type="http://schemas.openxmlformats.org/officeDocument/2006/relationships/image" Target="media/image214.png"/><Relationship Id="rId310" Type="http://schemas.openxmlformats.org/officeDocument/2006/relationships/image" Target="media/image215.png"/><Relationship Id="rId311" Type="http://schemas.openxmlformats.org/officeDocument/2006/relationships/image" Target="media/image216.png"/><Relationship Id="rId312" Type="http://schemas.openxmlformats.org/officeDocument/2006/relationships/image" Target="media/image217.png"/><Relationship Id="rId313" Type="http://schemas.openxmlformats.org/officeDocument/2006/relationships/image" Target="media/image218.png"/><Relationship Id="rId314" Type="http://schemas.openxmlformats.org/officeDocument/2006/relationships/image" Target="media/image219.png"/><Relationship Id="rId315" Type="http://schemas.openxmlformats.org/officeDocument/2006/relationships/image" Target="media/image220.jpeg"/><Relationship Id="rId316" Type="http://schemas.openxmlformats.org/officeDocument/2006/relationships/image" Target="media/image221.jpeg"/><Relationship Id="rId317" Type="http://schemas.openxmlformats.org/officeDocument/2006/relationships/image" Target="media/image222.png"/><Relationship Id="rId318" Type="http://schemas.openxmlformats.org/officeDocument/2006/relationships/image" Target="media/image223.png"/><Relationship Id="rId319" Type="http://schemas.openxmlformats.org/officeDocument/2006/relationships/image" Target="media/image224.png"/><Relationship Id="rId320" Type="http://schemas.openxmlformats.org/officeDocument/2006/relationships/image" Target="media/image225.png"/><Relationship Id="rId321" Type="http://schemas.openxmlformats.org/officeDocument/2006/relationships/image" Target="media/image226.png"/><Relationship Id="rId322" Type="http://schemas.openxmlformats.org/officeDocument/2006/relationships/image" Target="media/image227.png"/><Relationship Id="rId83" Type="http://schemas.openxmlformats.org/officeDocument/2006/relationships/hyperlink" Target="https://www.sec.gov/Archives/edgar/data/1053507/000119312511232490/dex21.htm" TargetMode="External"/><Relationship Id="rId84" Type="http://schemas.openxmlformats.org/officeDocument/2006/relationships/hyperlink" Target="https://www.sec.gov/Archives/edgar/data/1053507/000119312512000101/d273408dex31.htm" TargetMode="External"/><Relationship Id="rId85" Type="http://schemas.openxmlformats.org/officeDocument/2006/relationships/hyperlink" Target="https://www.sec.gov/Archives/edgar/data/1053507/000119312512000101/d273408dex32.htm" TargetMode="External"/><Relationship Id="rId86" Type="http://schemas.openxmlformats.org/officeDocument/2006/relationships/hyperlink" Target="https://www.sec.gov/Archives/edgar/data/1053507/000105350725000002/exhibit31.htm" TargetMode="External"/><Relationship Id="rId87" Type="http://schemas.openxmlformats.org/officeDocument/2006/relationships/hyperlink" Target="https://www.sec.gov/Archives/edgar/data/1053507/000119312514193818/d724193dex31.htm" TargetMode="External"/><Relationship Id="rId88" Type="http://schemas.openxmlformats.org/officeDocument/2006/relationships/hyperlink" Target="https://www.sec.gov/Archives/edgar/data/1053507/000119312515074342/d883878dex31.htm" TargetMode="External"/><Relationship Id="rId89" Type="http://schemas.openxmlformats.org/officeDocument/2006/relationships/hyperlink" Target="https://www.sec.gov/Archives/edgar/data/1053507/000119312513233655/d543370dex412.htm" TargetMode="External"/><Relationship Id="rId90" Type="http://schemas.openxmlformats.org/officeDocument/2006/relationships/hyperlink" Target="https://www.sec.gov/Archives/edgar/data/1053507/000119312516427966/d119534dex41.htm" TargetMode="External"/><Relationship Id="rId92" Type="http://schemas.openxmlformats.org/officeDocument/2006/relationships/hyperlink" Target="https://www.sec.gov/Archives/edgar/data/1053507/000105350716000039/ex41.htm" TargetMode="External"/><Relationship Id="rId93" Type="http://schemas.openxmlformats.org/officeDocument/2006/relationships/hyperlink" Target="https://www.sec.gov/Archives/edgar/data/1053507/000119312516727705/d278701dex41.htm" TargetMode="External"/><Relationship Id="rId94" Type="http://schemas.openxmlformats.org/officeDocument/2006/relationships/hyperlink" Target="https://www.sec.gov/Archives/edgar/data/1053507/000119312517220133/d377927dex41.htm" TargetMode="External"/><Relationship Id="rId95" Type="http://schemas.openxmlformats.org/officeDocument/2006/relationships/hyperlink" Target="https://www.sec.gov/Archives/edgar/data/1053507/000119312517364982/d462911dex41.htm" TargetMode="External"/><Relationship Id="rId96" Type="http://schemas.openxmlformats.org/officeDocument/2006/relationships/hyperlink" Target="https://www.sec.gov/Archives/edgar/data/1053507/000119312518170772/d593510dex41.htm" TargetMode="External"/><Relationship Id="rId97" Type="http://schemas.openxmlformats.org/officeDocument/2006/relationships/hyperlink" Target="https://www.sec.gov/Archives/edgar/data/1053507/000119312519076792/d723096dex41.htm" TargetMode="External"/><Relationship Id="rId98" Type="http://schemas.openxmlformats.org/officeDocument/2006/relationships/hyperlink" Target="https://www.sec.gov/Archives/edgar/data/1053507/000119312519164637/d682327dex422.htm" TargetMode="External"/><Relationship Id="rId99" Type="http://schemas.openxmlformats.org/officeDocument/2006/relationships/hyperlink" Target="https://www.sec.gov/Archives/edgar/data/1053507/000119312519172524/d765969dex41.htm" TargetMode="External"/><Relationship Id="rId100" Type="http://schemas.openxmlformats.org/officeDocument/2006/relationships/hyperlink" Target="https://www.sec.gov/Archives/edgar/data/1053507/000119312519261683/d787059dex41.htm" TargetMode="External"/><Relationship Id="rId101" Type="http://schemas.openxmlformats.org/officeDocument/2006/relationships/hyperlink" Target="https://www.sec.gov/Archives/edgar/data/1053507/000119312520005444/d862194dex41.htm" TargetMode="External"/><Relationship Id="rId103" Type="http://schemas.openxmlformats.org/officeDocument/2006/relationships/hyperlink" Target="https://www.sec.gov/Archives/edgar/data/1053507/000119312520159551/d918853dex41.htm" TargetMode="External"/><Relationship Id="rId104" Type="http://schemas.openxmlformats.org/officeDocument/2006/relationships/hyperlink" Target="https://www.sec.gov/Archives/edgar/data/1053507/000119312520243154/d13911dex41.htm" TargetMode="External"/><Relationship Id="rId107" Type="http://schemas.openxmlformats.org/officeDocument/2006/relationships/hyperlink" Target="https://www.sec.gov/Archives/edgar/data/1053507/000119312520256461/d86939dex41.htm" TargetMode="External"/><Relationship Id="rId108" Type="http://schemas.openxmlformats.org/officeDocument/2006/relationships/hyperlink" Target="https://www.sec.gov/Archives/edgar/data/1053507/000119312520299409/d14561dex41.htm" TargetMode="External"/><Relationship Id="rId109" Type="http://schemas.openxmlformats.org/officeDocument/2006/relationships/hyperlink" Target="https://www.sec.gov/Archives/edgar/data/1053507/000119312521098287/d307128dex41.htm" TargetMode="External"/><Relationship Id="rId110" Type="http://schemas.openxmlformats.org/officeDocument/2006/relationships/hyperlink" Target="https://www.sec.gov/Archives/edgar/data/1053507/000119312521169283/d186766dex41.htm" TargetMode="External"/><Relationship Id="rId112" Type="http://schemas.openxmlformats.org/officeDocument/2006/relationships/hyperlink" Target="https://www.sec.gov/Archives/edgar/data/1053507/000119312521284167/d182242dex41.htm" TargetMode="External"/><Relationship Id="rId113" Type="http://schemas.openxmlformats.org/officeDocument/2006/relationships/hyperlink" Target="https://www.sec.gov/Archives/edgar/data/1053507/000119312521292090/d208316dex41.htm" TargetMode="External"/><Relationship Id="rId114" Type="http://schemas.openxmlformats.org/officeDocument/2006/relationships/hyperlink" Target="https://www.sec.gov/Archives/edgar/data/1053507/000119312522093656/d313612dex41.htm" TargetMode="External"/><Relationship Id="rId115" Type="http://schemas.openxmlformats.org/officeDocument/2006/relationships/hyperlink" Target="https://www.sec.gov/Archives/edgar/data/1053507/000119312522165192/d468790dex432.htm" TargetMode="External"/><Relationship Id="rId118" Type="http://schemas.openxmlformats.org/officeDocument/2006/relationships/hyperlink" Target="https://www.sec.gov/Archives/edgar/data/1053507/000119312523060068/d305272dex41.htm" TargetMode="External"/><Relationship Id="rId119" Type="http://schemas.openxmlformats.org/officeDocument/2006/relationships/hyperlink" Target="https://www.sec.gov/Archives/edgar/data/1053507/000119312523146124/d482306dex41.htm" TargetMode="External"/><Relationship Id="rId120" Type="http://schemas.openxmlformats.org/officeDocument/2006/relationships/hyperlink" Target="https://www.sec.gov/Archives/edgar/data/1053507/000119312523154223/d482735dex41.htm" TargetMode="External"/><Relationship Id="rId121" Type="http://schemas.openxmlformats.org/officeDocument/2006/relationships/hyperlink" Target="https://www.sec.gov/Archives/edgar/data/1053507/000119312523236155/d481989dex41.htm" TargetMode="External"/><Relationship Id="rId122" Type="http://schemas.openxmlformats.org/officeDocument/2006/relationships/hyperlink" Target="https://www.sec.gov/Archives/edgar/data/1053507/000119312524062192/d762865dex41.htm" TargetMode="External"/><Relationship Id="rId123" Type="http://schemas.openxmlformats.org/officeDocument/2006/relationships/hyperlink" Target="https://www.sec.gov/Archives/edgar/data/1053507/000119312524149168/d835521dex41.htm" TargetMode="External"/><Relationship Id="rId127" Type="http://schemas.openxmlformats.org/officeDocument/2006/relationships/hyperlink" Target="https://www.sec.gov/Archives/edgar/data/1053507/000119312524263434/d865445dex41.htm" TargetMode="External"/><Relationship Id="rId128" Type="http://schemas.openxmlformats.org/officeDocument/2006/relationships/hyperlink" Target="https://www.sec.gov/Archives/edgar/data/1053507/000119312525054806/d904653dex41.htm" TargetMode="External"/><Relationship Id="rId129" Type="http://schemas.openxmlformats.org/officeDocument/2006/relationships/hyperlink" Target="https://www.sec.gov/Archives/edgar/data/1053507/000119312525131504/d34761dex41.htm" TargetMode="External"/><Relationship Id="rId132" Type="http://schemas.openxmlformats.org/officeDocument/2006/relationships/hyperlink" Target="https://www.sec.gov/Archives/edgar/data/1053507/000119312525132847/d948506dex434.htm" TargetMode="External"/><Relationship Id="rId133" Type="http://schemas.openxmlformats.org/officeDocument/2006/relationships/hyperlink" Target="https://www.sec.gov/Archives/edgar/data/1053507/000119312525309718/d20014dex41.htm" TargetMode="External"/><Relationship Id="rId134" Type="http://schemas.openxmlformats.org/officeDocument/2006/relationships/hyperlink" Target="https://www.sec.gov/Archives/edgar/data/1053507/000119312515268479/d66554dex42.htm" TargetMode="External"/><Relationship Id="rId135" Type="http://schemas.openxmlformats.org/officeDocument/2006/relationships/hyperlink" Target="https://www.sec.gov/Archives/edgar/data/1053507/000105350721000159/exhibit101q32021.htm" TargetMode="External"/><Relationship Id="rId136" Type="http://schemas.openxmlformats.org/officeDocument/2006/relationships/hyperlink" Target="https://www.sec.gov/Archives/edgar/data/1053507/000119312507060846/ddef14a.htm" TargetMode="External"/><Relationship Id="rId137" Type="http://schemas.openxmlformats.org/officeDocument/2006/relationships/hyperlink" Target="https://www.sec.gov/Archives/edgar/data/1053507/000105350717000015/exhibit101equityplan.htm" TargetMode="External"/><Relationship Id="rId138" Type="http://schemas.openxmlformats.org/officeDocument/2006/relationships/hyperlink" Target="https://www.sec.gov/Archives/edgar/data/1053507/000105350719000012/exhibit1010rsuus.htm" TargetMode="External"/><Relationship Id="rId139" Type="http://schemas.openxmlformats.org/officeDocument/2006/relationships/hyperlink" Target="https://www.sec.gov/Archives/edgar/data/1053507/000105350719000012/exhibit1011rsunonus.htm" TargetMode="External"/><Relationship Id="rId140" Type="http://schemas.openxmlformats.org/officeDocument/2006/relationships/hyperlink" Target="https://www.sec.gov/Archives/edgar/data/1053507/000119312520109376/d919680dex101.htm" TargetMode="External"/><Relationship Id="rId141" Type="http://schemas.openxmlformats.org/officeDocument/2006/relationships/hyperlink" Target="https://www.sec.gov/Archives/edgar/data/1053507/000105350721000129/exhibit101q22021.htm" TargetMode="External"/><Relationship Id="rId144" Type="http://schemas.openxmlformats.org/officeDocument/2006/relationships/hyperlink" Target="https://www.sec.gov/Archives/edgar/data/1053507/000105350723000023/exhibit109fy2022.htm" TargetMode="External"/><Relationship Id="rId145" Type="http://schemas.openxmlformats.org/officeDocument/2006/relationships/hyperlink" Target="https://www.sec.gov/Archives/edgar/data/1053507/000105350723000161/exhibit101q32023.htm" TargetMode="External"/><Relationship Id="rId146" Type="http://schemas.openxmlformats.org/officeDocument/2006/relationships/hyperlink" Target="https://www.sec.gov/Archives/edgar/data/1053507/000105350723000161/exhibit102q32023.htm" TargetMode="External"/><Relationship Id="rId147" Type="http://schemas.openxmlformats.org/officeDocument/2006/relationships/hyperlink" Target="https://www.sec.gov/Archives/edgar/data/1053507/000105350723000161/exhibit103q32023.htm" TargetMode="External"/><Relationship Id="rId148" Type="http://schemas.openxmlformats.org/officeDocument/2006/relationships/hyperlink" Target="https://www.sec.gov/Archives/edgar/data/1053507/000105350724000011/exhibit1014fy2023.htm" TargetMode="External"/><Relationship Id="rId149" Type="http://schemas.openxmlformats.org/officeDocument/2006/relationships/hyperlink" Target="https://www.sec.gov/Archives/edgar/data/1053507/000105350724000011/exhibit1015fy2023.htm" TargetMode="External"/><Relationship Id="rId150" Type="http://schemas.openxmlformats.org/officeDocument/2006/relationships/hyperlink" Target="https://www.sec.gov/Archives/edgar/data/1053507/000105350724000067/exhibit1012024q1dividendan.htm" TargetMode="External"/><Relationship Id="rId151" Type="http://schemas.openxmlformats.org/officeDocument/2006/relationships/hyperlink" Target="https://www.sec.gov/Archives/edgar/data/1053507/000105350724000067/exhibit1022024q1dividendan.htm" TargetMode="External"/><Relationship Id="rId152" Type="http://schemas.openxmlformats.org/officeDocument/2006/relationships/hyperlink" Target="https://www.sec.gov/Archives/edgar/data/1053507/000105350718000026/d577971dex102.htm" TargetMode="External"/><Relationship Id="rId153" Type="http://schemas.openxmlformats.org/officeDocument/2006/relationships/hyperlink" Target="https://www.sec.gov/Archives/edgar/data/1053507/000105350723000114/exhibit101.htm" TargetMode="External"/><Relationship Id="rId154" Type="http://schemas.openxmlformats.org/officeDocument/2006/relationships/hyperlink" Target="https://www.sec.gov/Archives/edgar/data/1053507/000119312513192592/d526997dex102.htm" TargetMode="External"/><Relationship Id="rId156" Type="http://schemas.openxmlformats.org/officeDocument/2006/relationships/hyperlink" Target="https://www.sec.gov/Archives/edgar/data/1053507/000105350718000026/d577971dex103.htm" TargetMode="External"/><Relationship Id="rId157" Type="http://schemas.openxmlformats.org/officeDocument/2006/relationships/hyperlink" Target="https://www.sec.gov/Archives/edgar/data/1053507/000105350723000114/exhibit103.htm" TargetMode="External"/><Relationship Id="rId158" Type="http://schemas.openxmlformats.org/officeDocument/2006/relationships/hyperlink" Target="https://www.sec.gov/Archives/edgar/data/1053507/000105350718000026/d577971dex104.htm" TargetMode="External"/><Relationship Id="rId159" Type="http://schemas.openxmlformats.org/officeDocument/2006/relationships/hyperlink" Target="https://www.sec.gov/Archives/edgar/data/1053507/000105350723000114/exhibit102.htm" TargetMode="External"/><Relationship Id="rId160" Type="http://schemas.openxmlformats.org/officeDocument/2006/relationships/hyperlink" Target="https://www.sec.gov/Archives/edgar/data/1053507/000092701601001627/0000927016-01-001627-0003.txt" TargetMode="External"/><Relationship Id="rId162" Type="http://schemas.openxmlformats.org/officeDocument/2006/relationships/hyperlink" Target="https://www.sec.gov/Archives/edgar/data/1072048/000095013301501015/w48478ex10-2.txt" TargetMode="External"/><Relationship Id="rId163" Type="http://schemas.openxmlformats.org/officeDocument/2006/relationships/hyperlink" Target="https://www.sec.gov/Archives/edgar/data/1053507/000119312509105524/dex107.htm" TargetMode="External"/><Relationship Id="rId164" Type="http://schemas.openxmlformats.org/officeDocument/2006/relationships/hyperlink" Target="https://www.sec.gov/Archives/edgar/data/1053507/000105350725000039/amt-20250227.htm" TargetMode="External"/><Relationship Id="rId166" Type="http://schemas.openxmlformats.org/officeDocument/2006/relationships/hyperlink" Target="https://www.sec.gov/Archives/edgar/data/1053507/000119312509045385/dex104.htm" TargetMode="External"/><Relationship Id="rId168" Type="http://schemas.openxmlformats.org/officeDocument/2006/relationships/hyperlink" Target="https://www.sec.gov/Archives/edgar/data/1053507/000105350724000011/exhibit28.htm" TargetMode="External"/><Relationship Id="rId169" Type="http://schemas.openxmlformats.org/officeDocument/2006/relationships/hyperlink" Target="https://www.sec.gov/Archives/edgar/data/1053507/000105350724000011/exhibit29.htm" TargetMode="External"/><Relationship Id="rId170" Type="http://schemas.openxmlformats.org/officeDocument/2006/relationships/hyperlink" Target="https://www.sec.gov/Archives/edgar/data/1053507/000105350725000025/exhibit1031fy2024.htm" TargetMode="External"/><Relationship Id="rId171" Type="http://schemas.openxmlformats.org/officeDocument/2006/relationships/hyperlink" Target="https://www.sec.gov/Archives/edgar/data/1053507/000105350725000025/exhibit1032fy2024.htm" TargetMode="External"/><Relationship Id="rId172" Type="http://schemas.openxmlformats.org/officeDocument/2006/relationships/hyperlink" Target="https://www.sec.gov/Archives/edgar/data/1053507/000105350722000017/exhibit10_29.htm" TargetMode="External"/><Relationship Id="rId176" Type="http://schemas.openxmlformats.org/officeDocument/2006/relationships/hyperlink" Target="https://www.sec.gov/Archives/edgar/data/1053507/000105350723000142/exhibit102.htm" TargetMode="External"/><Relationship Id="rId177" Type="http://schemas.openxmlformats.org/officeDocument/2006/relationships/hyperlink" Target="https://www.sec.gov/Archives/edgar/data/1053507/000105350724000105/exhibit101q22024.htm" TargetMode="External"/><Relationship Id="rId178" Type="http://schemas.openxmlformats.org/officeDocument/2006/relationships/hyperlink" Target="https://www.sec.gov/Archives/edgar/data/1053507/000105350725000025/exhibit36.htm" TargetMode="External"/><Relationship Id="rId180" Type="http://schemas.openxmlformats.org/officeDocument/2006/relationships/hyperlink" Target="https://www.sec.gov/Archives/edgar/data/1053507/000105350722000017/exhibit10_30.htm" TargetMode="External"/><Relationship Id="rId181" Type="http://schemas.openxmlformats.org/officeDocument/2006/relationships/hyperlink" Target="https://www.sec.gov/Archives/edgar/data/1053507/000105350723000142/exhibit103.htm" TargetMode="External"/><Relationship Id="rId182" Type="http://schemas.openxmlformats.org/officeDocument/2006/relationships/hyperlink" Target="https://www.sec.gov/Archives/edgar/data/1053507/000105350725000025/exhibit39.htm" TargetMode="External"/><Relationship Id="rId183" Type="http://schemas.openxmlformats.org/officeDocument/2006/relationships/hyperlink" Target="https://www.sec.gov/Archives/edgar/data/1053507/000105350722000017/exhibit10_31.htm" TargetMode="External"/><Relationship Id="rId184" Type="http://schemas.openxmlformats.org/officeDocument/2006/relationships/hyperlink" Target="https://www.sec.gov/Archives/edgar/data/1053507/000105350723000142/exhibit101.htm" TargetMode="External"/><Relationship Id="rId185" Type="http://schemas.openxmlformats.org/officeDocument/2006/relationships/hyperlink" Target="https://www.sec.gov/Archives/edgar/data/1053507/000105350725000025/exhibit42.htm" TargetMode="External"/><Relationship Id="rId191" Type="http://schemas.openxmlformats.org/officeDocument/2006/relationships/hyperlink" Target="https://www.sec.gov/Archives/edgar/data/1053507/000119312515059026/d846752dex1045.htm" TargetMode="External"/><Relationship Id="rId192" Type="http://schemas.openxmlformats.org/officeDocument/2006/relationships/hyperlink" Target="https://www.sec.gov/Archives/edgar/data/1053507/000119312515162716/d912783dex108.htm" TargetMode="External"/><Relationship Id="rId193" Type="http://schemas.openxmlformats.org/officeDocument/2006/relationships/hyperlink" Target="https://www.sec.gov/Archives/edgar/data/1053507/000119312515162716/d912783dex109.htm" TargetMode="External"/><Relationship Id="rId194" Type="http://schemas.openxmlformats.org/officeDocument/2006/relationships/hyperlink" Target="https://www.sec.gov/Archives/edgar/data/1053507/000119312515162716/d912783dex1010.htm" TargetMode="External"/><Relationship Id="rId195" Type="http://schemas.openxmlformats.org/officeDocument/2006/relationships/hyperlink" Target="https://www.sec.gov/Archives/edgar/data/1053507/000119312515162716/d912783dex1011.htm" TargetMode="External"/><Relationship Id="rId198" Type="http://schemas.openxmlformats.org/officeDocument/2006/relationships/hyperlink" Target="https://www.sec.gov/Archives/edgar/data/1053507/000105350721000026/exhibit1041.htm" TargetMode="External"/><Relationship Id="rId199" Type="http://schemas.openxmlformats.org/officeDocument/2006/relationships/hyperlink" Target="https://www.sec.gov/Archives/edgar/data/1053507/000105350721000026/exhibit10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2026-02-24T15:33:35Z</dcterms:created>
  <dcterms:modified xsi:type="dcterms:W3CDTF">2026-02-24T15:33:35Z</dcterms:modified>
</cp:coreProperties>
</file>