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4"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40"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4"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83"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0"/>
          <w:szCs w:val="20"/>
          <w:b w:val="1"/>
          <w:bCs w:val="1"/>
          <w:color w:val="auto"/>
        </w:rPr>
        <w:t>FORM 8-A</w:t>
      </w:r>
    </w:p>
    <w:p>
      <w:pPr>
        <w:spacing w:after="0" w:line="297" w:lineRule="exact"/>
        <w:rPr>
          <w:sz w:val="24"/>
          <w:szCs w:val="24"/>
          <w:color w:val="auto"/>
        </w:rPr>
      </w:pPr>
    </w:p>
    <w:p>
      <w:pPr>
        <w:jc w:val="center"/>
        <w:ind w:left="2740" w:right="2140"/>
        <w:spacing w:after="0" w:line="298" w:lineRule="auto"/>
        <w:rPr>
          <w:sz w:val="20"/>
          <w:szCs w:val="20"/>
          <w:color w:val="auto"/>
        </w:rPr>
      </w:pPr>
      <w:r>
        <w:rPr>
          <w:rFonts w:ascii="Times New Roman" w:cs="Times New Roman" w:eastAsia="Times New Roman" w:hAnsi="Times New Roman"/>
          <w:sz w:val="20"/>
          <w:szCs w:val="20"/>
          <w:b w:val="1"/>
          <w:bCs w:val="1"/>
          <w:color w:val="auto"/>
        </w:rPr>
        <w:t>FOR REGISTRATION OF CERTAIN CLASSES OF SECURITIES PURSUANT TO SECTION 12(b) or (g) OF THE SECURITIES EXCHANGE ACT OF 1934</w:t>
      </w:r>
    </w:p>
    <w:p>
      <w:pPr>
        <w:spacing w:after="0" w:line="210"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0"/>
          <w:szCs w:val="20"/>
          <w:b w:val="1"/>
          <w:bCs w:val="1"/>
          <w:color w:val="auto"/>
        </w:rPr>
        <w:t>American Tower Corporation</w:t>
      </w:r>
    </w:p>
    <w:p>
      <w:pPr>
        <w:spacing w:after="0" w:line="40" w:lineRule="exact"/>
        <w:rPr>
          <w:sz w:val="24"/>
          <w:szCs w:val="24"/>
          <w:color w:val="auto"/>
        </w:rPr>
      </w:pPr>
    </w:p>
    <w:p>
      <w:pPr>
        <w:jc w:val="center"/>
        <w:ind w:right="-599"/>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ectPr>
          <w:pgSz w:w="11900" w:h="16838" w:orient="portrait"/>
          <w:cols w:equalWidth="0" w:num="1">
            <w:col w:w="10640"/>
          </w:cols>
          <w:pgMar w:left="320" w:top="1440" w:right="939" w:bottom="1440" w:gutter="0" w:footer="0" w:header="0"/>
        </w:sectPr>
      </w:pPr>
    </w:p>
    <w:p>
      <w:pPr>
        <w:spacing w:after="0" w:line="337" w:lineRule="exact"/>
        <w:rPr>
          <w:sz w:val="24"/>
          <w:szCs w:val="24"/>
          <w:color w:val="auto"/>
        </w:rPr>
      </w:pPr>
    </w:p>
    <w:p>
      <w:pPr>
        <w:ind w:left="230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65-0723837</w:t>
      </w:r>
    </w:p>
    <w:p>
      <w:pPr>
        <w:spacing w:after="0" w:line="83" w:lineRule="exact"/>
        <w:rPr>
          <w:sz w:val="24"/>
          <w:szCs w:val="24"/>
          <w:color w:val="auto"/>
        </w:rPr>
      </w:pPr>
    </w:p>
    <w:p>
      <w:pPr>
        <w:sectPr>
          <w:pgSz w:w="11900" w:h="16838" w:orient="portrait"/>
          <w:cols w:equalWidth="0" w:num="2">
            <w:col w:w="7120" w:space="720"/>
            <w:col w:w="2800"/>
          </w:cols>
          <w:pgMar w:left="320" w:top="1440" w:right="939" w:bottom="1440" w:gutter="0" w:footer="0" w:header="0"/>
          <w:type w:val="continuous"/>
        </w:sectPr>
      </w:pPr>
    </w:p>
    <w:p>
      <w:pPr>
        <w:ind w:left="340"/>
        <w:spacing w:after="0"/>
        <w:rPr>
          <w:sz w:val="20"/>
          <w:szCs w:val="20"/>
          <w:color w:val="auto"/>
        </w:rPr>
      </w:pPr>
      <w:r>
        <w:rPr>
          <w:rFonts w:ascii="Times New Roman" w:cs="Times New Roman" w:eastAsia="Times New Roman" w:hAnsi="Times New Roman"/>
          <w:sz w:val="19"/>
          <w:szCs w:val="19"/>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9"/>
          <w:szCs w:val="19"/>
          <w:color w:val="auto"/>
        </w:rPr>
        <w:t>(IRS Employer Identification No.)</w:t>
      </w:r>
    </w:p>
    <w:p>
      <w:pPr>
        <w:spacing w:after="0" w:line="169" w:lineRule="exact"/>
        <w:rPr>
          <w:sz w:val="24"/>
          <w:szCs w:val="24"/>
          <w:color w:val="auto"/>
        </w:rPr>
      </w:pPr>
    </w:p>
    <w:p>
      <w:pPr>
        <w:sectPr>
          <w:pgSz w:w="11900" w:h="16838" w:orient="portrait"/>
          <w:cols w:equalWidth="0" w:num="2">
            <w:col w:w="6240" w:space="720"/>
            <w:col w:w="3680"/>
          </w:cols>
          <w:pgMar w:left="320" w:top="1440" w:right="939" w:bottom="1440" w:gutter="0" w:footer="0" w:header="0"/>
          <w:type w:val="continuous"/>
        </w:sect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222 Berkeley Street</w:t>
      </w:r>
    </w:p>
    <w:p>
      <w:pPr>
        <w:spacing w:after="0" w:line="40"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Boston, Massachusetts 02116</w:t>
      </w:r>
    </w:p>
    <w:p>
      <w:pPr>
        <w:spacing w:after="0" w:line="5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(Address of Principal Executive Offices) (Zip Code)</w:t>
      </w:r>
    </w:p>
    <w:p>
      <w:pPr>
        <w:spacing w:after="0" w:line="283"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20"/>
          <w:szCs w:val="20"/>
          <w:b w:val="1"/>
          <w:bCs w:val="1"/>
          <w:color w:val="auto"/>
        </w:rPr>
        <w:t>Securities to be registered pursuant to Section 12(b) of the Act:</w:t>
      </w:r>
    </w:p>
    <w:p>
      <w:pPr>
        <w:spacing w:after="0" w:line="85" w:lineRule="exact"/>
        <w:rPr>
          <w:sz w:val="24"/>
          <w:szCs w:val="24"/>
          <w:color w:val="auto"/>
        </w:rPr>
      </w:pPr>
    </w:p>
    <w:tbl>
      <w:tblPr>
        <w:tblLayout w:type="fixed"/>
        <w:tblInd w:w="1440" w:type="dxa"/>
        <w:tblCellMar>
          <w:top w:w="0" w:type="dxa"/>
          <w:left w:w="0" w:type="dxa"/>
          <w:bottom w:w="0" w:type="dxa"/>
          <w:right w:w="0" w:type="dxa"/>
        </w:tblCellMar>
      </w:tblPr>
      <w:tr>
        <w:trPr>
          <w:trHeight w:val="258"/>
        </w:trPr>
        <w:tc>
          <w:tcPr>
            <w:tcW w:w="540" w:type="dxa"/>
            <w:vAlign w:val="bottom"/>
          </w:tcPr>
          <w:p>
            <w:pPr>
              <w:spacing w:after="0"/>
              <w:rPr>
                <w:sz w:val="22"/>
                <w:szCs w:val="22"/>
                <w:color w:val="auto"/>
              </w:rPr>
            </w:pPr>
          </w:p>
        </w:tc>
        <w:tc>
          <w:tcPr>
            <w:tcW w:w="3480" w:type="dxa"/>
            <w:vAlign w:val="bottom"/>
            <w:gridSpan w:val="2"/>
          </w:tcPr>
          <w:p>
            <w:pPr>
              <w:jc w:val="center"/>
              <w:ind w:right="2060"/>
              <w:spacing w:after="0"/>
              <w:rPr>
                <w:sz w:val="20"/>
                <w:szCs w:val="20"/>
                <w:color w:val="auto"/>
              </w:rPr>
            </w:pPr>
            <w:r>
              <w:rPr>
                <w:rFonts w:ascii="Times New Roman" w:cs="Times New Roman" w:eastAsia="Times New Roman" w:hAnsi="Times New Roman"/>
                <w:sz w:val="20"/>
                <w:szCs w:val="20"/>
                <w:color w:val="auto"/>
                <w:w w:val="97"/>
              </w:rPr>
              <w:t>Title of each class</w:t>
            </w:r>
          </w:p>
        </w:tc>
        <w:tc>
          <w:tcPr>
            <w:tcW w:w="4200" w:type="dxa"/>
            <w:vAlign w:val="bottom"/>
            <w:gridSpan w:val="3"/>
          </w:tcPr>
          <w:p>
            <w:pPr>
              <w:jc w:val="center"/>
              <w:ind w:left="1421"/>
              <w:spacing w:after="0"/>
              <w:rPr>
                <w:sz w:val="20"/>
                <w:szCs w:val="20"/>
                <w:color w:val="auto"/>
              </w:rPr>
            </w:pPr>
            <w:r>
              <w:rPr>
                <w:rFonts w:ascii="Times New Roman" w:cs="Times New Roman" w:eastAsia="Times New Roman" w:hAnsi="Times New Roman"/>
                <w:sz w:val="20"/>
                <w:szCs w:val="20"/>
                <w:color w:val="auto"/>
                <w:w w:val="99"/>
              </w:rPr>
              <w:t>Name of each exchange on which</w:t>
            </w:r>
          </w:p>
        </w:tc>
      </w:tr>
      <w:tr>
        <w:trPr>
          <w:trHeight w:val="250"/>
        </w:trPr>
        <w:tc>
          <w:tcPr>
            <w:tcW w:w="54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to be so registered</w:t>
            </w:r>
          </w:p>
        </w:tc>
        <w:tc>
          <w:tcPr>
            <w:tcW w:w="20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color w:val="auto"/>
                <w:w w:val="98"/>
              </w:rPr>
              <w:t>each class is to be registered</w:t>
            </w:r>
          </w:p>
        </w:tc>
      </w:tr>
      <w:tr>
        <w:trPr>
          <w:trHeight w:val="20"/>
        </w:trPr>
        <w:tc>
          <w:tcPr>
            <w:tcW w:w="5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24"/>
        </w:trPr>
        <w:tc>
          <w:tcPr>
            <w:tcW w:w="4020" w:type="dxa"/>
            <w:vAlign w:val="bottom"/>
            <w:gridSpan w:val="3"/>
          </w:tcPr>
          <w:p>
            <w:pPr>
              <w:jc w:val="center"/>
              <w:ind w:right="1520"/>
              <w:spacing w:after="0"/>
              <w:rPr>
                <w:sz w:val="20"/>
                <w:szCs w:val="20"/>
                <w:color w:val="auto"/>
              </w:rPr>
            </w:pPr>
            <w:r>
              <w:rPr>
                <w:rFonts w:ascii="Times New Roman" w:cs="Times New Roman" w:eastAsia="Times New Roman" w:hAnsi="Times New Roman"/>
                <w:sz w:val="20"/>
                <w:szCs w:val="20"/>
                <w:b w:val="1"/>
                <w:bCs w:val="1"/>
                <w:color w:val="auto"/>
                <w:w w:val="98"/>
              </w:rPr>
              <w:t>4.000% senior notes due 2033</w:t>
            </w:r>
          </w:p>
        </w:tc>
        <w:tc>
          <w:tcPr>
            <w:tcW w:w="1740" w:type="dxa"/>
            <w:vAlign w:val="bottom"/>
          </w:tcPr>
          <w:p>
            <w:pPr>
              <w:spacing w:after="0"/>
              <w:rPr>
                <w:sz w:val="24"/>
                <w:szCs w:val="24"/>
                <w:color w:val="auto"/>
              </w:rPr>
            </w:pP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8"/>
              </w:rPr>
              <w:t>New York Stock Exchange</w:t>
            </w:r>
          </w:p>
        </w:tc>
      </w:tr>
    </w:tbl>
    <w:p>
      <w:pPr>
        <w:spacing w:after="0" w:line="363" w:lineRule="exact"/>
        <w:rPr>
          <w:sz w:val="24"/>
          <w:szCs w:val="24"/>
          <w:color w:val="auto"/>
        </w:rPr>
      </w:pPr>
    </w:p>
    <w:p>
      <w:pPr>
        <w:spacing w:after="0" w:line="286" w:lineRule="exact"/>
        <w:rPr>
          <w:sz w:val="20"/>
          <w:szCs w:val="20"/>
          <w:color w:val="auto"/>
        </w:rPr>
      </w:pPr>
      <w:r>
        <w:rPr>
          <w:rFonts w:ascii="Times New Roman" w:cs="Times New Roman" w:eastAsia="Times New Roman" w:hAnsi="Times New Roman"/>
          <w:sz w:val="20"/>
          <w:szCs w:val="20"/>
          <w:color w:val="auto"/>
        </w:rPr>
        <w:t xml:space="preserve">If this form relates to the registration of a class of securities pursuant to Section 12(b) of the Exchange Act and is effective pursuant to General Instruction A.(c), check the following box. </w:t>
      </w:r>
      <w:r>
        <w:rPr>
          <w:rFonts w:ascii="MS PGothic" w:cs="MS PGothic" w:eastAsia="MS PGothic" w:hAnsi="MS PGothic"/>
          <w:sz w:val="20"/>
          <w:szCs w:val="20"/>
          <w:color w:val="auto"/>
        </w:rPr>
        <w:t>☒</w:t>
      </w:r>
    </w:p>
    <w:p>
      <w:pPr>
        <w:spacing w:after="0" w:line="225" w:lineRule="exact"/>
        <w:rPr>
          <w:sz w:val="24"/>
          <w:szCs w:val="24"/>
          <w:color w:val="auto"/>
        </w:rPr>
      </w:pPr>
    </w:p>
    <w:p>
      <w:pPr>
        <w:spacing w:after="0" w:line="279" w:lineRule="exact"/>
        <w:rPr>
          <w:sz w:val="20"/>
          <w:szCs w:val="20"/>
          <w:color w:val="auto"/>
        </w:rPr>
      </w:pPr>
      <w:r>
        <w:rPr>
          <w:rFonts w:ascii="Times New Roman" w:cs="Times New Roman" w:eastAsia="Times New Roman" w:hAnsi="Times New Roman"/>
          <w:sz w:val="20"/>
          <w:szCs w:val="20"/>
          <w:color w:val="auto"/>
        </w:rPr>
        <w:t xml:space="preserve">If this form relates to the registration of a class of securities pursuant to Section 12(g) of the Exchange Act and is effective pursuant to General Instruction A.(d), check the following box. </w:t>
      </w:r>
      <w:r>
        <w:rPr>
          <w:rFonts w:ascii="MS PGothic" w:cs="MS PGothic" w:eastAsia="MS PGothic" w:hAnsi="MS PGothic"/>
          <w:sz w:val="20"/>
          <w:szCs w:val="20"/>
          <w:color w:val="auto"/>
        </w:rPr>
        <w:t>☐</w:t>
      </w:r>
    </w:p>
    <w:p>
      <w:pPr>
        <w:spacing w:after="0" w:line="235"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Securities Act registration statement file number to which this form relates:</w:t>
      </w:r>
    </w:p>
    <w:p>
      <w:pPr>
        <w:spacing w:after="0" w:line="40"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333-265348 (if applicable)</w:t>
      </w:r>
    </w:p>
    <w:p>
      <w:pPr>
        <w:spacing w:after="0" w:line="28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0"/>
          <w:szCs w:val="20"/>
          <w:b w:val="1"/>
          <w:bCs w:val="1"/>
          <w:color w:val="auto"/>
        </w:rPr>
        <w:t>Securities to be registered pursuant to Section 12(g) of the Act:</w:t>
      </w:r>
    </w:p>
    <w:p>
      <w:pPr>
        <w:spacing w:after="0" w:line="54" w:lineRule="exact"/>
        <w:rPr>
          <w:sz w:val="24"/>
          <w:szCs w:val="24"/>
          <w:color w:val="auto"/>
        </w:rPr>
      </w:pPr>
    </w:p>
    <w:p>
      <w:pPr>
        <w:ind w:left="5400"/>
        <w:spacing w:after="0"/>
        <w:rPr>
          <w:sz w:val="20"/>
          <w:szCs w:val="20"/>
          <w:color w:val="auto"/>
        </w:rPr>
      </w:pPr>
      <w:r>
        <w:rPr>
          <w:rFonts w:ascii="Times New Roman" w:cs="Times New Roman" w:eastAsia="Times New Roman" w:hAnsi="Times New Roman"/>
          <w:sz w:val="20"/>
          <w:szCs w:val="20"/>
          <w:b w:val="1"/>
          <w:bCs w:val="1"/>
          <w:color w:val="auto"/>
        </w:rPr>
        <w:t>None</w:t>
      </w:r>
    </w:p>
    <w:p>
      <w:pPr>
        <w:sectPr>
          <w:pgSz w:w="11900" w:h="16838" w:orient="portrait"/>
          <w:cols w:equalWidth="0" w:num="1">
            <w:col w:w="10640"/>
          </w:cols>
          <w:pgMar w:left="320" w:top="1440" w:right="939" w:bottom="1440" w:gutter="0" w:footer="0" w:header="0"/>
          <w:type w:val="continuous"/>
        </w:sectPr>
      </w:pPr>
    </w:p>
    <w:bookmarkStart w:id="1" w:name="page2"/>
    <w:bookmarkEnd w:id="1"/>
    <w:p>
      <w:pPr>
        <w:spacing w:after="0" w:line="266" w:lineRule="exact"/>
        <w:rPr>
          <w:sz w:val="20"/>
          <w:szCs w:val="20"/>
          <w:color w:val="auto"/>
        </w:rPr>
      </w:pPr>
    </w:p>
    <w:p>
      <w:pPr>
        <w:ind w:left="20"/>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19"/>
          <w:szCs w:val="19"/>
          <w:b w:val="1"/>
          <w:bCs w:val="1"/>
          <w:color w:val="auto"/>
        </w:rPr>
        <w:t>Description of the Registrant’s Securities to be Registered</w:t>
      </w:r>
    </w:p>
    <w:p>
      <w:pPr>
        <w:spacing w:after="0" w:line="38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0"/>
          <w:szCs w:val="20"/>
          <w:color w:val="auto"/>
        </w:rPr>
        <w:t>The description of the 4.000% senior notes due 2033 of American Tower Corporation (the “Registrant”) is set forth under the caption “Description of Notes” in the prospectus supplement dated May 19, 2026, as filed with the Securities and Exchange Commission (the “Commission”) on May 20, 2026 pursuant to Rule 424(b)(2) under the Securities Act of 1933, as amended, to the Registrant’s registration statement on Form S-3 (File No. 333-287714), as filed with the Commission on June 2, 2025, which description is incorporated herein by reference.</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w:t>
            </w:r>
          </w:p>
        </w:tc>
        <w:tc>
          <w:tcPr>
            <w:tcW w:w="9600" w:type="dxa"/>
            <w:vAlign w:val="bottom"/>
            <w:gridSpan w:val="9"/>
          </w:tcPr>
          <w:p>
            <w:pPr>
              <w:ind w:left="220"/>
              <w:spacing w:after="0"/>
              <w:rPr>
                <w:sz w:val="20"/>
                <w:szCs w:val="20"/>
                <w:color w:val="auto"/>
              </w:rPr>
            </w:pPr>
            <w:r>
              <w:rPr>
                <w:rFonts w:ascii="Times New Roman" w:cs="Times New Roman" w:eastAsia="Times New Roman" w:hAnsi="Times New Roman"/>
                <w:sz w:val="20"/>
                <w:szCs w:val="20"/>
                <w:b w:val="1"/>
                <w:bCs w:val="1"/>
                <w:color w:val="auto"/>
              </w:rPr>
              <w:t>Exhibits</w:t>
            </w:r>
          </w:p>
        </w:tc>
      </w:tr>
      <w:tr>
        <w:trPr>
          <w:trHeight w:val="648"/>
        </w:trPr>
        <w:tc>
          <w:tcPr>
            <w:tcW w:w="12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Exhibit No.</w:t>
            </w:r>
          </w:p>
        </w:tc>
        <w:tc>
          <w:tcPr>
            <w:tcW w:w="480" w:type="dxa"/>
            <w:vAlign w:val="bottom"/>
          </w:tcPr>
          <w:p>
            <w:pPr>
              <w:spacing w:after="0"/>
              <w:rPr>
                <w:sz w:val="24"/>
                <w:szCs w:val="24"/>
                <w:color w:val="auto"/>
              </w:rPr>
            </w:pPr>
          </w:p>
        </w:tc>
        <w:tc>
          <w:tcPr>
            <w:tcW w:w="912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color w:val="auto"/>
              </w:rPr>
              <w:t>Description</w:t>
            </w:r>
          </w:p>
        </w:tc>
      </w:tr>
      <w:tr>
        <w:trPr>
          <w:trHeight w:val="521"/>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480" w:type="dxa"/>
            <w:vAlign w:val="bottom"/>
          </w:tcPr>
          <w:p>
            <w:pPr>
              <w:spacing w:after="0"/>
              <w:rPr>
                <w:sz w:val="24"/>
                <w:szCs w:val="24"/>
                <w:color w:val="auto"/>
              </w:rPr>
            </w:pPr>
          </w:p>
        </w:tc>
        <w:tc>
          <w:tcPr>
            <w:tcW w:w="912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w w:val="98"/>
              </w:rPr>
            </w:pPr>
            <w:hyperlink r:id="rId8">
              <w:r>
                <w:rPr>
                  <w:rFonts w:ascii="Times New Roman" w:cs="Times New Roman" w:eastAsia="Times New Roman" w:hAnsi="Times New Roman"/>
                  <w:sz w:val="20"/>
                  <w:szCs w:val="20"/>
                  <w:color w:val="0000FF"/>
                  <w:w w:val="98"/>
                </w:rPr>
                <w:t>Indenture, dated June 2, 2025, by and between the Registrant and U.S. Bank Trust Company, National Association,</w:t>
              </w:r>
            </w:hyperlink>
          </w:p>
        </w:tc>
      </w:tr>
      <w:tr>
        <w:trPr>
          <w:trHeight w:val="223"/>
        </w:trPr>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980" w:type="dxa"/>
            <w:vAlign w:val="bottom"/>
            <w:tcBorders>
              <w:bottom w:val="single" w:sz="8" w:color="0000FF"/>
            </w:tcBorders>
            <w:gridSpan w:val="7"/>
          </w:tcPr>
          <w:p>
            <w:pPr>
              <w:spacing w:after="0" w:line="223" w:lineRule="exact"/>
              <w:rPr>
                <w:rFonts w:ascii="Times New Roman" w:cs="Times New Roman" w:eastAsia="Times New Roman" w:hAnsi="Times New Roman"/>
                <w:sz w:val="20"/>
                <w:szCs w:val="20"/>
                <w:color w:val="0000FF"/>
                <w:w w:val="98"/>
              </w:rPr>
            </w:pPr>
            <w:hyperlink r:id="rId8">
              <w:r>
                <w:rPr>
                  <w:rFonts w:ascii="Times New Roman" w:cs="Times New Roman" w:eastAsia="Times New Roman" w:hAnsi="Times New Roman"/>
                  <w:sz w:val="20"/>
                  <w:szCs w:val="20"/>
                  <w:color w:val="0000FF"/>
                  <w:w w:val="98"/>
                </w:rPr>
                <w:t>as Trustee (incorporated by reference to Exhibit 4.34 of the Registrant’s Registration Statement on Form S-3ASR</w:t>
              </w:r>
            </w:hyperlink>
          </w:p>
        </w:tc>
        <w:tc>
          <w:tcPr>
            <w:tcW w:w="140" w:type="dxa"/>
            <w:vAlign w:val="bottom"/>
          </w:tcPr>
          <w:p>
            <w:pPr>
              <w:spacing w:after="0"/>
              <w:rPr>
                <w:sz w:val="19"/>
                <w:szCs w:val="19"/>
                <w:color w:val="auto"/>
              </w:rPr>
            </w:pPr>
          </w:p>
        </w:tc>
      </w:tr>
      <w:tr>
        <w:trPr>
          <w:trHeight w:val="210"/>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20" w:type="dxa"/>
            <w:vAlign w:val="bottom"/>
            <w:tcBorders>
              <w:bottom w:val="single" w:sz="8" w:color="0000FF"/>
            </w:tcBorders>
            <w:gridSpan w:val="2"/>
          </w:tcPr>
          <w:p>
            <w:pPr>
              <w:spacing w:after="0" w:line="209" w:lineRule="exact"/>
              <w:rPr>
                <w:rFonts w:ascii="Times New Roman" w:cs="Times New Roman" w:eastAsia="Times New Roman" w:hAnsi="Times New Roman"/>
                <w:sz w:val="20"/>
                <w:szCs w:val="20"/>
                <w:color w:val="0000FF"/>
                <w:w w:val="98"/>
              </w:rPr>
            </w:pPr>
            <w:hyperlink r:id="rId8">
              <w:r>
                <w:rPr>
                  <w:rFonts w:ascii="Times New Roman" w:cs="Times New Roman" w:eastAsia="Times New Roman" w:hAnsi="Times New Roman"/>
                  <w:sz w:val="20"/>
                  <w:szCs w:val="20"/>
                  <w:color w:val="0000FF"/>
                  <w:w w:val="98"/>
                </w:rPr>
                <w:t>(File No. 333-287714) filed on June 2, 2025).</w:t>
              </w:r>
            </w:hyperlink>
          </w:p>
        </w:tc>
        <w:tc>
          <w:tcPr>
            <w:tcW w:w="5500" w:type="dxa"/>
            <w:vAlign w:val="bottom"/>
            <w:gridSpan w:val="6"/>
          </w:tcPr>
          <w:p>
            <w:pPr>
              <w:spacing w:after="0"/>
              <w:rPr>
                <w:sz w:val="18"/>
                <w:szCs w:val="18"/>
                <w:color w:val="auto"/>
              </w:rPr>
            </w:pPr>
          </w:p>
        </w:tc>
      </w:tr>
      <w:tr>
        <w:trPr>
          <w:trHeight w:val="385"/>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480" w:type="dxa"/>
            <w:vAlign w:val="bottom"/>
          </w:tcPr>
          <w:p>
            <w:pPr>
              <w:spacing w:after="0"/>
              <w:rPr>
                <w:sz w:val="24"/>
                <w:szCs w:val="24"/>
                <w:color w:val="auto"/>
              </w:rPr>
            </w:pPr>
          </w:p>
        </w:tc>
        <w:tc>
          <w:tcPr>
            <w:tcW w:w="8680" w:type="dxa"/>
            <w:vAlign w:val="bottom"/>
            <w:tcBorders>
              <w:bottom w:val="single" w:sz="8" w:color="0000FF"/>
            </w:tcBorders>
            <w:gridSpan w:val="5"/>
          </w:tcPr>
          <w:p>
            <w:pPr>
              <w:spacing w:after="0"/>
              <w:rPr>
                <w:rFonts w:ascii="Times New Roman" w:cs="Times New Roman" w:eastAsia="Times New Roman" w:hAnsi="Times New Roman"/>
                <w:sz w:val="20"/>
                <w:szCs w:val="20"/>
                <w:color w:val="0000FF"/>
                <w:w w:val="98"/>
              </w:rPr>
            </w:pPr>
            <w:hyperlink r:id="rId9">
              <w:r>
                <w:rPr>
                  <w:rFonts w:ascii="Times New Roman" w:cs="Times New Roman" w:eastAsia="Times New Roman" w:hAnsi="Times New Roman"/>
                  <w:sz w:val="20"/>
                  <w:szCs w:val="20"/>
                  <w:color w:val="0000FF"/>
                  <w:w w:val="98"/>
                </w:rPr>
                <w:t>Supplemental Indenture No. 2, dated May 27, 2026, by and among the Registrant, U.S. Bank Trust Company,</w:t>
              </w:r>
            </w:hyperlink>
          </w:p>
        </w:tc>
        <w:tc>
          <w:tcPr>
            <w:tcW w:w="440" w:type="dxa"/>
            <w:vAlign w:val="bottom"/>
            <w:gridSpan w:val="3"/>
          </w:tcPr>
          <w:p>
            <w:pPr>
              <w:spacing w:after="0"/>
              <w:rPr>
                <w:sz w:val="24"/>
                <w:szCs w:val="24"/>
                <w:color w:val="auto"/>
              </w:rPr>
            </w:pPr>
          </w:p>
        </w:tc>
      </w:tr>
      <w:tr>
        <w:trPr>
          <w:trHeight w:val="223"/>
        </w:trPr>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120" w:type="dxa"/>
            <w:vAlign w:val="bottom"/>
            <w:gridSpan w:val="8"/>
          </w:tcPr>
          <w:p>
            <w:pPr>
              <w:spacing w:after="0" w:line="223" w:lineRule="exact"/>
              <w:rPr>
                <w:rFonts w:ascii="Times New Roman" w:cs="Times New Roman" w:eastAsia="Times New Roman" w:hAnsi="Times New Roman"/>
                <w:sz w:val="20"/>
                <w:szCs w:val="20"/>
                <w:color w:val="0000FF"/>
              </w:rPr>
            </w:pPr>
            <w:hyperlink r:id="rId9">
              <w:r>
                <w:rPr>
                  <w:rFonts w:ascii="Times New Roman" w:cs="Times New Roman" w:eastAsia="Times New Roman" w:hAnsi="Times New Roman"/>
                  <w:sz w:val="20"/>
                  <w:szCs w:val="20"/>
                  <w:color w:val="0000FF"/>
                </w:rPr>
                <w:t>National Association, as trustee, and U.S. Bank Europe DAC, UK Branch, as paying agent (incorporated by</w:t>
              </w:r>
            </w:hyperlink>
          </w:p>
        </w:tc>
      </w:tr>
      <w:tr>
        <w:trPr>
          <w:trHeight w:val="20"/>
        </w:trPr>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80" w:type="dxa"/>
            <w:vAlign w:val="bottom"/>
            <w:gridSpan w:val="2"/>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0" w:type="dxa"/>
            <w:vAlign w:val="bottom"/>
            <w:tcBorders>
              <w:bottom w:val="single" w:sz="8" w:color="0000FF"/>
            </w:tcBorders>
            <w:gridSpan w:val="6"/>
          </w:tcPr>
          <w:p>
            <w:pPr>
              <w:spacing w:after="0" w:line="209" w:lineRule="exact"/>
              <w:rPr>
                <w:rFonts w:ascii="Times New Roman" w:cs="Times New Roman" w:eastAsia="Times New Roman" w:hAnsi="Times New Roman"/>
                <w:sz w:val="20"/>
                <w:szCs w:val="20"/>
                <w:color w:val="0000FF"/>
                <w:w w:val="98"/>
              </w:rPr>
            </w:pPr>
            <w:hyperlink r:id="rId9">
              <w:r>
                <w:rPr>
                  <w:rFonts w:ascii="Times New Roman" w:cs="Times New Roman" w:eastAsia="Times New Roman" w:hAnsi="Times New Roman"/>
                  <w:sz w:val="20"/>
                  <w:szCs w:val="20"/>
                  <w:color w:val="0000FF"/>
                  <w:w w:val="98"/>
                </w:rPr>
                <w:t>reference to Exhibit 4.1 of the Registrant’s Current Report on Form 8-K (File No. 001-14195) filed on May 27,</w:t>
              </w:r>
            </w:hyperlink>
          </w:p>
        </w:tc>
        <w:tc>
          <w:tcPr>
            <w:tcW w:w="320" w:type="dxa"/>
            <w:vAlign w:val="bottom"/>
            <w:gridSpan w:val="2"/>
          </w:tcPr>
          <w:p>
            <w:pPr>
              <w:spacing w:after="0"/>
              <w:rPr>
                <w:sz w:val="18"/>
                <w:szCs w:val="18"/>
                <w:color w:val="auto"/>
              </w:rPr>
            </w:pPr>
          </w:p>
        </w:tc>
      </w:tr>
      <w:tr>
        <w:trPr>
          <w:trHeight w:val="223"/>
        </w:trPr>
        <w:tc>
          <w:tcPr>
            <w:tcW w:w="1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Borders>
              <w:bottom w:val="single" w:sz="8" w:color="0000FF"/>
            </w:tcBorders>
          </w:tcPr>
          <w:p>
            <w:pPr>
              <w:spacing w:after="0" w:line="223" w:lineRule="exact"/>
              <w:rPr>
                <w:rFonts w:ascii="Times New Roman" w:cs="Times New Roman" w:eastAsia="Times New Roman" w:hAnsi="Times New Roman"/>
                <w:sz w:val="20"/>
                <w:szCs w:val="20"/>
                <w:color w:val="0000FF"/>
                <w:w w:val="96"/>
              </w:rPr>
            </w:pPr>
            <w:hyperlink r:id="rId9">
              <w:r>
                <w:rPr>
                  <w:rFonts w:ascii="Times New Roman" w:cs="Times New Roman" w:eastAsia="Times New Roman" w:hAnsi="Times New Roman"/>
                  <w:sz w:val="20"/>
                  <w:szCs w:val="20"/>
                  <w:color w:val="0000FF"/>
                  <w:w w:val="96"/>
                </w:rPr>
                <w:t>2026).</w:t>
              </w:r>
            </w:hyperlink>
          </w:p>
        </w:tc>
        <w:tc>
          <w:tcPr>
            <w:tcW w:w="3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358"/>
        </w:trPr>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480" w:type="dxa"/>
            <w:vAlign w:val="bottom"/>
          </w:tcPr>
          <w:p>
            <w:pPr>
              <w:spacing w:after="0"/>
              <w:rPr>
                <w:sz w:val="24"/>
                <w:szCs w:val="24"/>
                <w:color w:val="auto"/>
              </w:rPr>
            </w:pPr>
          </w:p>
        </w:tc>
        <w:tc>
          <w:tcPr>
            <w:tcW w:w="9120" w:type="dxa"/>
            <w:vAlign w:val="bottom"/>
            <w:gridSpan w:val="8"/>
          </w:tcPr>
          <w:p>
            <w:pPr>
              <w:spacing w:after="0"/>
              <w:rPr>
                <w:rFonts w:ascii="Times New Roman" w:cs="Times New Roman" w:eastAsia="Times New Roman" w:hAnsi="Times New Roman"/>
                <w:sz w:val="20"/>
                <w:szCs w:val="20"/>
                <w:color w:val="0000FF"/>
              </w:rPr>
            </w:pPr>
            <w:hyperlink r:id="rId9">
              <w:r>
                <w:rPr>
                  <w:rFonts w:ascii="Times New Roman" w:cs="Times New Roman" w:eastAsia="Times New Roman" w:hAnsi="Times New Roman"/>
                  <w:sz w:val="20"/>
                  <w:szCs w:val="20"/>
                  <w:color w:val="0000FF"/>
                </w:rPr>
                <w:t>Form of Global Note (included in Exhibit 4.2).</w:t>
              </w:r>
            </w:hyperlink>
          </w:p>
        </w:tc>
      </w:tr>
      <w:tr>
        <w:trPr>
          <w:trHeight w:val="20"/>
        </w:trPr>
        <w:tc>
          <w:tcPr>
            <w:tcW w:w="1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ectPr>
          <w:pgSz w:w="11900" w:h="16838" w:orient="portrait"/>
          <w:cols w:equalWidth="0" w:num="1">
            <w:col w:w="11200"/>
          </w:cols>
          <w:pgMar w:left="320" w:top="1440" w:right="379" w:bottom="1440" w:gutter="0" w:footer="0" w:header="0"/>
        </w:sectPr>
      </w:pPr>
    </w:p>
    <w:bookmarkStart w:id="2" w:name="page3"/>
    <w:bookmarkEnd w:id="2"/>
    <w:p>
      <w:pPr>
        <w:jc w:val="center"/>
        <w:ind w:right="-19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87" w:lineRule="exact"/>
        <w:rPr>
          <w:sz w:val="20"/>
          <w:szCs w:val="20"/>
          <w:color w:val="auto"/>
        </w:rPr>
      </w:pPr>
    </w:p>
    <w:p>
      <w:pPr>
        <w:ind w:right="60" w:firstLine="648"/>
        <w:spacing w:after="0" w:line="311" w:lineRule="auto"/>
        <w:rPr>
          <w:sz w:val="20"/>
          <w:szCs w:val="20"/>
          <w:color w:val="auto"/>
        </w:rPr>
      </w:pPr>
      <w:r>
        <w:rPr>
          <w:rFonts w:ascii="Times New Roman" w:cs="Times New Roman" w:eastAsia="Times New Roman" w:hAnsi="Times New Roman"/>
          <w:sz w:val="20"/>
          <w:szCs w:val="20"/>
          <w:color w:val="auto"/>
        </w:rPr>
        <w:t>Pursuant to the requirements of Section 12 of the Securities Exchange Act of 1934, the Registrant has duly caused this registration statement to be signed on its behalf by the undersigned, thereto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20" w:type="dxa"/>
        <w:tblCellMar>
          <w:top w:w="0" w:type="dxa"/>
          <w:left w:w="0" w:type="dxa"/>
          <w:bottom w:w="0" w:type="dxa"/>
          <w:right w:w="0" w:type="dxa"/>
        </w:tblCellMar>
      </w:tblPr>
      <w:tr>
        <w:trPr>
          <w:trHeight w:val="258"/>
        </w:trPr>
        <w:tc>
          <w:tcPr>
            <w:tcW w:w="6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AMERICAN TOWER CORPORATION</w:t>
            </w:r>
          </w:p>
        </w:tc>
      </w:tr>
      <w:tr>
        <w:trPr>
          <w:trHeight w:val="297"/>
        </w:trPr>
        <w:tc>
          <w:tcPr>
            <w:tcW w:w="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4420" w:type="dxa"/>
            <w:vAlign w:val="bottom"/>
          </w:tcPr>
          <w:p>
            <w:pPr>
              <w:ind w:left="1400"/>
              <w:spacing w:after="0"/>
              <w:rPr>
                <w:sz w:val="20"/>
                <w:szCs w:val="20"/>
                <w:color w:val="auto"/>
              </w:rPr>
            </w:pPr>
            <w:r>
              <w:rPr>
                <w:rFonts w:ascii="Times New Roman" w:cs="Times New Roman" w:eastAsia="Times New Roman" w:hAnsi="Times New Roman"/>
                <w:sz w:val="20"/>
                <w:szCs w:val="20"/>
                <w:color w:val="auto"/>
              </w:rPr>
              <w:t>(Registrant)</w:t>
            </w:r>
          </w:p>
        </w:tc>
      </w:tr>
      <w:tr>
        <w:trPr>
          <w:trHeight w:val="567"/>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330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May 27, 2026</w:t>
            </w:r>
          </w:p>
        </w:tc>
        <w:tc>
          <w:tcPr>
            <w:tcW w:w="2640" w:type="dxa"/>
            <w:vAlign w:val="bottom"/>
          </w:tcPr>
          <w:p>
            <w:pPr>
              <w:ind w:left="1980"/>
              <w:spacing w:after="0"/>
              <w:rPr>
                <w:sz w:val="20"/>
                <w:szCs w:val="20"/>
                <w:color w:val="auto"/>
              </w:rPr>
            </w:pPr>
            <w:r>
              <w:rPr>
                <w:rFonts w:ascii="Times New Roman" w:cs="Times New Roman" w:eastAsia="Times New Roman" w:hAnsi="Times New Roman"/>
                <w:sz w:val="20"/>
                <w:szCs w:val="20"/>
                <w:color w:val="auto"/>
              </w:rPr>
              <w:t>By:</w:t>
            </w:r>
          </w:p>
        </w:tc>
        <w:tc>
          <w:tcPr>
            <w:tcW w:w="4420" w:type="dxa"/>
            <w:vAlign w:val="bottom"/>
          </w:tcPr>
          <w:p>
            <w:pPr>
              <w:ind w:left="1380"/>
              <w:spacing w:after="0"/>
              <w:rPr>
                <w:sz w:val="20"/>
                <w:szCs w:val="20"/>
                <w:color w:val="auto"/>
              </w:rPr>
            </w:pPr>
            <w:r>
              <w:rPr>
                <w:rFonts w:ascii="Times New Roman" w:cs="Times New Roman" w:eastAsia="Times New Roman" w:hAnsi="Times New Roman"/>
                <w:sz w:val="20"/>
                <w:szCs w:val="20"/>
                <w:color w:val="auto"/>
              </w:rPr>
              <w:t>/s/ Rodney M. Smith</w:t>
            </w:r>
          </w:p>
        </w:tc>
      </w:tr>
      <w:tr>
        <w:trPr>
          <w:trHeight w:val="34"/>
        </w:trPr>
        <w:tc>
          <w:tcPr>
            <w:tcW w:w="660" w:type="dxa"/>
            <w:vAlign w:val="bottom"/>
          </w:tcPr>
          <w:p>
            <w:pPr>
              <w:spacing w:after="0"/>
              <w:rPr>
                <w:sz w:val="3"/>
                <w:szCs w:val="3"/>
                <w:color w:val="auto"/>
              </w:rPr>
            </w:pPr>
          </w:p>
        </w:tc>
        <w:tc>
          <w:tcPr>
            <w:tcW w:w="3300" w:type="dxa"/>
            <w:vAlign w:val="bottom"/>
          </w:tcPr>
          <w:p>
            <w:pPr>
              <w:spacing w:after="0"/>
              <w:rPr>
                <w:sz w:val="3"/>
                <w:szCs w:val="3"/>
                <w:color w:val="auto"/>
              </w:rPr>
            </w:pPr>
          </w:p>
        </w:tc>
        <w:tc>
          <w:tcPr>
            <w:tcW w:w="2640" w:type="dxa"/>
            <w:vAlign w:val="bottom"/>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r>
        <w:trPr>
          <w:trHeight w:val="256"/>
        </w:trPr>
        <w:tc>
          <w:tcPr>
            <w:tcW w:w="6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420" w:type="dxa"/>
            <w:vAlign w:val="bottom"/>
          </w:tcPr>
          <w:p>
            <w:pPr>
              <w:ind w:left="1500"/>
              <w:spacing w:after="0"/>
              <w:rPr>
                <w:sz w:val="20"/>
                <w:szCs w:val="20"/>
                <w:color w:val="auto"/>
              </w:rPr>
            </w:pPr>
            <w:r>
              <w:rPr>
                <w:rFonts w:ascii="Times New Roman" w:cs="Times New Roman" w:eastAsia="Times New Roman" w:hAnsi="Times New Roman"/>
                <w:sz w:val="20"/>
                <w:szCs w:val="20"/>
                <w:color w:val="auto"/>
              </w:rPr>
              <w:t>Rodney M. Smith</w:t>
            </w:r>
          </w:p>
        </w:tc>
      </w:tr>
    </w:tbl>
    <w:p>
      <w:pPr>
        <w:spacing w:after="0" w:line="3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Executive Vice President, Chief Financial Officer and</w:t>
      </w:r>
    </w:p>
    <w:p>
      <w:pPr>
        <w:spacing w:after="0" w:line="28"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20"/>
          <w:szCs w:val="20"/>
          <w:color w:val="auto"/>
        </w:rPr>
        <w:t>Treasurer</w:t>
      </w:r>
    </w:p>
    <w:sectPr>
      <w:pgSz w:w="11900" w:h="16838" w:orient="portrait"/>
      <w:cols w:equalWidth="0" w:num="1">
        <w:col w:w="11040"/>
      </w:cols>
      <w:pgMar w:left="320" w:top="140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hyperlink" Target="https://www.sec.gov/Archives/edgar/data/1053507/000119312525132847/d948506dex434.htm" TargetMode="External"/><Relationship Id="rId9" Type="http://schemas.openxmlformats.org/officeDocument/2006/relationships/hyperlink" Target="https://www.sec.gov/Archives/edgar/data/1053507/000119312526240535/d913919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2026-05-27T07:14:42Z</dcterms:created>
  <dcterms:modified xsi:type="dcterms:W3CDTF">2026-05-27T07:14:42Z</dcterms:modified>
</cp:coreProperties>
</file>