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358775</wp:posOffset>
            </wp:positionH>
            <wp:positionV relativeFrom="page">
              <wp:posOffset>0</wp:posOffset>
            </wp:positionV>
            <wp:extent cx="6887845"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845"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19"/>
          <w:szCs w:val="119"/>
          <w:color w:val="D11F43"/>
        </w:rPr>
        <w:t>2025</w:t>
      </w:r>
    </w:p>
    <w:p>
      <w:pPr>
        <w:sectPr>
          <w:pgSz w:w="11880" w:h="15480" w:orient="portrait"/>
          <w:cols w:equalWidth="0" w:num="1">
            <w:col w:w="9300"/>
          </w:cols>
          <w:pgMar w:left="1140" w:top="1440" w:right="1440" w:bottom="345" w:gutter="0" w:footer="0" w:header="0"/>
        </w:sectPr>
      </w:pPr>
    </w:p>
    <w:p>
      <w:pPr>
        <w:ind w:left="40"/>
        <w:spacing w:after="0"/>
        <w:rPr>
          <w:sz w:val="20"/>
          <w:szCs w:val="20"/>
          <w:color w:val="auto"/>
        </w:rPr>
      </w:pPr>
      <w:r>
        <w:rPr>
          <w:rFonts w:ascii="Arial" w:cs="Arial" w:eastAsia="Arial" w:hAnsi="Arial"/>
          <w:sz w:val="53"/>
          <w:szCs w:val="53"/>
          <w:b w:val="1"/>
          <w:bCs w:val="1"/>
          <w:color w:val="231F20"/>
        </w:rPr>
        <w:t>Annual Report</w:t>
      </w:r>
    </w:p>
    <w:p>
      <w:pPr>
        <w:sectPr>
          <w:pgSz w:w="11880" w:h="15480" w:orient="portrait"/>
          <w:cols w:equalWidth="0" w:num="1">
            <w:col w:w="9300"/>
          </w:cols>
          <w:pgMar w:left="1140" w:top="1440" w:right="1440" w:bottom="345" w:gutter="0" w:footer="0" w:header="0"/>
          <w:type w:val="continuous"/>
        </w:sectPr>
      </w:pPr>
    </w:p>
    <w:bookmarkStart w:id="1" w:name="page2"/>
    <w:bookmarkEnd w:id="1"/>
    <w:p>
      <w:pPr>
        <w:ind w:left="720"/>
        <w:spacing w:after="0"/>
        <w:rPr>
          <w:sz w:val="20"/>
          <w:szCs w:val="20"/>
          <w:color w:val="auto"/>
        </w:rPr>
      </w:pPr>
      <w:r>
        <w:rPr>
          <w:rFonts w:ascii="Arial" w:cs="Arial" w:eastAsia="Arial" w:hAnsi="Arial"/>
          <w:sz w:val="44"/>
          <w:szCs w:val="44"/>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7543800" cy="9163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163050"/>
                    </a:xfrm>
                    <a:prstGeom prst="rect">
                      <a:avLst/>
                    </a:prstGeom>
                    <a:noFill/>
                  </pic:spPr>
                </pic:pic>
              </a:graphicData>
            </a:graphic>
          </wp:anchor>
        </w:drawing>
        <w:t xml:space="preserve">Corporate </w:t>
      </w:r>
      <w:r>
        <w:rPr>
          <w:rFonts w:ascii="Arial" w:cs="Arial" w:eastAsia="Arial" w:hAnsi="Arial"/>
          <w:sz w:val="44"/>
          <w:szCs w:val="44"/>
          <w:b w:val="1"/>
          <w:bCs w:val="1"/>
          <w:color w:val="D11F43"/>
        </w:rPr>
        <w:t>P</w:t>
      </w:r>
      <w:r>
        <w:rPr>
          <w:rFonts w:ascii="Arial" w:cs="Arial" w:eastAsia="Arial" w:hAnsi="Arial"/>
          <w:sz w:val="44"/>
          <w:szCs w:val="44"/>
          <w:b w:val="1"/>
          <w:bCs w:val="1"/>
          <w:color w:val="D11F43"/>
        </w:rPr>
        <w:t>ŋĬƌĞê</w:t>
      </w:r>
    </w:p>
    <w:p>
      <w:pPr>
        <w:spacing w:after="0" w:line="200" w:lineRule="exact"/>
        <w:rPr>
          <w:sz w:val="20"/>
          <w:szCs w:val="20"/>
          <w:color w:val="auto"/>
        </w:rPr>
      </w:pPr>
    </w:p>
    <w:p>
      <w:pPr>
        <w:spacing w:after="0" w:line="231" w:lineRule="exact"/>
        <w:rPr>
          <w:sz w:val="20"/>
          <w:szCs w:val="20"/>
          <w:color w:val="auto"/>
        </w:rPr>
      </w:pPr>
    </w:p>
    <w:p>
      <w:pPr>
        <w:ind w:left="720" w:right="20"/>
        <w:spacing w:after="0" w:line="300" w:lineRule="auto"/>
        <w:rPr>
          <w:sz w:val="20"/>
          <w:szCs w:val="20"/>
          <w:color w:val="auto"/>
        </w:rPr>
      </w:pPr>
      <w:r>
        <w:rPr>
          <w:rFonts w:ascii="Arial" w:cs="Arial" w:eastAsia="Arial" w:hAnsi="Arial"/>
          <w:sz w:val="21"/>
          <w:szCs w:val="21"/>
          <w:color w:val="231F20"/>
        </w:rPr>
        <w:t>Founded in 1995, American Tower is one of the largest global real estate investment trusts (REITs)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In addition, we offer tower-related services in the U.S., including site application, zoning and permitting, structural and mount analyses, and construction management, together with program management offerings that support customer deployment needs from project scoping through construction. Our services operations primarily support our site leasing business, including through the addition of new tenants and equipment on our sites.</w:t>
      </w:r>
    </w:p>
    <w:p>
      <w:pPr>
        <w:spacing w:after="0" w:line="282" w:lineRule="exact"/>
        <w:rPr>
          <w:sz w:val="20"/>
          <w:szCs w:val="20"/>
          <w:color w:val="auto"/>
        </w:rPr>
      </w:pPr>
    </w:p>
    <w:p>
      <w:pPr>
        <w:ind w:left="4580"/>
        <w:spacing w:after="0" w:line="298" w:lineRule="auto"/>
        <w:rPr>
          <w:sz w:val="20"/>
          <w:szCs w:val="20"/>
          <w:color w:val="auto"/>
        </w:rPr>
      </w:pPr>
      <w:r>
        <w:rPr>
          <w:rFonts w:ascii="Arial" w:cs="Arial" w:eastAsia="Arial" w:hAnsi="Arial"/>
          <w:sz w:val="21"/>
          <w:szCs w:val="21"/>
          <w:color w:val="231F20"/>
        </w:rPr>
        <w:t>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and property interests that we lease primarily to communications service providers and third-party tower operators, and we hold a portfolio of 30 highly interconnected data center facilities and related assets across 11 markets in the U.S. that provide for the leasing of space primarily to enterprises, network operators, cloud providers and supporting service providers. Our</w:t>
      </w:r>
    </w:p>
    <w:p>
      <w:pPr>
        <w:spacing w:after="0" w:line="4" w:lineRule="exact"/>
        <w:rPr>
          <w:sz w:val="20"/>
          <w:szCs w:val="20"/>
          <w:color w:val="auto"/>
        </w:rPr>
      </w:pPr>
    </w:p>
    <w:p>
      <w:pPr>
        <w:ind w:left="720" w:right="380"/>
        <w:spacing w:after="0" w:line="287" w:lineRule="exact"/>
        <w:rPr>
          <w:sz w:val="20"/>
          <w:szCs w:val="20"/>
          <w:color w:val="auto"/>
        </w:rPr>
      </w:pPr>
      <w:r>
        <w:rPr>
          <w:rFonts w:ascii="Arial" w:cs="Arial" w:eastAsia="Arial" w:hAnsi="Arial"/>
          <w:sz w:val="21"/>
          <w:szCs w:val="21"/>
          <w:color w:val="231F20"/>
        </w:rPr>
        <w:t>communications real estate portfolio of nearly 150,000 communications infrastructure assets includes over ƕƓ,000 in the U.S. ɇ Canada, nearly Ɠƙ,000 in Africa ɇ Asia-</w:t>
      </w:r>
      <w:r>
        <w:rPr>
          <w:rFonts w:ascii="PMingLiU" w:cs="PMingLiU" w:eastAsia="PMingLiU" w:hAnsi="PMingLiU"/>
          <w:sz w:val="21"/>
          <w:szCs w:val="21"/>
          <w:color w:val="231F20"/>
        </w:rPr>
        <w:t></w:t>
      </w:r>
      <w:r>
        <w:rPr>
          <w:rFonts w:ascii="Arial" w:cs="Arial" w:eastAsia="Arial" w:hAnsi="Arial"/>
          <w:sz w:val="21"/>
          <w:szCs w:val="21"/>
          <w:color w:val="231F20"/>
        </w:rPr>
        <w:t>aciƌc</w:t>
      </w:r>
      <w:r>
        <w:rPr>
          <w:rFonts w:ascii="Arial" w:cs="Arial" w:eastAsia="Arial" w:hAnsi="Arial"/>
          <w:sz w:val="12"/>
          <w:szCs w:val="12"/>
          <w:color w:val="231F20"/>
        </w:rPr>
        <w:t>1</w:t>
      </w:r>
      <w:r>
        <w:rPr>
          <w:rFonts w:ascii="Arial" w:cs="Arial" w:eastAsia="Arial" w:hAnsi="Arial"/>
          <w:sz w:val="21"/>
          <w:szCs w:val="21"/>
          <w:color w:val="231F20"/>
        </w:rPr>
        <w:t xml:space="preserve"> (APAC), more than 32,000 in Europe and more than 47,000 in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80" w:right="1420" w:hanging="154"/>
        <w:spacing w:after="0" w:line="158" w:lineRule="exact"/>
        <w:tabs>
          <w:tab w:leader="none" w:pos="880" w:val="left"/>
        </w:tabs>
        <w:numPr>
          <w:ilvl w:val="0"/>
          <w:numId w:val="1"/>
        </w:numPr>
        <w:rPr>
          <w:rFonts w:ascii="Arial" w:cs="Arial" w:eastAsia="Arial" w:hAnsi="Arial"/>
          <w:sz w:val="12"/>
          <w:szCs w:val="12"/>
          <w:color w:val="231F20"/>
        </w:rPr>
      </w:pPr>
      <w:r>
        <w:rPr>
          <w:rFonts w:ascii="Arial" w:cs="Arial" w:eastAsia="Arial" w:hAnsi="Arial"/>
          <w:sz w:val="12"/>
          <w:szCs w:val="12"/>
          <w:color w:val="231F20"/>
        </w:rPr>
        <w:t xml:space="preserve">On September 12, 2024, we completed the sale of 100% of our equity interests in our operations in India (“ATC TIPL” or “ATC India”) to Data Infrastructure Trust, an Infrastructure Investment Trust sponsored by an afƌliate of </w:t>
      </w:r>
      <w:r>
        <w:rPr>
          <w:rFonts w:ascii="PMingLiU" w:cs="PMingLiU" w:eastAsia="PMingLiU" w:hAnsi="PMingLiU"/>
          <w:sz w:val="12"/>
          <w:szCs w:val="12"/>
          <w:color w:val="231F20"/>
        </w:rPr>
        <w:t/>
      </w:r>
      <w:r>
        <w:rPr>
          <w:rFonts w:ascii="Arial" w:cs="Arial" w:eastAsia="Arial" w:hAnsi="Arial"/>
          <w:sz w:val="12"/>
          <w:szCs w:val="12"/>
          <w:color w:val="231F20"/>
        </w:rPr>
        <w:t>rookƌeld Asset ^anagement (the “ATC TIPL Transaction”). The ATC TIPL Transaction qualiƌed for presentation as discontinued operations. Prior to the divestiture and classiƌcation as discontinued operations, ATC TIPL’s operating results were included within the APAC property segment. Accordingly, the operating results of ATC TIPL</w:t>
      </w:r>
    </w:p>
    <w:p>
      <w:pPr>
        <w:spacing w:after="0" w:line="10" w:lineRule="exact"/>
        <w:rPr>
          <w:rFonts w:ascii="Arial" w:cs="Arial" w:eastAsia="Arial" w:hAnsi="Arial"/>
          <w:sz w:val="12"/>
          <w:szCs w:val="12"/>
          <w:color w:val="231F20"/>
        </w:rPr>
      </w:pPr>
    </w:p>
    <w:p>
      <w:pPr>
        <w:ind w:left="880"/>
        <w:spacing w:after="0"/>
        <w:rPr>
          <w:rFonts w:ascii="Arial" w:cs="Arial" w:eastAsia="Arial" w:hAnsi="Arial"/>
          <w:sz w:val="12"/>
          <w:szCs w:val="12"/>
          <w:color w:val="231F20"/>
        </w:rPr>
      </w:pPr>
      <w:r>
        <w:rPr>
          <w:rFonts w:ascii="Arial" w:cs="Arial" w:eastAsia="Arial" w:hAnsi="Arial"/>
          <w:sz w:val="12"/>
          <w:szCs w:val="12"/>
          <w:color w:val="231F20"/>
        </w:rPr>
        <w:t>are reported as discontinued operations where noted.</w:t>
      </w:r>
    </w:p>
    <w:p>
      <w:pPr>
        <w:sectPr>
          <w:pgSz w:w="11880" w:h="15480" w:orient="portrait"/>
          <w:cols w:equalWidth="0" w:num="1">
            <w:col w:w="10060"/>
          </w:cols>
          <w:pgMar w:left="500" w:top="1048"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2 </w:t>
      </w:r>
      <w:r>
        <w:rPr>
          <w:rFonts w:ascii="Arial" w:cs="Arial" w:eastAsia="Arial" w:hAnsi="Arial"/>
          <w:sz w:val="16"/>
          <w:szCs w:val="16"/>
          <w:color w:val="231F20"/>
        </w:rPr>
        <w:t>| American Tower Corporation</w:t>
      </w:r>
    </w:p>
    <w:p>
      <w:pPr>
        <w:sectPr>
          <w:pgSz w:w="11880" w:h="15480" w:orient="portrait"/>
          <w:cols w:equalWidth="0" w:num="1">
            <w:col w:w="10060"/>
          </w:cols>
          <w:pgMar w:left="500" w:top="1048" w:right="1320" w:bottom="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558800</wp:posOffset>
            </wp:positionH>
            <wp:positionV relativeFrom="page">
              <wp:posOffset>673100</wp:posOffset>
            </wp:positionV>
            <wp:extent cx="6985000" cy="915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000" cy="915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60"/>
          <w:szCs w:val="60"/>
          <w:color w:val="FFFFFF"/>
        </w:rPr>
        <w:t xml:space="preserve">A </w:t>
      </w:r>
      <w:r>
        <w:rPr>
          <w:rFonts w:ascii="Arial" w:cs="Arial" w:eastAsia="Arial" w:hAnsi="Arial"/>
          <w:sz w:val="60"/>
          <w:szCs w:val="60"/>
          <w:b w:val="1"/>
          <w:bCs w:val="1"/>
          <w:color w:val="D11F43"/>
        </w:rPr>
        <w:t>leading</w:t>
      </w:r>
      <w:r>
        <w:rPr>
          <w:rFonts w:ascii="Arial" w:cs="Arial" w:eastAsia="Arial" w:hAnsi="Arial"/>
          <w:sz w:val="60"/>
          <w:szCs w:val="60"/>
          <w:color w:val="FFFFFF"/>
        </w:rPr>
        <w:t xml:space="preserve"> global</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60"/>
          <w:szCs w:val="60"/>
          <w:color w:val="FFFFFF"/>
        </w:rPr>
        <w:t>provider of digital</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60"/>
          <w:szCs w:val="60"/>
          <w:color w:val="FFFFFF"/>
        </w:rPr>
        <w:t>communications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60"/>
          <w:szCs w:val="60"/>
          <w:color w:val="FFFFFF"/>
        </w:rPr>
        <w:t>infrastructure</w:t>
      </w:r>
    </w:p>
    <w:p>
      <w:pPr>
        <w:sectPr>
          <w:pgSz w:w="11880" w:h="15480" w:orient="portrait"/>
          <w:cols w:equalWidth="0" w:num="1">
            <w:col w:w="10080"/>
          </w:cols>
          <w:pgMar w:left="1440" w:top="1440"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300"/>
        <w:spacing w:after="0"/>
        <w:rPr>
          <w:sz w:val="20"/>
          <w:szCs w:val="20"/>
          <w:color w:val="auto"/>
        </w:rPr>
      </w:pPr>
      <w:r>
        <w:rPr>
          <w:rFonts w:ascii="Arial" w:cs="Arial" w:eastAsia="Arial" w:hAnsi="Arial"/>
          <w:sz w:val="16"/>
          <w:szCs w:val="16"/>
          <w:color w:val="231F20"/>
        </w:rPr>
        <w:t xml:space="preserve">American Tower Corporation | </w:t>
      </w:r>
      <w:r>
        <w:rPr>
          <w:rFonts w:ascii="Arial" w:cs="Arial" w:eastAsia="Arial" w:hAnsi="Arial"/>
          <w:sz w:val="16"/>
          <w:szCs w:val="16"/>
          <w:b w:val="1"/>
          <w:bCs w:val="1"/>
          <w:color w:val="231F20"/>
        </w:rPr>
        <w:t>3</w:t>
      </w:r>
    </w:p>
    <w:p>
      <w:pPr>
        <w:sectPr>
          <w:pgSz w:w="11880" w:h="15480" w:orient="portrait"/>
          <w:cols w:equalWidth="0" w:num="1">
            <w:col w:w="10080"/>
          </w:cols>
          <w:pgMar w:left="1440" w:top="1440" w:right="36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163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16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0"/>
        <w:spacing w:after="0"/>
        <w:rPr>
          <w:sz w:val="20"/>
          <w:szCs w:val="20"/>
          <w:color w:val="auto"/>
        </w:rPr>
      </w:pPr>
      <w:r>
        <w:rPr>
          <w:rFonts w:ascii="Arial" w:cs="Arial" w:eastAsia="Arial" w:hAnsi="Arial"/>
          <w:sz w:val="44"/>
          <w:szCs w:val="44"/>
          <w:color w:val="231F20"/>
        </w:rPr>
        <w:t xml:space="preserve">To our </w:t>
      </w:r>
      <w:r>
        <w:rPr>
          <w:rFonts w:ascii="Arial" w:cs="Arial" w:eastAsia="Arial" w:hAnsi="Arial"/>
          <w:sz w:val="44"/>
          <w:szCs w:val="44"/>
          <w:b w:val="1"/>
          <w:bCs w:val="1"/>
          <w:color w:val="D11F43"/>
        </w:rPr>
        <w:t>shareholders,</w:t>
      </w:r>
    </w:p>
    <w:p>
      <w:pPr>
        <w:spacing w:after="0" w:line="200" w:lineRule="exact"/>
        <w:rPr>
          <w:sz w:val="20"/>
          <w:szCs w:val="20"/>
          <w:color w:val="auto"/>
        </w:rPr>
      </w:pPr>
    </w:p>
    <w:p>
      <w:pPr>
        <w:spacing w:after="0" w:line="243" w:lineRule="exact"/>
        <w:rPr>
          <w:sz w:val="20"/>
          <w:szCs w:val="20"/>
          <w:color w:val="auto"/>
        </w:rPr>
      </w:pPr>
    </w:p>
    <w:p>
      <w:pPr>
        <w:ind w:left="720" w:right="140"/>
        <w:spacing w:after="0" w:line="326" w:lineRule="exact"/>
        <w:rPr>
          <w:sz w:val="20"/>
          <w:szCs w:val="20"/>
          <w:color w:val="auto"/>
        </w:rPr>
      </w:pPr>
      <w:r>
        <w:rPr>
          <w:rFonts w:ascii="Arial" w:cs="Arial" w:eastAsia="Arial" w:hAnsi="Arial"/>
          <w:sz w:val="15"/>
          <w:szCs w:val="15"/>
          <w:color w:val="231F20"/>
        </w:rPr>
        <w:t xml:space="preserve">American Tower stands at the center of one of the most exciting transformations of our time. With an unparalleled portfolio of high-quality towers and deeply interconnected data centers, we are uniquely positioned to power the world’s surging data needs—needs that will only </w:t>
      </w:r>
      <w:r>
        <w:rPr>
          <w:rFonts w:ascii="Arial" w:cs="Arial" w:eastAsia="Arial" w:hAnsi="Arial"/>
          <w:sz w:val="15"/>
          <w:szCs w:val="15"/>
          <w:color w:val="231F20"/>
        </w:rPr>
        <w:t>ÃßßêĞêŋÃŚêȊÃŒȊ</w:t>
      </w:r>
      <w:r>
        <w:rPr>
          <w:rFonts w:ascii="PMingLiU" w:cs="PMingLiU" w:eastAsia="PMingLiU" w:hAnsi="PMingLiU"/>
          <w:sz w:val="15"/>
          <w:szCs w:val="15"/>
          <w:color w:val="231F20"/>
        </w:rPr>
        <w:t/>
      </w:r>
      <w:r>
        <w:rPr>
          <w:rFonts w:ascii="Arial" w:cs="Arial" w:eastAsia="Arial" w:hAnsi="Arial"/>
          <w:sz w:val="15"/>
          <w:szCs w:val="15"/>
          <w:color w:val="231F20"/>
        </w:rPr>
        <w:t>ŋŚĉƌßĉÃĞȊFĥŚêĞĞĉĀêĥßêȊǲ</w:t>
      </w:r>
      <w:r>
        <w:rPr>
          <w:rFonts w:ascii="PMingLiU" w:cs="PMingLiU" w:eastAsia="PMingLiU" w:hAnsi="PMingLiU"/>
          <w:sz w:val="15"/>
          <w:szCs w:val="15"/>
          <w:color w:val="231F20"/>
        </w:rPr>
        <w:t/>
      </w:r>
      <w:r>
        <w:rPr>
          <w:rFonts w:ascii="Arial" w:cs="Arial" w:eastAsia="Arial" w:hAnsi="Arial"/>
          <w:sz w:val="15"/>
          <w:szCs w:val="15"/>
          <w:color w:val="231F20"/>
        </w:rPr>
        <w:t>FǳȊŠĥĞĬßěŒȊêĥŚĉŋêĞŽȊĥêŷȊňĬŒŒĉÞĉĞĉŚĉêŒǡȊ</w:t>
      </w:r>
      <w:r>
        <w:rPr>
          <w:rFonts w:ascii="PMingLiU" w:cs="PMingLiU" w:eastAsia="PMingLiU" w:hAnsi="PMingLiU"/>
          <w:sz w:val="15"/>
          <w:szCs w:val="15"/>
          <w:color w:val="231F20"/>
        </w:rPr>
        <w:t/>
      </w:r>
      <w:r>
        <w:rPr>
          <w:rFonts w:ascii="Arial" w:cs="Arial" w:eastAsia="Arial" w:hAnsi="Arial"/>
          <w:sz w:val="15"/>
          <w:szCs w:val="15"/>
          <w:color w:val="231F20"/>
        </w:rPr>
        <w:t xml:space="preserve">ŒȊßĬĥĥêßŚĉŶĉŚŽȊ </w:t>
      </w:r>
      <w:r>
        <w:rPr>
          <w:rFonts w:ascii="Arial" w:cs="Arial" w:eastAsia="Arial" w:hAnsi="Arial"/>
          <w:sz w:val="15"/>
          <w:szCs w:val="15"/>
          <w:color w:val="231F20"/>
        </w:rPr>
        <w:t>becomes the foundation of global innovation, our assets, expertise and scale place us on the leading edge of extraordinary growth.</w:t>
      </w:r>
    </w:p>
    <w:p>
      <w:pPr>
        <w:spacing w:after="0" w:line="200" w:lineRule="exact"/>
        <w:rPr>
          <w:sz w:val="20"/>
          <w:szCs w:val="20"/>
          <w:color w:val="auto"/>
        </w:rPr>
      </w:pPr>
    </w:p>
    <w:p>
      <w:pPr>
        <w:spacing w:after="0" w:line="273" w:lineRule="exact"/>
        <w:rPr>
          <w:sz w:val="20"/>
          <w:szCs w:val="20"/>
          <w:color w:val="auto"/>
        </w:rPr>
      </w:pPr>
    </w:p>
    <w:p>
      <w:pPr>
        <w:ind w:left="720" w:right="240"/>
        <w:spacing w:after="0" w:line="295" w:lineRule="exact"/>
        <w:rPr>
          <w:sz w:val="20"/>
          <w:szCs w:val="20"/>
          <w:color w:val="auto"/>
        </w:rPr>
      </w:pPr>
      <w:r>
        <w:rPr>
          <w:rFonts w:ascii="Arial" w:cs="Arial" w:eastAsia="Arial" w:hAnsi="Arial"/>
          <w:sz w:val="16"/>
          <w:szCs w:val="16"/>
          <w:color w:val="231F20"/>
        </w:rPr>
        <w:t>°ąêĥȊFȊÞêßÃĤêȊ</w:t>
      </w:r>
      <w:r>
        <w:rPr>
          <w:rFonts w:ascii="PMingLiU" w:cs="PMingLiU" w:eastAsia="PMingLiU" w:hAnsi="PMingLiU"/>
          <w:sz w:val="16"/>
          <w:szCs w:val="16"/>
          <w:color w:val="231F20"/>
        </w:rPr>
        <w:t/>
      </w:r>
      <w:r>
        <w:rPr>
          <w:rFonts w:ascii="Arial" w:cs="Arial" w:eastAsia="Arial" w:hAnsi="Arial"/>
          <w:sz w:val="16"/>
          <w:szCs w:val="16"/>
          <w:color w:val="231F20"/>
        </w:rPr>
        <w:t xml:space="preserve">(fȊĉĥȊƓƑƓƕǢȊFȊěĥêŷȊŚąêȊƌŋŒŚȊňąÃŒêȊĬÿȊĤŽȊŚêĥŠŋêȊŷĬŠĞåȊÞêȊåêƌĥêåȊÞŽȊ ĬĥêȊßĞêÃŋȊĬÞĘêßŚĉŶêǣȊŋêĉĥÿĬŋßĉĥĀȊĬŠŋȊÃĞŋêÃåŽȊŒŚŋĬĥĀȊÿŠĥåÃĤêĥŚÃĞŒȊÞŽȊŚÃěĉĥĀȊŋĉŒěȊĬŠŚȊĬÿȊĬŠŋȊ </w:t>
      </w:r>
      <w:r>
        <w:rPr>
          <w:rFonts w:ascii="Arial" w:cs="Arial" w:eastAsia="Arial" w:hAnsi="Arial"/>
          <w:sz w:val="16"/>
          <w:szCs w:val="16"/>
          <w:color w:val="231F20"/>
        </w:rPr>
        <w:t xml:space="preserve">business to ensure that our underlying assets support long-term, durable growth. The digital </w:t>
      </w:r>
      <w:r>
        <w:rPr>
          <w:rFonts w:ascii="Arial" w:cs="Arial" w:eastAsia="Arial" w:hAnsi="Arial"/>
          <w:sz w:val="16"/>
          <w:szCs w:val="16"/>
          <w:color w:val="231F20"/>
        </w:rPr>
        <w:t xml:space="preserve">ĉĥÿŋÃŒŚŋŠßŚŠŋêȊĞÃĥåŒßÃňêȊĉŒȊêŶĬĞŶĉĥĀȊŋÃňĉåĞŽǢȊÃĥåȊFȊÞêĞĉêŶêåȊŚąêĥǻÃŒȊFȊåĬȊêŶêĥȊĤĬŋêȊŒŚŋĬĥĀĞŽȊ </w:t>
      </w:r>
      <w:r>
        <w:rPr>
          <w:rFonts w:ascii="Arial" w:cs="Arial" w:eastAsia="Arial" w:hAnsi="Arial"/>
          <w:sz w:val="16"/>
          <w:szCs w:val="16"/>
          <w:color w:val="231F20"/>
        </w:rPr>
        <w:t xml:space="preserve">today—that the companies best positioned to lead through this evolution are those built on </w:t>
      </w:r>
      <w:r>
        <w:rPr>
          <w:rFonts w:ascii="Arial" w:cs="Arial" w:eastAsia="Arial" w:hAnsi="Arial"/>
          <w:sz w:val="16"/>
          <w:szCs w:val="16"/>
          <w:color w:val="231F20"/>
        </w:rPr>
        <w:t xml:space="preserve">ƌĥÃĥßĉÃĞȊåĉŒßĉňĞĉĥêǢȊňĬŋŚÿĬĞĉĬȊŋêŒĉĞĉêĥßêǢȊÃĥåȊÃȊŷĉĞĞĉĥĀĥêŒŒȊŚĬȊĤÃěêȊŚąĬŠĀąŚÿŠĞȊßąĬĉßêŒȊÃÞĬŠŚȊ </w:t>
      </w:r>
      <w:r>
        <w:rPr>
          <w:rFonts w:ascii="Arial" w:cs="Arial" w:eastAsia="Arial" w:hAnsi="Arial"/>
          <w:sz w:val="16"/>
          <w:szCs w:val="16"/>
          <w:color w:val="231F20"/>
        </w:rPr>
        <w:t>where and how they deploy capital.</w:t>
      </w:r>
    </w:p>
    <w:p>
      <w:pPr>
        <w:sectPr>
          <w:pgSz w:w="11880" w:h="15480" w:orient="portrait"/>
          <w:cols w:equalWidth="0" w:num="1">
            <w:col w:w="9720"/>
          </w:cols>
          <w:pgMar w:left="7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4 </w:t>
      </w:r>
      <w:r>
        <w:rPr>
          <w:rFonts w:ascii="Arial" w:cs="Arial" w:eastAsia="Arial" w:hAnsi="Arial"/>
          <w:sz w:val="16"/>
          <w:szCs w:val="16"/>
          <w:color w:val="231F20"/>
        </w:rPr>
        <w:t>| American Tower Corporation</w:t>
      </w:r>
    </w:p>
    <w:p>
      <w:pPr>
        <w:sectPr>
          <w:pgSz w:w="11880" w:h="15480" w:orient="portrait"/>
          <w:cols w:equalWidth="0" w:num="1">
            <w:col w:w="9720"/>
          </w:cols>
          <w:pgMar w:left="720" w:top="1440" w:right="1440" w:bottom="0" w:gutter="0" w:footer="0" w:header="0"/>
          <w:type w:val="continuous"/>
        </w:sectPr>
      </w:pPr>
    </w:p>
    <w:bookmarkStart w:id="4" w:name="page5"/>
    <w:bookmarkEnd w:id="4"/>
    <w:p>
      <w:pPr>
        <w:ind w:right="920"/>
        <w:spacing w:after="0" w:line="380" w:lineRule="auto"/>
        <w:rPr>
          <w:sz w:val="20"/>
          <w:szCs w:val="20"/>
          <w:color w:val="auto"/>
        </w:rPr>
      </w:pPr>
      <w:r>
        <w:rPr>
          <w:rFonts w:ascii="Arial" w:cs="Arial" w:eastAsia="Arial" w:hAnsi="Arial"/>
          <w:sz w:val="18"/>
          <w:szCs w:val="18"/>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7543800" cy="9163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163050"/>
                    </a:xfrm>
                    <a:prstGeom prst="rect">
                      <a:avLst/>
                    </a:prstGeom>
                    <a:noFill/>
                  </pic:spPr>
                </pic:pic>
              </a:graphicData>
            </a:graphic>
          </wp:anchor>
        </w:drawing>
        <w:t xml:space="preserve">fŶêŋȊŚąêȊňÃŒŚȊŚŷĬȊŽêÃŋŒǢȊŷêȊąÃŶêȊåêĞĉŶêŋêåȊĤêÃĥĉĥĀÿŠĞĞŽȊĬĥȊŚąÃŚȊĬÞĘêßŚĉŶêǻÃĥåȊŚĬåÃŽǢȊ </w:t>
      </w:r>
      <w:r>
        <w:rPr>
          <w:rFonts w:ascii="Arial" w:cs="Arial" w:eastAsia="Arial" w:hAnsi="Arial"/>
          <w:sz w:val="18"/>
          <w:szCs w:val="18"/>
          <w:color w:val="231F20"/>
        </w:rPr>
        <w:t>American Tower is a stronger, more resilient and more strategically focused company than at any point in the past decade.</w:t>
      </w:r>
    </w:p>
    <w:p>
      <w:pPr>
        <w:spacing w:after="0" w:line="217" w:lineRule="exact"/>
        <w:rPr>
          <w:sz w:val="20"/>
          <w:szCs w:val="20"/>
          <w:color w:val="auto"/>
        </w:rPr>
      </w:pPr>
    </w:p>
    <w:p>
      <w:pPr>
        <w:ind w:right="760"/>
        <w:spacing w:after="0" w:line="291" w:lineRule="exact"/>
        <w:rPr>
          <w:sz w:val="20"/>
          <w:szCs w:val="20"/>
          <w:color w:val="auto"/>
        </w:rPr>
      </w:pPr>
      <w:r>
        <w:rPr>
          <w:rFonts w:ascii="PMingLiU" w:cs="PMingLiU" w:eastAsia="PMingLiU" w:hAnsi="PMingLiU"/>
          <w:sz w:val="16"/>
          <w:szCs w:val="16"/>
          <w:color w:val="231F20"/>
        </w:rPr>
        <w:t/>
      </w:r>
      <w:r>
        <w:rPr>
          <w:rFonts w:ascii="Arial" w:cs="Arial" w:eastAsia="Arial" w:hAnsi="Arial"/>
          <w:sz w:val="16"/>
          <w:szCs w:val="16"/>
          <w:color w:val="231F20"/>
        </w:rPr>
        <w:t>ȊěêŽȊňĉĞĞÃŋȊĬÿȊŚąÃŚȊêÿÿĬŋŚȊąÃŒȊÞêêĥȊÿĬŋŚĉÿŽĉĥĀȊĬŠŋȊÞÃĞÃĥßêȊŒąêêŚǡȊ°êȊŚĬĬěȊåêßĉŒĉŶêȊÃßŚĉĬĥȊŚĬȊ ŋêåŠßêȊĬŠŋȊêżňĬŒŠŋêȊŚĬȊƍĬÃŚĉĥĀǸŋÃŚêȊåêÞŚǢȊŒĉĀĥĉƌßÃĥŚĞŽȊĞĬŷêŋĉĥĀȊĬŠŋȊŒêĥŒĉŚĉŶĉŚŽȊŚĬȊĉĥŚêŋêŒŚǸŋÃŚêȊ ŶĬĞÃŚĉĞĉŚŽǡȊ</w:t>
      </w:r>
      <w:r>
        <w:rPr>
          <w:rFonts w:ascii="PMingLiU" w:cs="PMingLiU" w:eastAsia="PMingLiU" w:hAnsi="PMingLiU"/>
          <w:sz w:val="16"/>
          <w:szCs w:val="16"/>
          <w:color w:val="231F20"/>
        </w:rPr>
        <w:t/>
      </w:r>
      <w:r>
        <w:rPr>
          <w:rFonts w:ascii="Arial" w:cs="Arial" w:eastAsia="Arial" w:hAnsi="Arial"/>
          <w:sz w:val="16"/>
          <w:szCs w:val="16"/>
          <w:color w:val="231F20"/>
        </w:rPr>
        <w:t>ŚȊŚąêȊŒÃĤêȊŚĉĤêǢȊŷêȊÃßßêĞêŋÃŚêåȊĬŠŋȊňĞÃĥȊŚĬȊÞŋĉĥĀȊĬŠŋȊĞêŶêŋÃĀêȊÞÃßěȊŷĉŚąĉĥȊĬŠŋȊ ĞĬĥĀǸŒŚÃĥåĉĥĀȊƔǺƖżȊŚÃŋĀêŚȊŋÃĥĀêǡȊFȊÃĤȊňĞêÃŒêåȊŚĬȊŋêňĬŋŚȊŚąÃŚǢȊŚĬåÃŽǢȊ</w:t>
      </w:r>
      <w:r>
        <w:rPr>
          <w:rFonts w:ascii="PMingLiU" w:cs="PMingLiU" w:eastAsia="PMingLiU" w:hAnsi="PMingLiU"/>
          <w:sz w:val="16"/>
          <w:szCs w:val="16"/>
          <w:color w:val="231F20"/>
        </w:rPr>
        <w:t/>
      </w:r>
      <w:r>
        <w:rPr>
          <w:rFonts w:ascii="Arial" w:cs="Arial" w:eastAsia="Arial" w:hAnsi="Arial"/>
          <w:sz w:val="16"/>
          <w:szCs w:val="16"/>
          <w:color w:val="231F20"/>
        </w:rPr>
        <w:t>ĤêŋĉßÃĥȊ</w:t>
      </w:r>
      <w:r>
        <w:rPr>
          <w:rFonts w:ascii="PMingLiU" w:cs="PMingLiU" w:eastAsia="PMingLiU" w:hAnsi="PMingLiU"/>
          <w:sz w:val="16"/>
          <w:szCs w:val="16"/>
          <w:color w:val="231F20"/>
        </w:rPr>
        <w:t></w:t>
      </w:r>
      <w:r>
        <w:rPr>
          <w:rFonts w:ascii="Arial" w:cs="Arial" w:eastAsia="Arial" w:hAnsi="Arial"/>
          <w:sz w:val="16"/>
          <w:szCs w:val="16"/>
          <w:color w:val="231F20"/>
        </w:rPr>
        <w:t>ĬŷêŋȊąÃŒȊ</w:t>
      </w:r>
    </w:p>
    <w:p>
      <w:pPr>
        <w:spacing w:after="0" w:line="39" w:lineRule="exact"/>
        <w:rPr>
          <w:sz w:val="20"/>
          <w:szCs w:val="20"/>
          <w:color w:val="auto"/>
        </w:rPr>
      </w:pPr>
    </w:p>
    <w:p>
      <w:pPr>
        <w:ind w:right="1440"/>
        <w:spacing w:after="0" w:line="320" w:lineRule="auto"/>
        <w:rPr>
          <w:sz w:val="20"/>
          <w:szCs w:val="20"/>
          <w:color w:val="auto"/>
        </w:rPr>
      </w:pPr>
      <w:r>
        <w:rPr>
          <w:rFonts w:ascii="Arial" w:cs="Arial" w:eastAsia="Arial" w:hAnsi="Arial"/>
          <w:sz w:val="21"/>
          <w:szCs w:val="21"/>
          <w:color w:val="231F20"/>
        </w:rPr>
        <w:t xml:space="preserve">the lowest leverage and highest credit rating across our peer group, positioning us with </w:t>
      </w:r>
      <w:r>
        <w:rPr>
          <w:rFonts w:ascii="Arial" w:cs="Arial" w:eastAsia="Arial" w:hAnsi="Arial"/>
          <w:sz w:val="21"/>
          <w:szCs w:val="21"/>
          <w:color w:val="231F20"/>
        </w:rPr>
        <w:t>êżßêňŚĉĬĥÃĞȊƌĥÃĥßĉÃĞȊƍêżĉÞĉĞĉŚŽȊÃŒȊŷêȊĞĬĬěȊŚĬȊŚąêȊÿŠŚŠŋêǡ</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231F20"/>
        </w:rPr>
        <w:t>A second pillar has been to recalibrate our exposure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ŚĬȊ(ĤêŋĀĉĥĀȊ^ÃŋěêŚŒȊÞŽȊŋêÞÃĞÃĥßĉĥĀȊĬŠŋȊňĬŋŚÿĬĞĉĬǡ</w:t>
      </w:r>
      <w:r>
        <w:rPr>
          <w:rFonts w:ascii="Arial" w:cs="Arial" w:eastAsia="Arial" w:hAnsi="Arial"/>
          <w:sz w:val="12"/>
          <w:szCs w:val="12"/>
          <w:color w:val="231F20"/>
        </w:rPr>
        <w:t>Ɠ</w:t>
      </w:r>
    </w:p>
    <w:p>
      <w:pPr>
        <w:spacing w:after="0" w:line="58" w:lineRule="exact"/>
        <w:rPr>
          <w:sz w:val="20"/>
          <w:szCs w:val="20"/>
          <w:color w:val="auto"/>
        </w:rPr>
      </w:pPr>
    </w:p>
    <w:p>
      <w:pPr>
        <w:spacing w:after="0" w:line="255" w:lineRule="exact"/>
        <w:rPr>
          <w:sz w:val="20"/>
          <w:szCs w:val="20"/>
          <w:color w:val="auto"/>
        </w:rPr>
      </w:pPr>
      <w:r>
        <w:rPr>
          <w:rFonts w:ascii="PMingLiU" w:cs="PMingLiU" w:eastAsia="PMingLiU" w:hAnsi="PMingLiU"/>
          <w:sz w:val="21"/>
          <w:szCs w:val="21"/>
          <w:color w:val="231F20"/>
        </w:rPr>
        <w:t></w:t>
      </w:r>
      <w:r>
        <w:rPr>
          <w:rFonts w:ascii="Arial" w:cs="Arial" w:eastAsia="Arial" w:hAnsi="Arial"/>
          <w:sz w:val="21"/>
          <w:szCs w:val="21"/>
          <w:color w:val="231F20"/>
        </w:rPr>
        <w:t>ąêŒêȊĤÃŋěêŚŒȊßĬĥŚĉĥŠêȊŚĬȊĬÿÿêŋȊĤêÃĥĉĥĀÿŠĞȊĞĬĥĀǸŚêŋĤȊ</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231F20"/>
        </w:rPr>
        <w:t>upside, but they also carry inherent volatility—from</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ßŠŋŋêĥßŽȊÃĥåȊĤÃßŋĬêßĬĥĬĤĉßȊŋĉŒěȊŚĬȊŋêĀŠĞÃŚĬŋŽȊ</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complexity. By tightening our return thresholds,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ŒąÃŋňêĥĉĥĀȊĬŠŋȊßÃňĉŚÃĞȊÃĞĞĬßÃŚĉĬĥȊßŋĉŚêŋĉÃǢȊÃĥåȊŋêƌĥĉĥĀȊ</w:t>
      </w:r>
    </w:p>
    <w:p>
      <w:pPr>
        <w:spacing w:after="0" w:line="59" w:lineRule="exact"/>
        <w:rPr>
          <w:sz w:val="20"/>
          <w:szCs w:val="20"/>
          <w:color w:val="auto"/>
        </w:rPr>
      </w:pPr>
    </w:p>
    <w:p>
      <w:pPr>
        <w:spacing w:after="0" w:line="255" w:lineRule="exact"/>
        <w:rPr>
          <w:sz w:val="20"/>
          <w:szCs w:val="20"/>
          <w:color w:val="auto"/>
        </w:rPr>
      </w:pPr>
      <w:r>
        <w:rPr>
          <w:rFonts w:ascii="Arial" w:cs="Arial" w:eastAsia="Arial" w:hAnsi="Arial"/>
          <w:sz w:val="21"/>
          <w:szCs w:val="21"/>
          <w:color w:val="231F20"/>
        </w:rPr>
        <w:t>ĬŠŋȊÿĬĬŚňŋĉĥŚǢȊŷêȊąÃŶêȊŋêåŠßêåȊĬŠŋȊŠĥĞêŶêŋêåȊ</w:t>
      </w:r>
      <w:r>
        <w:rPr>
          <w:rFonts w:ascii="PMingLiU" w:cs="PMingLiU" w:eastAsia="PMingLiU" w:hAnsi="PMingLiU"/>
          <w:sz w:val="21"/>
          <w:szCs w:val="21"/>
          <w:color w:val="231F20"/>
        </w:rPr>
        <w:t/>
      </w:r>
      <w:r>
        <w:rPr>
          <w:rFonts w:ascii="Arial" w:cs="Arial" w:eastAsia="Arial" w:hAnsi="Arial"/>
          <w:sz w:val="21"/>
          <w:szCs w:val="21"/>
          <w:color w:val="231F20"/>
        </w:rPr>
        <w:t>&lt;&lt;fȊ</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231F20"/>
        </w:rPr>
        <w:t>êżňĬŒŠŋêȊŚĬȊ(ĤêŋĀĉĥĀȊ^ÃŋěêŚŒȊÿŋĬĤȊĬŶêŋȊƔƑɃȊƌŶêȊ</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ŽêÃŋŒȊÃĀĬȊŚĬȊÃňňŋĬżĉĤÃŚêĞŽȊƓƖɃȊŚĬåÃŽǡȊ°êȊŷĉĞĞȊ</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continue to direct the majority of our discretionary</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ßÃňĉŚÃĞȊĉĥŶêŒŚĤêĥŚŒȊŚĬŷÃŋåȊ#êŶêĞĬňêåȊ^ÃŋěêŚŒǢȊŷąĉßąȊ</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are inherently more stable and have returns that are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predictable, and this shift in our investment philosophy</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231F20"/>
        </w:rPr>
        <w:t>ŷĉĞĞȊŋêŒŠĞŚȊĉĥȊêŶêĥȊĞêŒŒȊêżňĬŒŠŋêȊŚĬȊ(ĤêŋĀĉĥĀȊ^ÃŋěêŚŒȊ</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231F20"/>
        </w:rPr>
        <w:t>over time.</w:t>
      </w:r>
      <w:r>
        <w:rPr>
          <w:rFonts w:ascii="Arial" w:cs="Arial" w:eastAsia="Arial" w:hAnsi="Arial"/>
          <w:sz w:val="12"/>
          <w:szCs w:val="12"/>
          <w:color w:val="231F20"/>
        </w:rPr>
        <w:t>3</w:t>
      </w:r>
      <w:r>
        <w:rPr>
          <w:rFonts w:ascii="Arial" w:cs="Arial" w:eastAsia="Arial" w:hAnsi="Arial"/>
          <w:sz w:val="21"/>
          <w:szCs w:val="21"/>
          <w:color w:val="231F20"/>
        </w:rPr>
        <w:t xml:space="preserve"> This strategic reorientation is setting up our</w:t>
      </w:r>
    </w:p>
    <w:p>
      <w:pPr>
        <w:spacing w:after="0" w:line="59" w:lineRule="exact"/>
        <w:rPr>
          <w:sz w:val="20"/>
          <w:szCs w:val="20"/>
          <w:color w:val="auto"/>
        </w:rPr>
      </w:pPr>
    </w:p>
    <w:p>
      <w:pPr>
        <w:spacing w:after="0" w:line="255" w:lineRule="exact"/>
        <w:rPr>
          <w:sz w:val="20"/>
          <w:szCs w:val="20"/>
          <w:color w:val="auto"/>
        </w:rPr>
      </w:pPr>
      <w:r>
        <w:rPr>
          <w:rFonts w:ascii="Arial" w:cs="Arial" w:eastAsia="Arial" w:hAnsi="Arial"/>
          <w:sz w:val="21"/>
          <w:szCs w:val="21"/>
          <w:color w:val="231F20"/>
        </w:rPr>
        <w:t>ßĬĤÞĉĥêåȊŚĬŷêŋȊÃĥåȊ</w:t>
      </w:r>
      <w:r>
        <w:rPr>
          <w:rFonts w:ascii="PMingLiU" w:cs="PMingLiU" w:eastAsia="PMingLiU" w:hAnsi="PMingLiU"/>
          <w:sz w:val="21"/>
          <w:szCs w:val="21"/>
          <w:color w:val="231F20"/>
        </w:rPr>
        <w:t/>
      </w:r>
      <w:r>
        <w:rPr>
          <w:rFonts w:ascii="Arial" w:cs="Arial" w:eastAsia="Arial" w:hAnsi="Arial"/>
          <w:sz w:val="21"/>
          <w:szCs w:val="21"/>
          <w:color w:val="231F20"/>
        </w:rPr>
        <w:t>Ĭŋê</w:t>
      </w:r>
      <w:r>
        <w:rPr>
          <w:rFonts w:ascii="PMingLiU" w:cs="PMingLiU" w:eastAsia="PMingLiU" w:hAnsi="PMingLiU"/>
          <w:sz w:val="21"/>
          <w:szCs w:val="21"/>
          <w:color w:val="231F20"/>
        </w:rPr>
        <w:t></w:t>
      </w:r>
      <w:r>
        <w:rPr>
          <w:rFonts w:ascii="Arial" w:cs="Arial" w:eastAsia="Arial" w:hAnsi="Arial"/>
          <w:sz w:val="21"/>
          <w:szCs w:val="21"/>
          <w:color w:val="231F20"/>
        </w:rPr>
        <w:t>ĉŚêȊåÃŚÃȊßêĥŚêŋȊňĬŋŚÿĬĞĉĬȊÿĬŋȊ</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231F20"/>
        </w:rPr>
        <w:t>sustained, high-quality growth.</w:t>
      </w:r>
    </w:p>
    <w:p>
      <w:pPr>
        <w:spacing w:after="0" w:line="358" w:lineRule="exact"/>
        <w:rPr>
          <w:sz w:val="20"/>
          <w:szCs w:val="20"/>
          <w:color w:val="auto"/>
        </w:rPr>
      </w:pPr>
    </w:p>
    <w:p>
      <w:pPr>
        <w:ind w:right="4580"/>
        <w:spacing w:after="0" w:line="296" w:lineRule="exact"/>
        <w:rPr>
          <w:sz w:val="20"/>
          <w:szCs w:val="20"/>
          <w:color w:val="auto"/>
        </w:rPr>
      </w:pPr>
      <w:r>
        <w:rPr>
          <w:rFonts w:ascii="PMingLiU" w:cs="PMingLiU" w:eastAsia="PMingLiU" w:hAnsi="PMingLiU"/>
          <w:sz w:val="18"/>
          <w:szCs w:val="18"/>
          <w:color w:val="231F20"/>
        </w:rPr>
        <w:t></w:t>
      </w:r>
      <w:r>
        <w:rPr>
          <w:rFonts w:ascii="Arial" w:cs="Arial" w:eastAsia="Arial" w:hAnsi="Arial"/>
          <w:sz w:val="18"/>
          <w:szCs w:val="18"/>
          <w:color w:val="231F20"/>
        </w:rPr>
        <w:t>ąêȊƌĥÃĞȊňĉĞĞÃŋȊąÃŒȊÞêêĥȊŚĬȊŋêåŠßêȊĬŠŋȊßĬŠĥŚêŋňÃŋŚŽȊ ŋĉŒěȊÃßŋĬŒŒȊŚąêȊňĬŋŚÿĬĞĉĬǡȊ</w:t>
      </w:r>
      <w:r>
        <w:rPr>
          <w:rFonts w:ascii="PMingLiU" w:cs="PMingLiU" w:eastAsia="PMingLiU" w:hAnsi="PMingLiU"/>
          <w:sz w:val="18"/>
          <w:szCs w:val="18"/>
          <w:color w:val="231F20"/>
        </w:rPr>
        <w:t></w:t>
      </w:r>
      <w:r>
        <w:rPr>
          <w:rFonts w:ascii="Arial" w:cs="Arial" w:eastAsia="Arial" w:hAnsi="Arial"/>
          <w:sz w:val="18"/>
          <w:szCs w:val="18"/>
          <w:color w:val="231F20"/>
        </w:rPr>
        <w:t xml:space="preserve">ĬĤêȊĬÿȊŚąÃŚȊąÃŒȊĬßßŠŋŋêåȊ </w:t>
      </w:r>
      <w:r>
        <w:rPr>
          <w:rFonts w:ascii="Arial" w:cs="Arial" w:eastAsia="Arial" w:hAnsi="Arial"/>
          <w:sz w:val="18"/>
          <w:szCs w:val="18"/>
          <w:color w:val="231F20"/>
        </w:rPr>
        <w:t xml:space="preserve">as a result of the carrier consolidation churn, which </w:t>
      </w:r>
      <w:r>
        <w:rPr>
          <w:rFonts w:ascii="Arial" w:cs="Arial" w:eastAsia="Arial" w:hAnsi="Arial"/>
          <w:sz w:val="18"/>
          <w:szCs w:val="18"/>
          <w:color w:val="231F20"/>
        </w:rPr>
        <w:t xml:space="preserve">ąÃŒȊŷêĉĀąêåȊĬĥȊĬŠŋȊĀŋĬŷŚąȊĉĥȊŋêßêĥŚȊŽêÃŋŒǡȊ^ŠßąȊĬÿȊĉŚȊ </w:t>
      </w:r>
      <w:r>
        <w:rPr>
          <w:rFonts w:ascii="Arial" w:cs="Arial" w:eastAsia="Arial" w:hAnsi="Arial"/>
          <w:sz w:val="18"/>
          <w:szCs w:val="18"/>
          <w:color w:val="231F20"/>
        </w:rPr>
        <w:t xml:space="preserve">has been the result of a strategic focus on negotiating </w:t>
      </w:r>
      <w:r>
        <w:rPr>
          <w:rFonts w:ascii="Arial" w:cs="Arial" w:eastAsia="Arial" w:hAnsi="Arial"/>
          <w:sz w:val="18"/>
          <w:szCs w:val="18"/>
          <w:color w:val="231F20"/>
        </w:rPr>
        <w:t>ĞĬĥĀêŋǸŚêŋĤȊ^ÃŒŚêŋȊXêÃŒêȊ</w:t>
      </w:r>
      <w:r>
        <w:rPr>
          <w:rFonts w:ascii="PMingLiU" w:cs="PMingLiU" w:eastAsia="PMingLiU" w:hAnsi="PMingLiU"/>
          <w:sz w:val="18"/>
          <w:szCs w:val="18"/>
          <w:color w:val="231F20"/>
        </w:rPr>
        <w:t/>
      </w:r>
      <w:r>
        <w:rPr>
          <w:rFonts w:ascii="Arial" w:cs="Arial" w:eastAsia="Arial" w:hAnsi="Arial"/>
          <w:sz w:val="18"/>
          <w:szCs w:val="18"/>
          <w:color w:val="231F20"/>
        </w:rPr>
        <w:t xml:space="preserve">ĀŋêêĤêĥŚŒȊŷĉŚąȊÞêŚŚêŋȊ </w:t>
      </w:r>
      <w:r>
        <w:rPr>
          <w:rFonts w:ascii="Arial" w:cs="Arial" w:eastAsia="Arial" w:hAnsi="Arial"/>
          <w:sz w:val="18"/>
          <w:szCs w:val="18"/>
          <w:color w:val="231F20"/>
        </w:rPr>
        <w:t>long-term protections, only investing capital where the counterparty is a tier one carrier and exiting non-core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ƓȊȊ (ĤêŋĀĉĥĀȊ^ÃŋěêŚŒȊŋêňŋêŒêĥŚȊŚąêȊ</w:t>
      </w:r>
      <w:r>
        <w:rPr>
          <w:rFonts w:ascii="PMingLiU" w:cs="PMingLiU" w:eastAsia="PMingLiU" w:hAnsi="PMingLiU"/>
          <w:sz w:val="12"/>
          <w:szCs w:val="12"/>
          <w:color w:val="231F20"/>
        </w:rPr>
        <w:t/>
      </w:r>
      <w:r>
        <w:rPr>
          <w:rFonts w:ascii="Arial" w:cs="Arial" w:eastAsia="Arial" w:hAnsi="Arial"/>
          <w:sz w:val="12"/>
          <w:szCs w:val="12"/>
          <w:color w:val="231F20"/>
        </w:rPr>
        <w:t>ĬĤňÃĥŽȃŒȊXÃŚĉĥȊ</w:t>
      </w:r>
      <w:r>
        <w:rPr>
          <w:rFonts w:ascii="PMingLiU" w:cs="PMingLiU" w:eastAsia="PMingLiU" w:hAnsi="PMingLiU"/>
          <w:sz w:val="12"/>
          <w:szCs w:val="12"/>
          <w:color w:val="231F20"/>
        </w:rPr>
        <w:t/>
      </w:r>
      <w:r>
        <w:rPr>
          <w:rFonts w:ascii="Arial" w:cs="Arial" w:eastAsia="Arial" w:hAnsi="Arial"/>
          <w:sz w:val="12"/>
          <w:szCs w:val="12"/>
          <w:color w:val="231F20"/>
        </w:rPr>
        <w:t>ĤêŋĉßÃȊÃĥåȊ</w:t>
      </w:r>
      <w:r>
        <w:rPr>
          <w:rFonts w:ascii="PMingLiU" w:cs="PMingLiU" w:eastAsia="PMingLiU" w:hAnsi="PMingLiU"/>
          <w:sz w:val="12"/>
          <w:szCs w:val="12"/>
          <w:color w:val="231F20"/>
        </w:rPr>
        <w:t/>
      </w:r>
      <w:r>
        <w:rPr>
          <w:rFonts w:ascii="Arial" w:cs="Arial" w:eastAsia="Arial" w:hAnsi="Arial"/>
          <w:sz w:val="12"/>
          <w:szCs w:val="12"/>
          <w:color w:val="231F20"/>
        </w:rPr>
        <w:t>ÿŋĉßÃȊɇȊ</w:t>
      </w:r>
      <w:r>
        <w:rPr>
          <w:rFonts w:ascii="PMingLiU" w:cs="PMingLiU" w:eastAsia="PMingLiU" w:hAnsi="PMingLiU"/>
          <w:sz w:val="12"/>
          <w:szCs w:val="12"/>
          <w:color w:val="231F20"/>
        </w:rPr>
        <w:t></w:t>
      </w:r>
      <w:r>
        <w:rPr>
          <w:rFonts w:ascii="Arial" w:cs="Arial" w:eastAsia="Arial" w:hAnsi="Arial"/>
          <w:sz w:val="12"/>
          <w:szCs w:val="12"/>
          <w:color w:val="231F20"/>
        </w:rPr>
        <w:t>ȊňŋĬňêŋŚŽȊŒêĀĤêĥŚŒǡ</w:t>
      </w:r>
    </w:p>
    <w:p>
      <w:pPr>
        <w:spacing w:after="0" w:line="15"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ƔȊ #êŶêĞĬňêåȊ^ÃŋěêŚŒȊŋêňŋêŒêĥŚȊŚąêȊ</w:t>
      </w:r>
      <w:r>
        <w:rPr>
          <w:rFonts w:ascii="PMingLiU" w:cs="PMingLiU" w:eastAsia="PMingLiU" w:hAnsi="PMingLiU"/>
          <w:sz w:val="12"/>
          <w:szCs w:val="12"/>
          <w:color w:val="231F20"/>
        </w:rPr>
        <w:t/>
      </w:r>
      <w:r>
        <w:rPr>
          <w:rFonts w:ascii="Arial" w:cs="Arial" w:eastAsia="Arial" w:hAnsi="Arial"/>
          <w:sz w:val="12"/>
          <w:szCs w:val="12"/>
          <w:color w:val="231F20"/>
        </w:rPr>
        <w:t>ĬĤňÃĥŽȃŒȊ</w:t>
      </w:r>
      <w:r>
        <w:rPr>
          <w:rFonts w:ascii="PMingLiU" w:cs="PMingLiU" w:eastAsia="PMingLiU" w:hAnsi="PMingLiU"/>
          <w:sz w:val="12"/>
          <w:szCs w:val="12"/>
          <w:color w:val="231F20"/>
        </w:rPr>
        <w:t></w:t>
      </w:r>
      <w:r>
        <w:rPr>
          <w:rFonts w:ascii="Arial" w:cs="Arial" w:eastAsia="Arial" w:hAnsi="Arial"/>
          <w:sz w:val="12"/>
          <w:szCs w:val="12"/>
          <w:color w:val="231F20"/>
        </w:rPr>
        <w:t>ǡ</w:t>
      </w:r>
      <w:r>
        <w:rPr>
          <w:rFonts w:ascii="PMingLiU" w:cs="PMingLiU" w:eastAsia="PMingLiU" w:hAnsi="PMingLiU"/>
          <w:sz w:val="12"/>
          <w:szCs w:val="12"/>
          <w:color w:val="231F20"/>
        </w:rPr>
        <w:t></w:t>
      </w:r>
      <w:r>
        <w:rPr>
          <w:rFonts w:ascii="Arial" w:cs="Arial" w:eastAsia="Arial" w:hAnsi="Arial"/>
          <w:sz w:val="12"/>
          <w:szCs w:val="12"/>
          <w:color w:val="231F20"/>
        </w:rPr>
        <w:t>ǡȊɇȊ</w:t>
      </w:r>
      <w:r>
        <w:rPr>
          <w:rFonts w:ascii="PMingLiU" w:cs="PMingLiU" w:eastAsia="PMingLiU" w:hAnsi="PMingLiU"/>
          <w:sz w:val="12"/>
          <w:szCs w:val="12"/>
          <w:color w:val="231F20"/>
        </w:rPr>
        <w:t/>
      </w:r>
      <w:r>
        <w:rPr>
          <w:rFonts w:ascii="Arial" w:cs="Arial" w:eastAsia="Arial" w:hAnsi="Arial"/>
          <w:sz w:val="12"/>
          <w:szCs w:val="12"/>
          <w:color w:val="231F20"/>
        </w:rPr>
        <w:t>ÃĥÃåÃǢȊ(ŠŋĬňêǢȊÃĥåȊ#ÃŚÃȊ</w:t>
      </w:r>
      <w:r>
        <w:rPr>
          <w:rFonts w:ascii="PMingLiU" w:cs="PMingLiU" w:eastAsia="PMingLiU" w:hAnsi="PMingLiU"/>
          <w:sz w:val="12"/>
          <w:szCs w:val="12"/>
          <w:color w:val="231F20"/>
        </w:rPr>
        <w:t/>
      </w:r>
      <w:r>
        <w:rPr>
          <w:rFonts w:ascii="Arial" w:cs="Arial" w:eastAsia="Arial" w:hAnsi="Arial"/>
          <w:sz w:val="12"/>
          <w:szCs w:val="12"/>
          <w:color w:val="231F20"/>
        </w:rPr>
        <w:t>êĥŚêŋŒȊňŋĬňêŋŚŽȊŒêĀĤêĥŚŒǡ</w:t>
      </w:r>
    </w:p>
    <w:p>
      <w:pPr>
        <w:sectPr>
          <w:pgSz w:w="11880" w:h="15480" w:orient="portrait"/>
          <w:cols w:equalWidth="0" w:num="1">
            <w:col w:w="9720"/>
          </w:cols>
          <w:pgMar w:left="1440" w:top="106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940"/>
        <w:spacing w:after="0"/>
        <w:rPr>
          <w:sz w:val="20"/>
          <w:szCs w:val="20"/>
          <w:color w:val="auto"/>
        </w:rPr>
      </w:pPr>
      <w:r>
        <w:rPr>
          <w:rFonts w:ascii="Arial" w:cs="Arial" w:eastAsia="Arial" w:hAnsi="Arial"/>
          <w:sz w:val="16"/>
          <w:szCs w:val="16"/>
          <w:color w:val="231F20"/>
        </w:rPr>
        <w:t xml:space="preserve">American Tower Corporation | </w:t>
      </w:r>
      <w:r>
        <w:rPr>
          <w:rFonts w:ascii="Arial" w:cs="Arial" w:eastAsia="Arial" w:hAnsi="Arial"/>
          <w:sz w:val="16"/>
          <w:szCs w:val="16"/>
          <w:b w:val="1"/>
          <w:bCs w:val="1"/>
          <w:color w:val="231F20"/>
        </w:rPr>
        <w:t>5</w:t>
      </w:r>
    </w:p>
    <w:p>
      <w:pPr>
        <w:sectPr>
          <w:pgSz w:w="11880" w:h="15480" w:orient="portrait"/>
          <w:cols w:equalWidth="0" w:num="1">
            <w:col w:w="9720"/>
          </w:cols>
          <w:pgMar w:left="1440" w:top="1066" w:right="720" w:bottom="0" w:gutter="0" w:footer="0" w:header="0"/>
          <w:type w:val="continuous"/>
        </w:sectPr>
      </w:pPr>
    </w:p>
    <w:bookmarkStart w:id="5" w:name="page6"/>
    <w:bookmarkEnd w:id="5"/>
    <w:p>
      <w:pPr>
        <w:ind w:left="720" w:right="140"/>
        <w:spacing w:after="0" w:line="295" w:lineRule="exact"/>
        <w:rPr>
          <w:sz w:val="20"/>
          <w:szCs w:val="20"/>
          <w:color w:val="auto"/>
        </w:rPr>
      </w:pPr>
      <w:r>
        <w:rPr>
          <w:rFonts w:ascii="PMingLiU" w:cs="PMingLiU" w:eastAsia="PMingLiU" w:hAnsi="PMingLiU"/>
          <w:sz w:val="16"/>
          <w:szCs w:val="16"/>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7543800" cy="918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181465"/>
                    </a:xfrm>
                    <a:prstGeom prst="rect">
                      <a:avLst/>
                    </a:prstGeom>
                    <a:noFill/>
                  </pic:spPr>
                </pic:pic>
              </a:graphicData>
            </a:graphic>
          </wp:anchor>
        </w:drawing>
        <w:t></w:t>
      </w:r>
      <w:r>
        <w:rPr>
          <w:rFonts w:ascii="Arial" w:cs="Arial" w:eastAsia="Arial" w:hAnsi="Arial"/>
          <w:sz w:val="16"/>
          <w:szCs w:val="16"/>
          <w:color w:val="231F20"/>
        </w:rPr>
        <w:t>ąêȊĉĤňÃßŚȊĬÿȊŚąêŒêȊŒŚŋÃŚêĀĉßȊĉĥĉŚĉÃŚĉŶêŒȊĉŒȊßĞêÃŋĞŽȊêŶĉåêĥŚȊĉĥȊĬŠŋȊƓƑƓƖȊňêŋÿĬŋĤÃĥßêǡȊFŚȊŷÃŒȊ ÃĥȊêżßêĞĞêĥŚȊŽêÃŋȊÿĬŋȊ</w:t>
      </w:r>
      <w:r>
        <w:rPr>
          <w:rFonts w:ascii="PMingLiU" w:cs="PMingLiU" w:eastAsia="PMingLiU" w:hAnsi="PMingLiU"/>
          <w:sz w:val="16"/>
          <w:szCs w:val="16"/>
          <w:color w:val="231F20"/>
        </w:rPr>
        <w:t/>
      </w:r>
      <w:r>
        <w:rPr>
          <w:rFonts w:ascii="Arial" w:cs="Arial" w:eastAsia="Arial" w:hAnsi="Arial"/>
          <w:sz w:val="16"/>
          <w:szCs w:val="16"/>
          <w:color w:val="231F20"/>
        </w:rPr>
        <w:t>ĤêŋĉßÃĥȊ</w:t>
      </w:r>
      <w:r>
        <w:rPr>
          <w:rFonts w:ascii="PMingLiU" w:cs="PMingLiU" w:eastAsia="PMingLiU" w:hAnsi="PMingLiU"/>
          <w:sz w:val="16"/>
          <w:szCs w:val="16"/>
          <w:color w:val="231F20"/>
        </w:rPr>
        <w:t></w:t>
      </w:r>
      <w:r>
        <w:rPr>
          <w:rFonts w:ascii="Arial" w:cs="Arial" w:eastAsia="Arial" w:hAnsi="Arial"/>
          <w:sz w:val="16"/>
          <w:szCs w:val="16"/>
          <w:color w:val="231F20"/>
        </w:rPr>
        <w:t>ĬŷêŋǢȊÃĥåȊFȊÃĤȊňŋĬŠåȊĬÿȊĬŠŋȊŚêÃĤŒȊÃßŋĬŒŒȊŚąêȊĀĞĬÞêȊÿĬŋȊŚąêĉŋȊ ÃßąĉêŶêĤêĥŚŒǡȊFĥȊƓƑƓƖǢȊŷêȊĀŋêŷȊĬŋĀÃĥĉßȊŚêĥÃĥŚȊÞĉĞĞĉĥĀŒȊÞŽȊƖɃǢȊåŋĉŶêĥȊÞŽȊßĬĥŒĉŒŚêĥŚĞŽȊĀÃĉĥĉĥĀȊ ĤĬŋêȊŚąÃĥȊĬŠŋȊÿÃĉŋȊŒąÃŋêȊĬÿȊĥêŷȊÞŠŒĉĥêŒŒǢȊŷĉŚąȊÃȊÞÃßěåŋĬňȊĬÿȊÞŋĬÃåǸÞÃŒêåȊßÃŋŋĉêŋȊĉĥŶêŒŚĤêĥŚȊ ÃßŋĬŒŒȊĬŠŋȊĀĞĬÞÃĞȊňĬŋŚÿĬĞĉĬǡȊ</w:t>
      </w:r>
      <w:r>
        <w:rPr>
          <w:rFonts w:ascii="PMingLiU" w:cs="PMingLiU" w:eastAsia="PMingLiU" w:hAnsi="PMingLiU"/>
          <w:sz w:val="16"/>
          <w:szCs w:val="16"/>
          <w:color w:val="231F20"/>
        </w:rPr>
        <w:t></w:t>
      </w:r>
      <w:r>
        <w:rPr>
          <w:rFonts w:ascii="Arial" w:cs="Arial" w:eastAsia="Arial" w:hAnsi="Arial"/>
          <w:sz w:val="16"/>
          <w:szCs w:val="16"/>
          <w:color w:val="231F20"/>
        </w:rPr>
        <w:t>ąŋĬŠĀąȊåĉŒßĉňĞĉĥêåȊßĬŒŚȊĤÃĥÃĀêĤêĥŚȊÃĥåȊŚąêȊÞêĥêƌŚŒȊĬÿȊÃĥȊ ĬňŚĉĤĉƅêåȊßÃňĉŚÃĞȊŒŚŋŠßŚŠŋêǢȊŷêȊåêĞĉŶêŋêåȊƙɃȊŽêÃŋǸĬŶêŋǸŽêÃŋȊĀŋĬŷŚąȊĉĥȊ</w:t>
      </w:r>
      <w:r>
        <w:rPr>
          <w:rFonts w:ascii="PMingLiU" w:cs="PMingLiU" w:eastAsia="PMingLiU" w:hAnsi="PMingLiU"/>
          <w:sz w:val="16"/>
          <w:szCs w:val="16"/>
          <w:color w:val="231F20"/>
        </w:rPr>
        <w:t/>
      </w:r>
      <w:r>
        <w:rPr>
          <w:rFonts w:ascii="Arial" w:cs="Arial" w:eastAsia="Arial" w:hAnsi="Arial"/>
          <w:sz w:val="16"/>
          <w:szCs w:val="16"/>
          <w:color w:val="231F20"/>
        </w:rPr>
        <w:t>&lt;&lt;fȊňêŋȊ</w:t>
      </w:r>
      <w:r>
        <w:rPr>
          <w:rFonts w:ascii="PMingLiU" w:cs="PMingLiU" w:eastAsia="PMingLiU" w:hAnsi="PMingLiU"/>
          <w:sz w:val="16"/>
          <w:szCs w:val="16"/>
          <w:color w:val="231F20"/>
        </w:rPr>
        <w:t></w:t>
      </w:r>
      <w:r>
        <w:rPr>
          <w:rFonts w:ascii="Arial" w:cs="Arial" w:eastAsia="Arial" w:hAnsi="Arial"/>
          <w:sz w:val="16"/>
          <w:szCs w:val="16"/>
          <w:color w:val="231F20"/>
        </w:rPr>
        <w:t xml:space="preserve">ąÃŋêǢȊÃŒȊ </w:t>
      </w:r>
      <w:r>
        <w:rPr>
          <w:rFonts w:ascii="Arial" w:cs="Arial" w:eastAsia="Arial" w:hAnsi="Arial"/>
          <w:sz w:val="16"/>
          <w:szCs w:val="16"/>
          <w:color w:val="231F20"/>
        </w:rPr>
        <w:t>adjusted.</w:t>
      </w:r>
      <w:r>
        <w:rPr>
          <w:rFonts w:ascii="Arial" w:cs="Arial" w:eastAsia="Arial" w:hAnsi="Arial"/>
          <w:sz w:val="9"/>
          <w:szCs w:val="9"/>
          <w:color w:val="231F20"/>
        </w:rPr>
        <w:t>ƕǢƖ</w:t>
      </w:r>
      <w:r>
        <w:rPr>
          <w:rFonts w:ascii="Arial" w:cs="Arial" w:eastAsia="Arial" w:hAnsi="Arial"/>
          <w:sz w:val="16"/>
          <w:szCs w:val="16"/>
          <w:color w:val="231F20"/>
        </w:rPr>
        <w:t>Ȋ</w:t>
      </w:r>
      <w:r>
        <w:rPr>
          <w:rFonts w:ascii="PMingLiU" w:cs="PMingLiU" w:eastAsia="PMingLiU" w:hAnsi="PMingLiU"/>
          <w:sz w:val="16"/>
          <w:szCs w:val="16"/>
          <w:color w:val="231F20"/>
        </w:rPr>
        <w:t></w:t>
      </w:r>
      <w:r>
        <w:rPr>
          <w:rFonts w:ascii="Arial" w:cs="Arial" w:eastAsia="Arial" w:hAnsi="Arial"/>
          <w:sz w:val="16"/>
          <w:szCs w:val="16"/>
          <w:color w:val="231F20"/>
        </w:rPr>
        <w:t>ąêŒêȊŋêŒŠĞŚŒȊŠĥåêŋŒßĬŋêȊŚąêȊŒŚŋêĥĀŚąȊĬÿȊĬŠŋȊÞŠŒĉĥêŒŒȊĤĬåêĞȊÃĥåȊŋêƍêßŚȊŚąêȊěĉĥåȊ</w:t>
      </w:r>
      <w:r>
        <w:rPr>
          <w:rFonts w:ascii="Arial" w:cs="Arial" w:eastAsia="Arial" w:hAnsi="Arial"/>
          <w:sz w:val="16"/>
          <w:szCs w:val="16"/>
          <w:color w:val="231F20"/>
        </w:rPr>
        <w:t xml:space="preserve"> of performance we strive to deliver consistently.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right="1380"/>
        <w:spacing w:after="0" w:line="557" w:lineRule="exact"/>
        <w:rPr>
          <w:sz w:val="20"/>
          <w:szCs w:val="20"/>
          <w:color w:val="auto"/>
        </w:rPr>
      </w:pPr>
      <w:r>
        <w:rPr>
          <w:rFonts w:ascii="Arial" w:cs="Arial" w:eastAsia="Arial" w:hAnsi="Arial"/>
          <w:sz w:val="43"/>
          <w:szCs w:val="43"/>
          <w:color w:val="231F20"/>
        </w:rPr>
        <w:t>Ȁ</w:t>
      </w:r>
      <w:r>
        <w:rPr>
          <w:rFonts w:ascii="PMingLiU" w:cs="PMingLiU" w:eastAsia="PMingLiU" w:hAnsi="PMingLiU"/>
          <w:sz w:val="43"/>
          <w:szCs w:val="43"/>
          <w:color w:val="231F20"/>
        </w:rPr>
        <w:t></w:t>
      </w:r>
      <w:r>
        <w:rPr>
          <w:rFonts w:ascii="Arial" w:cs="Arial" w:eastAsia="Arial" w:hAnsi="Arial"/>
          <w:sz w:val="43"/>
          <w:szCs w:val="43"/>
          <w:color w:val="231F20"/>
        </w:rPr>
        <w:t>ąêȊÿŠŚŠŋêȊÿĬŋȊ</w:t>
      </w:r>
      <w:r>
        <w:rPr>
          <w:rFonts w:ascii="Arial" w:cs="Arial" w:eastAsia="Arial" w:hAnsi="Arial"/>
          <w:sz w:val="43"/>
          <w:szCs w:val="43"/>
          <w:b w:val="1"/>
          <w:bCs w:val="1"/>
          <w:color w:val="D11F43"/>
        </w:rPr>
        <w:t>digital infrastructure</w:t>
      </w:r>
      <w:r>
        <w:rPr>
          <w:rFonts w:ascii="Arial" w:cs="Arial" w:eastAsia="Arial" w:hAnsi="Arial"/>
          <w:sz w:val="43"/>
          <w:szCs w:val="43"/>
          <w:color w:val="231F20"/>
        </w:rPr>
        <w:t xml:space="preserve"> is êżŚŋÃĬŋåĉĥÃŋĉĞŽȊňŋĬĤĉŒĉĥĀȁ</w:t>
      </w:r>
    </w:p>
    <w:p>
      <w:pPr>
        <w:spacing w:after="0" w:line="200" w:lineRule="exact"/>
        <w:rPr>
          <w:sz w:val="20"/>
          <w:szCs w:val="20"/>
          <w:color w:val="auto"/>
        </w:rPr>
      </w:pPr>
    </w:p>
    <w:p>
      <w:pPr>
        <w:spacing w:after="0" w:line="211" w:lineRule="exact"/>
        <w:rPr>
          <w:sz w:val="20"/>
          <w:szCs w:val="20"/>
          <w:color w:val="auto"/>
        </w:rPr>
      </w:pPr>
    </w:p>
    <w:p>
      <w:pPr>
        <w:ind w:left="720" w:right="240"/>
        <w:spacing w:after="0" w:line="296" w:lineRule="exact"/>
        <w:rPr>
          <w:sz w:val="20"/>
          <w:szCs w:val="20"/>
          <w:color w:val="auto"/>
        </w:rPr>
      </w:pPr>
      <w:r>
        <w:rPr>
          <w:rFonts w:ascii="Arial" w:cs="Arial" w:eastAsia="Arial" w:hAnsi="Arial"/>
          <w:sz w:val="16"/>
          <w:szCs w:val="16"/>
          <w:color w:val="231F20"/>
        </w:rPr>
        <w:t>XĬĬěĉĥĀȊÃąêÃåȊŚĬȊƓƑƓƗǢȊŷêȊŋêßĬĀĥĉƅêȊÃȊŠĥĉŊŠêȊŒêŚȊĬÿȊßąÃĞĞêĥĀêŒǡȊFĥȊŚąêȊ</w:t>
      </w:r>
      <w:r>
        <w:rPr>
          <w:rFonts w:ascii="PMingLiU" w:cs="PMingLiU" w:eastAsia="PMingLiU" w:hAnsi="PMingLiU"/>
          <w:sz w:val="16"/>
          <w:szCs w:val="16"/>
          <w:color w:val="231F20"/>
        </w:rPr>
        <w:t></w:t>
      </w:r>
      <w:r>
        <w:rPr>
          <w:rFonts w:ascii="Arial" w:cs="Arial" w:eastAsia="Arial" w:hAnsi="Arial"/>
          <w:sz w:val="16"/>
          <w:szCs w:val="16"/>
          <w:color w:val="231F20"/>
        </w:rPr>
        <w:t>ǡ</w:t>
      </w:r>
      <w:r>
        <w:rPr>
          <w:rFonts w:ascii="PMingLiU" w:cs="PMingLiU" w:eastAsia="PMingLiU" w:hAnsi="PMingLiU"/>
          <w:sz w:val="16"/>
          <w:szCs w:val="16"/>
          <w:color w:val="231F20"/>
        </w:rPr>
        <w:t></w:t>
      </w:r>
      <w:r>
        <w:rPr>
          <w:rFonts w:ascii="Arial" w:cs="Arial" w:eastAsia="Arial" w:hAnsi="Arial"/>
          <w:sz w:val="16"/>
          <w:szCs w:val="16"/>
          <w:color w:val="231F20"/>
        </w:rPr>
        <w:t>ǡǢȊ#F</w:t>
      </w:r>
      <w:r>
        <w:rPr>
          <w:rFonts w:ascii="PMingLiU" w:cs="PMingLiU" w:eastAsia="PMingLiU" w:hAnsi="PMingLiU"/>
          <w:sz w:val="16"/>
          <w:szCs w:val="16"/>
          <w:color w:val="231F20"/>
        </w:rPr>
        <w:t></w:t>
      </w:r>
      <w:r>
        <w:rPr>
          <w:rFonts w:ascii="Arial" w:cs="Arial" w:eastAsia="Arial" w:hAnsi="Arial"/>
          <w:sz w:val="16"/>
          <w:szCs w:val="16"/>
          <w:color w:val="231F20"/>
        </w:rPr>
        <w:t>BȃŒȊåêßĉŒĉĬĥȊ ŚĬȊŒêĞĞȊŒňêßŚŋŠĤȊÃĥåȊåêÿÃŠĞŚȊĬĥȊĉŚŒȊĞêÃŒêȊĬÞĞĉĀÃŚĉĬĥŒȊŋêŒŠĞŚêåȊĉĥȊĬŠŋȊåêßĉŒĉĬĥȊŚĬȊåêǸŋĉŒěȊĬŠŋȊ êÃŋĥĉĥĀŒȊÞŽȊŋêĤĬŶĉĥĀȊ#F</w:t>
      </w:r>
      <w:r>
        <w:rPr>
          <w:rFonts w:ascii="PMingLiU" w:cs="PMingLiU" w:eastAsia="PMingLiU" w:hAnsi="PMingLiU"/>
          <w:sz w:val="16"/>
          <w:szCs w:val="16"/>
          <w:color w:val="231F20"/>
        </w:rPr>
        <w:t></w:t>
      </w:r>
      <w:r>
        <w:rPr>
          <w:rFonts w:ascii="Arial" w:cs="Arial" w:eastAsia="Arial" w:hAnsi="Arial"/>
          <w:sz w:val="16"/>
          <w:szCs w:val="16"/>
          <w:color w:val="231F20"/>
        </w:rPr>
        <w:t>BȊêĥŚĉŋêĞŽȊÿŋĬĤȊĬŠŋȊƓƑƓƗȊĬŠŚĞĬĬěǡȊFĥȊ</w:t>
      </w:r>
      <w:r>
        <w:rPr>
          <w:rFonts w:ascii="PMingLiU" w:cs="PMingLiU" w:eastAsia="PMingLiU" w:hAnsi="PMingLiU"/>
          <w:sz w:val="16"/>
          <w:szCs w:val="16"/>
          <w:color w:val="231F20"/>
        </w:rPr>
        <w:t/>
      </w:r>
      <w:r>
        <w:rPr>
          <w:rFonts w:ascii="Arial" w:cs="Arial" w:eastAsia="Arial" w:hAnsi="Arial"/>
          <w:sz w:val="16"/>
          <w:szCs w:val="16"/>
          <w:color w:val="231F20"/>
        </w:rPr>
        <w:t xml:space="preserve">ŋÃƅĉĞǢȊŚąêȊĉĥåŠŒŚŋŽȊĉŒȊŷĬŋěĉĥĀȊ ŚąŋĬŠĀąȊÃĥȊĉĤňĬŋŚÃĥŚȊňêŋĉĬåȊĬÿȊĤÃŋěêŚȊŋêňÃĉŋǢȊŷąĉßąȊŷêȊÞêĞĉêŶêȊŷĉĞĞȊŠĞŚĉĤÃŚêĞŽȊĞêÃåȊŚĬȊÃȊ </w:t>
      </w:r>
      <w:r>
        <w:rPr>
          <w:rFonts w:ascii="Arial" w:cs="Arial" w:eastAsia="Arial" w:hAnsi="Arial"/>
          <w:sz w:val="16"/>
          <w:szCs w:val="16"/>
          <w:color w:val="231F20"/>
        </w:rPr>
        <w:t xml:space="preserve">healthier and more sustainable wireless ecosystem. With the removal of these revenue </w:t>
      </w:r>
      <w:r>
        <w:rPr>
          <w:rFonts w:ascii="Arial" w:cs="Arial" w:eastAsia="Arial" w:hAnsi="Arial"/>
          <w:sz w:val="16"/>
          <w:szCs w:val="16"/>
          <w:color w:val="231F20"/>
        </w:rPr>
        <w:t xml:space="preserve">ŒŚŋêÃĤŒȊÿŋĬĤȊĬŠŋȊƓƑƓƗȊňŋĬĘêßŚĉĬĥŒǢȊŚąêȊŶÃŒŚȊĤÃĘĬŋĉŚŽȊĬÿȊĬŠŋȊŋêŶêĥŠêȊĉĥȊÃĞĞȊĤÃŋěêŚŒȊĉŒȊĥĬŷȊ ÿŋĬĤȊŚąêȊŚĬňȊŚŷĬȊĬŋȊŚąŋêêȊßÃŋŋĉêŋŒȊĉĥȊŒŠßąȊĤÃŋěêŚŒǢȊŷąĉßąȊÃŋêȊŠĥĞĉěêĞŽȊŚĬȊÞêȊŚąêȊŚÃŋĀêŚŒȊĬÿȊ </w:t>
      </w:r>
      <w:r>
        <w:rPr>
          <w:rFonts w:ascii="Arial" w:cs="Arial" w:eastAsia="Arial" w:hAnsi="Arial"/>
          <w:sz w:val="16"/>
          <w:szCs w:val="16"/>
          <w:color w:val="231F20"/>
        </w:rPr>
        <w:t>further consolidation.</w:t>
      </w:r>
    </w:p>
    <w:p>
      <w:pPr>
        <w:spacing w:after="0" w:line="200" w:lineRule="exact"/>
        <w:rPr>
          <w:sz w:val="20"/>
          <w:szCs w:val="20"/>
          <w:color w:val="auto"/>
        </w:rPr>
      </w:pPr>
    </w:p>
    <w:p>
      <w:pPr>
        <w:spacing w:after="0" w:line="201" w:lineRule="exact"/>
        <w:rPr>
          <w:sz w:val="20"/>
          <w:szCs w:val="20"/>
          <w:color w:val="auto"/>
        </w:rPr>
      </w:pPr>
    </w:p>
    <w:p>
      <w:pPr>
        <w:ind w:left="720"/>
        <w:spacing w:after="0" w:line="122" w:lineRule="exact"/>
        <w:rPr>
          <w:sz w:val="20"/>
          <w:szCs w:val="20"/>
          <w:color w:val="auto"/>
        </w:rPr>
      </w:pPr>
      <w:r>
        <w:rPr>
          <w:rFonts w:ascii="Arial" w:cs="Arial" w:eastAsia="Arial" w:hAnsi="Arial"/>
          <w:sz w:val="10"/>
          <w:szCs w:val="10"/>
          <w:color w:val="231F20"/>
        </w:rPr>
        <w:t xml:space="preserve">ƕȊȊ </w:t>
      </w:r>
      <w:r>
        <w:rPr>
          <w:rFonts w:ascii="PMingLiU" w:cs="PMingLiU" w:eastAsia="PMingLiU" w:hAnsi="PMingLiU"/>
          <w:sz w:val="10"/>
          <w:szCs w:val="10"/>
          <w:color w:val="231F20"/>
        </w:rPr>
        <w:t></w:t>
      </w:r>
      <w:r>
        <w:rPr>
          <w:rFonts w:ascii="Arial" w:cs="Arial" w:eastAsia="Arial" w:hAnsi="Arial"/>
          <w:sz w:val="10"/>
          <w:szCs w:val="10"/>
          <w:color w:val="231F20"/>
        </w:rPr>
        <w:t>êňŋêŒêĥŚŒȊ</w:t>
      </w:r>
      <w:r>
        <w:rPr>
          <w:rFonts w:ascii="PMingLiU" w:cs="PMingLiU" w:eastAsia="PMingLiU" w:hAnsi="PMingLiU"/>
          <w:sz w:val="10"/>
          <w:szCs w:val="10"/>
          <w:color w:val="231F20"/>
        </w:rPr>
        <w:t/>
      </w:r>
      <w:r>
        <w:rPr>
          <w:rFonts w:ascii="Arial" w:cs="Arial" w:eastAsia="Arial" w:hAnsi="Arial"/>
          <w:sz w:val="10"/>
          <w:szCs w:val="10"/>
          <w:color w:val="231F20"/>
        </w:rPr>
        <w:t>&lt;&lt;fȊÃŚŚŋĉÞŠŚÃÞĞêȊŚĬȊ</w:t>
      </w:r>
      <w:r>
        <w:rPr>
          <w:rFonts w:ascii="PMingLiU" w:cs="PMingLiU" w:eastAsia="PMingLiU" w:hAnsi="PMingLiU"/>
          <w:sz w:val="10"/>
          <w:szCs w:val="10"/>
          <w:color w:val="231F20"/>
        </w:rPr>
        <w:t/>
      </w:r>
      <w:r>
        <w:rPr>
          <w:rFonts w:ascii="Arial" w:cs="Arial" w:eastAsia="Arial" w:hAnsi="Arial"/>
          <w:sz w:val="10"/>
          <w:szCs w:val="10"/>
          <w:color w:val="231F20"/>
        </w:rPr>
        <w:t>^</w:t>
      </w:r>
      <w:r>
        <w:rPr>
          <w:rFonts w:ascii="PMingLiU" w:cs="PMingLiU" w:eastAsia="PMingLiU" w:hAnsi="PMingLiU"/>
          <w:sz w:val="10"/>
          <w:szCs w:val="10"/>
          <w:color w:val="231F20"/>
        </w:rPr>
        <w:t></w:t>
      </w:r>
      <w:r>
        <w:rPr>
          <w:rFonts w:ascii="Arial" w:cs="Arial" w:eastAsia="Arial" w:hAnsi="Arial"/>
          <w:sz w:val="10"/>
          <w:szCs w:val="10"/>
          <w:color w:val="231F20"/>
        </w:rPr>
        <w:t>ȊßĬĤĤĬĥȊŒŚĬßěąĬĞåêŋŒȊÿŋĬĤȊßĬĥŚĉĥŠĉĥĀȊĬňêŋÃŚĉĬĥŒȊÃåĘŠŒŚêåȊÿĬŋȊÃȊÿŠĞĞȊňêŋĉĬåȊĬÿȊĉĥŚêŋêŒŚȊêżňêĥŒêȊŒÃŶĉĥĀŒȊÃŒŒĬßĉÃŚêåȊŷĉŚąȊȊ</w:t>
      </w:r>
    </w:p>
    <w:p>
      <w:pPr>
        <w:spacing w:after="0" w:line="39" w:lineRule="exact"/>
        <w:rPr>
          <w:sz w:val="20"/>
          <w:szCs w:val="20"/>
          <w:color w:val="auto"/>
        </w:rPr>
      </w:pPr>
    </w:p>
    <w:p>
      <w:pPr>
        <w:ind w:left="880" w:hanging="160"/>
        <w:spacing w:after="0" w:line="134" w:lineRule="exact"/>
        <w:tabs>
          <w:tab w:leader="none" w:pos="880" w:val="left"/>
        </w:tabs>
        <w:numPr>
          <w:ilvl w:val="0"/>
          <w:numId w:val="2"/>
        </w:numPr>
        <w:rPr>
          <w:rFonts w:ascii="Arial" w:cs="Arial" w:eastAsia="Arial" w:hAnsi="Arial"/>
          <w:sz w:val="11"/>
          <w:szCs w:val="11"/>
          <w:color w:val="231F20"/>
        </w:rPr>
      </w:pPr>
      <w:r>
        <w:rPr>
          <w:rFonts w:ascii="Arial" w:cs="Arial" w:eastAsia="Arial" w:hAnsi="Arial"/>
          <w:sz w:val="11"/>
          <w:szCs w:val="11"/>
          <w:color w:val="231F20"/>
        </w:rPr>
        <w:t>ŚąêȊŠŒêȊĬÿȊÃňňŋĬżĉĤÃŚêĞŽȊȐƓǡƑȊÞĉĞĞĉĬĥȊĬÿȊňŋĬßêêåŒȊÿŋĬĤȊŚąêȊ</w:t>
      </w:r>
      <w:r>
        <w:rPr>
          <w:rFonts w:ascii="PMingLiU" w:cs="PMingLiU" w:eastAsia="PMingLiU" w:hAnsi="PMingLiU"/>
          <w:sz w:val="11"/>
          <w:szCs w:val="11"/>
          <w:color w:val="231F20"/>
        </w:rPr>
        <w:t></w:t>
      </w:r>
      <w:r>
        <w:rPr>
          <w:rFonts w:ascii="Arial" w:cs="Arial" w:eastAsia="Arial" w:hAnsi="Arial"/>
          <w:sz w:val="11"/>
          <w:szCs w:val="11"/>
          <w:color w:val="231F20"/>
        </w:rPr>
        <w:t>Ȋ</w:t>
      </w:r>
      <w:r>
        <w:rPr>
          <w:rFonts w:ascii="PMingLiU" w:cs="PMingLiU" w:eastAsia="PMingLiU" w:hAnsi="PMingLiU"/>
          <w:sz w:val="11"/>
          <w:szCs w:val="11"/>
          <w:color w:val="231F20"/>
        </w:rPr>
        <w:t></w:t>
      </w:r>
      <w:r>
        <w:rPr>
          <w:rFonts w:ascii="Arial" w:cs="Arial" w:eastAsia="Arial" w:hAnsi="Arial"/>
          <w:sz w:val="11"/>
          <w:szCs w:val="11"/>
          <w:color w:val="231F20"/>
        </w:rPr>
        <w:t>F</w:t>
      </w:r>
      <w:r>
        <w:rPr>
          <w:rFonts w:ascii="PMingLiU" w:cs="PMingLiU" w:eastAsia="PMingLiU" w:hAnsi="PMingLiU"/>
          <w:sz w:val="11"/>
          <w:szCs w:val="11"/>
          <w:color w:val="231F20"/>
        </w:rPr>
        <w:t></w:t>
      </w:r>
      <w:r>
        <w:rPr>
          <w:rFonts w:ascii="Arial" w:cs="Arial" w:eastAsia="Arial" w:hAnsi="Arial"/>
          <w:sz w:val="11"/>
          <w:szCs w:val="11"/>
          <w:color w:val="231F20"/>
        </w:rPr>
        <w:t>XȊ</w:t>
      </w:r>
      <w:r>
        <w:rPr>
          <w:rFonts w:ascii="PMingLiU" w:cs="PMingLiU" w:eastAsia="PMingLiU" w:hAnsi="PMingLiU"/>
          <w:sz w:val="11"/>
          <w:szCs w:val="11"/>
          <w:color w:val="231F20"/>
        </w:rPr>
        <w:t></w:t>
      </w:r>
      <w:r>
        <w:rPr>
          <w:rFonts w:ascii="Arial" w:cs="Arial" w:eastAsia="Arial" w:hAnsi="Arial"/>
          <w:sz w:val="11"/>
          <w:szCs w:val="11"/>
          <w:color w:val="231F20"/>
        </w:rPr>
        <w:t>ŋÃĥŒÃßŚĉĬĥȊŚĬȊňÃŽȊåĬŷĥȊêżĉŒŚĉĥĀȊĉĥåêÞŚêåĥêŒŒȊŠĥåêŋȊŚąêȊ</w:t>
      </w:r>
      <w:r>
        <w:rPr>
          <w:rFonts w:ascii="PMingLiU" w:cs="PMingLiU" w:eastAsia="PMingLiU" w:hAnsi="PMingLiU"/>
          <w:sz w:val="11"/>
          <w:szCs w:val="11"/>
          <w:color w:val="231F20"/>
        </w:rPr>
        <w:t/>
      </w:r>
      <w:r>
        <w:rPr>
          <w:rFonts w:ascii="Arial" w:cs="Arial" w:eastAsia="Arial" w:hAnsi="Arial"/>
          <w:sz w:val="11"/>
          <w:szCs w:val="11"/>
          <w:color w:val="231F20"/>
        </w:rPr>
        <w:t>ĬĤňÃĥŽȃŒȊȐƗǡƑȊÞĉĞĞĉĬĥ</w:t>
      </w:r>
    </w:p>
    <w:p>
      <w:pPr>
        <w:spacing w:after="0" w:line="26" w:lineRule="exact"/>
        <w:rPr>
          <w:rFonts w:ascii="Arial" w:cs="Arial" w:eastAsia="Arial" w:hAnsi="Arial"/>
          <w:sz w:val="11"/>
          <w:szCs w:val="11"/>
          <w:color w:val="231F20"/>
        </w:rPr>
      </w:pPr>
    </w:p>
    <w:p>
      <w:pPr>
        <w:ind w:left="880" w:hanging="160"/>
        <w:spacing w:after="0" w:line="110" w:lineRule="exact"/>
        <w:tabs>
          <w:tab w:leader="none" w:pos="880" w:val="left"/>
        </w:tabs>
        <w:numPr>
          <w:ilvl w:val="0"/>
          <w:numId w:val="2"/>
        </w:numPr>
        <w:rPr>
          <w:rFonts w:ascii="Arial" w:cs="Arial" w:eastAsia="Arial" w:hAnsi="Arial"/>
          <w:sz w:val="9"/>
          <w:szCs w:val="9"/>
          <w:color w:val="231F20"/>
        </w:rPr>
      </w:pPr>
      <w:r>
        <w:rPr>
          <w:rFonts w:ascii="Arial" w:cs="Arial" w:eastAsia="Arial" w:hAnsi="Arial"/>
          <w:sz w:val="9"/>
          <w:szCs w:val="9"/>
          <w:color w:val="231F20"/>
        </w:rPr>
        <w:t>ŒêĥĉĬŋȊŠĥŒêßŠŋêåȊĤŠĞŚĉßŠŋŋêĥßŽȊŋêŶĬĞŶĉĥĀȊßŋêåĉŚȊÿÃßĉĞĉŚŽȊǲŚąêȊȀƓƑƓƒȊ^ŠĞŚĉßŠŋŋêĥßŽȊ</w:t>
      </w:r>
      <w:r>
        <w:rPr>
          <w:rFonts w:ascii="PMingLiU" w:cs="PMingLiU" w:eastAsia="PMingLiU" w:hAnsi="PMingLiU"/>
          <w:sz w:val="9"/>
          <w:szCs w:val="9"/>
          <w:color w:val="231F20"/>
        </w:rPr>
        <w:t/>
      </w:r>
      <w:r>
        <w:rPr>
          <w:rFonts w:ascii="Arial" w:cs="Arial" w:eastAsia="Arial" w:hAnsi="Arial"/>
          <w:sz w:val="9"/>
          <w:szCs w:val="9"/>
          <w:color w:val="231F20"/>
        </w:rPr>
        <w:t>ŋêåĉŚȊ&lt;ÃßĉĞĉŚŽȁǳǢȊÃŚȊŚąêȊÃňňĞĉßÃÞĞêȊąĉŒŚĬŋĉßÃĞȊÞĬŋŋĬŷĉĥĀȊßĬŒŚȊÿĬŋȊŚąêȊŋêŒňêßŚĉŶêȊȊ</w:t>
      </w:r>
    </w:p>
    <w:p>
      <w:pPr>
        <w:spacing w:after="0" w:line="50" w:lineRule="exact"/>
        <w:rPr>
          <w:rFonts w:ascii="Arial" w:cs="Arial" w:eastAsia="Arial" w:hAnsi="Arial"/>
          <w:sz w:val="9"/>
          <w:szCs w:val="9"/>
          <w:color w:val="231F20"/>
        </w:rPr>
      </w:pPr>
    </w:p>
    <w:p>
      <w:pPr>
        <w:ind w:left="880" w:hanging="160"/>
        <w:spacing w:after="0" w:line="122" w:lineRule="exact"/>
        <w:tabs>
          <w:tab w:leader="none" w:pos="880" w:val="left"/>
        </w:tabs>
        <w:numPr>
          <w:ilvl w:val="0"/>
          <w:numId w:val="2"/>
        </w:numPr>
        <w:rPr>
          <w:rFonts w:ascii="Arial" w:cs="Arial" w:eastAsia="Arial" w:hAnsi="Arial"/>
          <w:sz w:val="10"/>
          <w:szCs w:val="10"/>
          <w:color w:val="231F20"/>
        </w:rPr>
      </w:pPr>
      <w:r>
        <w:rPr>
          <w:rFonts w:ascii="Arial" w:cs="Arial" w:eastAsia="Arial" w:hAnsi="Arial"/>
          <w:sz w:val="10"/>
          <w:szCs w:val="10"/>
          <w:color w:val="231F20"/>
        </w:rPr>
        <w:t>ňêŋĉĬåǡȊ_ĬȊÃååĉŚĉĬĥÃĞȊÃåĘŠŒŚĤêĥŚŒȊÃŋêȊŋêŊŠĉŋêåȊŋêĞÃŚêåȊŚĬȊŚąêȊŋêňÃŽĤêĥŚȊĬÿȊÃňňŋĬżĉĤÃŚêĞŽȊȐƒƓƑȊĤĉĞĞĉĬĥȊŠĥåêŋȊŚąêȊ</w:t>
      </w:r>
      <w:r>
        <w:rPr>
          <w:rFonts w:ascii="PMingLiU" w:cs="PMingLiU" w:eastAsia="PMingLiU" w:hAnsi="PMingLiU"/>
          <w:sz w:val="10"/>
          <w:szCs w:val="10"/>
          <w:color w:val="231F20"/>
        </w:rPr>
        <w:t/>
      </w:r>
      <w:r>
        <w:rPr>
          <w:rFonts w:ascii="Arial" w:cs="Arial" w:eastAsia="Arial" w:hAnsi="Arial"/>
          <w:sz w:val="10"/>
          <w:szCs w:val="10"/>
          <w:color w:val="231F20"/>
        </w:rPr>
        <w:t>ĬĤňÃĥŽȃŒȊŠĥŒêßŠŋêåȊŚêŋĤȊĞĬÃĥȊĉĥȊFĥåĉÃǢ</w:t>
      </w:r>
    </w:p>
    <w:p>
      <w:pPr>
        <w:spacing w:after="0" w:line="39" w:lineRule="exact"/>
        <w:rPr>
          <w:sz w:val="20"/>
          <w:szCs w:val="20"/>
          <w:color w:val="auto"/>
        </w:rPr>
      </w:pPr>
    </w:p>
    <w:p>
      <w:pPr>
        <w:ind w:left="720"/>
        <w:spacing w:after="0" w:line="138" w:lineRule="exact"/>
        <w:tabs>
          <w:tab w:leader="none" w:pos="860" w:val="left"/>
          <w:tab w:leader="none" w:pos="9340" w:val="left"/>
        </w:tabs>
        <w:rPr>
          <w:sz w:val="20"/>
          <w:szCs w:val="20"/>
          <w:color w:val="auto"/>
        </w:rPr>
      </w:pPr>
      <w:r>
        <w:rPr>
          <w:rFonts w:ascii="Arial" w:cs="Arial" w:eastAsia="Arial" w:hAnsi="Arial"/>
          <w:sz w:val="12"/>
          <w:szCs w:val="12"/>
          <w:color w:val="231F20"/>
        </w:rPr>
        <w:t>Ȋ</w:t>
      </w:r>
      <w:r>
        <w:rPr>
          <w:sz w:val="20"/>
          <w:szCs w:val="20"/>
          <w:color w:val="auto"/>
        </w:rPr>
        <w:tab/>
      </w:r>
      <w:r>
        <w:rPr>
          <w:rFonts w:ascii="Arial" w:cs="Arial" w:eastAsia="Arial" w:hAnsi="Arial"/>
          <w:sz w:val="9"/>
          <w:szCs w:val="9"/>
          <w:color w:val="231F20"/>
        </w:rPr>
        <w:t>ÃŒȊÃĤêĥåêåȊĉĥȊTÃĥŠÃŋŽȊƓƑƓƕȊǲŚąêȊȀFĥåĉÃȊ</w:t>
      </w:r>
      <w:r>
        <w:rPr>
          <w:rFonts w:ascii="PMingLiU" w:cs="PMingLiU" w:eastAsia="PMingLiU" w:hAnsi="PMingLiU"/>
          <w:sz w:val="9"/>
          <w:szCs w:val="9"/>
          <w:color w:val="231F20"/>
        </w:rPr>
        <w:t></w:t>
      </w:r>
      <w:r>
        <w:rPr>
          <w:rFonts w:ascii="Arial" w:cs="Arial" w:eastAsia="Arial" w:hAnsi="Arial"/>
          <w:sz w:val="9"/>
          <w:szCs w:val="9"/>
          <w:color w:val="231F20"/>
        </w:rPr>
        <w:t>êŋĤȊXĬÃĥȁǳǢȊÃŒȊŚąêȊąĉŒŚĬŋĉßÃĞȊĉĥŚêŋêŒŚȊêżňêĥŒêȊÃŒŒĬßĉÃŚêåȊŷĉŚąȊFĥåĉÃȊ</w:t>
      </w:r>
      <w:r>
        <w:rPr>
          <w:rFonts w:ascii="PMingLiU" w:cs="PMingLiU" w:eastAsia="PMingLiU" w:hAnsi="PMingLiU"/>
          <w:sz w:val="9"/>
          <w:szCs w:val="9"/>
          <w:color w:val="231F20"/>
        </w:rPr>
        <w:t></w:t>
      </w:r>
      <w:r>
        <w:rPr>
          <w:rFonts w:ascii="Arial" w:cs="Arial" w:eastAsia="Arial" w:hAnsi="Arial"/>
          <w:sz w:val="9"/>
          <w:szCs w:val="9"/>
          <w:color w:val="231F20"/>
        </w:rPr>
        <w:t>êŋĤȊXĬÃĥȊĉŒȊÃĞŋêÃåŽȊßĬĥŒĉåêŋêåȊÃŒȊňÃŋŚȊĬÿȊȊ</w:t>
      </w:r>
      <w:r>
        <w:rPr>
          <w:sz w:val="20"/>
          <w:szCs w:val="20"/>
          <w:color w:val="auto"/>
        </w:rPr>
        <w:tab/>
      </w:r>
      <w:r>
        <w:rPr>
          <w:rFonts w:ascii="Arial" w:cs="Arial" w:eastAsia="Arial" w:hAnsi="Arial"/>
          <w:sz w:val="7"/>
          <w:szCs w:val="7"/>
          <w:color w:val="231F20"/>
        </w:rPr>
        <w:t>Ȋ</w:t>
      </w:r>
    </w:p>
    <w:p>
      <w:pPr>
        <w:spacing w:after="0" w:line="22" w:lineRule="exact"/>
        <w:rPr>
          <w:sz w:val="20"/>
          <w:szCs w:val="20"/>
          <w:color w:val="auto"/>
        </w:rPr>
      </w:pPr>
    </w:p>
    <w:p>
      <w:pPr>
        <w:ind w:left="880" w:right="820" w:hanging="160"/>
        <w:spacing w:after="0" w:line="155" w:lineRule="exact"/>
        <w:tabs>
          <w:tab w:leader="none" w:pos="880" w:val="left"/>
        </w:tabs>
        <w:numPr>
          <w:ilvl w:val="0"/>
          <w:numId w:val="3"/>
        </w:numPr>
        <w:rPr>
          <w:rFonts w:ascii="Arial" w:cs="Arial" w:eastAsia="Arial" w:hAnsi="Arial"/>
          <w:sz w:val="10"/>
          <w:szCs w:val="10"/>
          <w:color w:val="231F20"/>
        </w:rPr>
      </w:pPr>
      <w:r>
        <w:rPr>
          <w:rFonts w:ascii="PMingLiU" w:cs="PMingLiU" w:eastAsia="PMingLiU" w:hAnsi="PMingLiU"/>
          <w:sz w:val="10"/>
          <w:szCs w:val="10"/>
          <w:color w:val="231F20"/>
        </w:rPr>
        <w:t/>
      </w:r>
      <w:r>
        <w:rPr>
          <w:rFonts w:ascii="Arial" w:cs="Arial" w:eastAsia="Arial" w:hAnsi="Arial"/>
          <w:sz w:val="10"/>
          <w:szCs w:val="10"/>
          <w:color w:val="231F20"/>
        </w:rPr>
        <w:t>&lt;&lt;fȊÃŚŚŋĉÞŠŚÃÞĞêȊŚĬȊ</w:t>
      </w:r>
      <w:r>
        <w:rPr>
          <w:rFonts w:ascii="PMingLiU" w:cs="PMingLiU" w:eastAsia="PMingLiU" w:hAnsi="PMingLiU"/>
          <w:sz w:val="10"/>
          <w:szCs w:val="10"/>
          <w:color w:val="231F20"/>
        </w:rPr>
        <w:t/>
      </w:r>
      <w:r>
        <w:rPr>
          <w:rFonts w:ascii="Arial" w:cs="Arial" w:eastAsia="Arial" w:hAnsi="Arial"/>
          <w:sz w:val="10"/>
          <w:szCs w:val="10"/>
          <w:color w:val="231F20"/>
        </w:rPr>
        <w:t>^</w:t>
      </w:r>
      <w:r>
        <w:rPr>
          <w:rFonts w:ascii="PMingLiU" w:cs="PMingLiU" w:eastAsia="PMingLiU" w:hAnsi="PMingLiU"/>
          <w:sz w:val="10"/>
          <w:szCs w:val="10"/>
          <w:color w:val="231F20"/>
        </w:rPr>
        <w:t></w:t>
      </w:r>
      <w:r>
        <w:rPr>
          <w:rFonts w:ascii="Arial" w:cs="Arial" w:eastAsia="Arial" w:hAnsi="Arial"/>
          <w:sz w:val="10"/>
          <w:szCs w:val="10"/>
          <w:color w:val="231F20"/>
        </w:rPr>
        <w:t>ȊßĬĤĤĬĥȊŒŚĬßěąĬĞåêŋŒȊÿŋĬĤȊåĉŒßĬĥŚĉĥŠêåȊĬňêŋÃŚĉĬĥŒȊŷąêĥȊåêŋĉŶĉĥĀȊ</w:t>
      </w:r>
      <w:r>
        <w:rPr>
          <w:rFonts w:ascii="PMingLiU" w:cs="PMingLiU" w:eastAsia="PMingLiU" w:hAnsi="PMingLiU"/>
          <w:sz w:val="10"/>
          <w:szCs w:val="10"/>
          <w:color w:val="231F20"/>
        </w:rPr>
        <w:t/>
      </w:r>
      <w:r>
        <w:rPr>
          <w:rFonts w:ascii="Arial" w:cs="Arial" w:eastAsia="Arial" w:hAnsi="Arial"/>
          <w:sz w:val="10"/>
          <w:szCs w:val="10"/>
          <w:color w:val="231F20"/>
        </w:rPr>
        <w:t>&lt;&lt;fȊÃŚŚŋĉÞŠŚÃÞĞêȊŚĬȊ</w:t>
      </w:r>
      <w:r>
        <w:rPr>
          <w:rFonts w:ascii="PMingLiU" w:cs="PMingLiU" w:eastAsia="PMingLiU" w:hAnsi="PMingLiU"/>
          <w:sz w:val="10"/>
          <w:szCs w:val="10"/>
          <w:color w:val="231F20"/>
        </w:rPr>
        <w:t/>
      </w:r>
      <w:r>
        <w:rPr>
          <w:rFonts w:ascii="Arial" w:cs="Arial" w:eastAsia="Arial" w:hAnsi="Arial"/>
          <w:sz w:val="10"/>
          <w:szCs w:val="10"/>
          <w:color w:val="231F20"/>
        </w:rPr>
        <w:t>^</w:t>
      </w:r>
      <w:r>
        <w:rPr>
          <w:rFonts w:ascii="PMingLiU" w:cs="PMingLiU" w:eastAsia="PMingLiU" w:hAnsi="PMingLiU"/>
          <w:sz w:val="10"/>
          <w:szCs w:val="10"/>
          <w:color w:val="231F20"/>
        </w:rPr>
        <w:t></w:t>
      </w:r>
      <w:r>
        <w:rPr>
          <w:rFonts w:ascii="Arial" w:cs="Arial" w:eastAsia="Arial" w:hAnsi="Arial"/>
          <w:sz w:val="10"/>
          <w:szCs w:val="10"/>
          <w:color w:val="231F20"/>
        </w:rPr>
        <w:t xml:space="preserve">ȊßĬĤĤĬĥȊŒŚĬßěąĬĞåêŋŒȊÿŋĬĤȊ </w:t>
      </w:r>
      <w:r>
        <w:rPr>
          <w:rFonts w:ascii="Arial" w:cs="Arial" w:eastAsia="Arial" w:hAnsi="Arial"/>
          <w:sz w:val="10"/>
          <w:szCs w:val="10"/>
          <w:color w:val="231F20"/>
        </w:rPr>
        <w:t>continued operations.</w:t>
      </w:r>
    </w:p>
    <w:p>
      <w:pPr>
        <w:spacing w:after="0" w:line="71" w:lineRule="exact"/>
        <w:rPr>
          <w:sz w:val="20"/>
          <w:szCs w:val="20"/>
          <w:color w:val="auto"/>
        </w:rPr>
      </w:pPr>
    </w:p>
    <w:p>
      <w:pPr>
        <w:ind w:left="720"/>
        <w:spacing w:after="0" w:line="146" w:lineRule="exact"/>
        <w:rPr>
          <w:sz w:val="20"/>
          <w:szCs w:val="20"/>
          <w:color w:val="auto"/>
        </w:rPr>
      </w:pPr>
      <w:r>
        <w:rPr>
          <w:rFonts w:ascii="Arial" w:cs="Arial" w:eastAsia="Arial" w:hAnsi="Arial"/>
          <w:sz w:val="12"/>
          <w:szCs w:val="12"/>
          <w:color w:val="231F20"/>
        </w:rPr>
        <w:t>ƖȊȊȊ#êƌĥĉŚĉĬĥŒȊÃĥåȊŋêßĬĥßĉĞĉÃŚĉĬĥŒȊĬÿȊĥĬĥǸ=</w:t>
      </w:r>
      <w:r>
        <w:rPr>
          <w:rFonts w:ascii="PMingLiU" w:cs="PMingLiU" w:eastAsia="PMingLiU" w:hAnsi="PMingLiU"/>
          <w:sz w:val="12"/>
          <w:szCs w:val="12"/>
          <w:color w:val="231F20"/>
        </w:rPr>
        <w:t></w:t>
      </w:r>
      <w:r>
        <w:rPr>
          <w:rFonts w:ascii="Arial" w:cs="Arial" w:eastAsia="Arial" w:hAnsi="Arial"/>
          <w:sz w:val="12"/>
          <w:szCs w:val="12"/>
          <w:color w:val="231F20"/>
        </w:rPr>
        <w:t>ȊĤêŚŋĉßŒȊÃŋêȊňŋĬŶĉåêåȊĉĥȊŚąêȊ</w:t>
      </w:r>
      <w:r>
        <w:rPr>
          <w:rFonts w:ascii="PMingLiU" w:cs="PMingLiU" w:eastAsia="PMingLiU" w:hAnsi="PMingLiU"/>
          <w:sz w:val="12"/>
          <w:szCs w:val="12"/>
          <w:color w:val="231F20"/>
        </w:rPr>
        <w:t/>
      </w:r>
      <w:r>
        <w:rPr>
          <w:rFonts w:ascii="Arial" w:cs="Arial" w:eastAsia="Arial" w:hAnsi="Arial"/>
          <w:sz w:val="12"/>
          <w:szCs w:val="12"/>
          <w:color w:val="231F20"/>
        </w:rPr>
        <w:t>ňňêĥåĉżȊĬÿȊŚąĉŒȊåĬßŠĤêĥŚǡ</w:t>
      </w:r>
    </w:p>
    <w:p>
      <w:pPr>
        <w:sectPr>
          <w:pgSz w:w="11880" w:h="15480" w:orient="portrait"/>
          <w:cols w:equalWidth="0" w:num="1">
            <w:col w:w="9720"/>
          </w:cols>
          <w:pgMar w:left="720" w:top="10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6 </w:t>
      </w:r>
      <w:r>
        <w:rPr>
          <w:rFonts w:ascii="Arial" w:cs="Arial" w:eastAsia="Arial" w:hAnsi="Arial"/>
          <w:sz w:val="16"/>
          <w:szCs w:val="16"/>
          <w:color w:val="231F20"/>
        </w:rPr>
        <w:t>| American Tower Corporation</w:t>
      </w:r>
    </w:p>
    <w:p>
      <w:pPr>
        <w:sectPr>
          <w:pgSz w:w="11880" w:h="15480" w:orient="portrait"/>
          <w:cols w:equalWidth="0" w:num="1">
            <w:col w:w="9720"/>
          </w:cols>
          <w:pgMar w:left="720" w:top="1066" w:right="1440" w:bottom="0" w:gutter="0" w:footer="0" w:header="0"/>
          <w:type w:val="continuous"/>
        </w:sectPr>
      </w:pPr>
    </w:p>
    <w:bookmarkStart w:id="6" w:name="page7"/>
    <w:bookmarkEnd w:id="6"/>
    <w:p>
      <w:pPr>
        <w:ind w:right="4080"/>
        <w:spacing w:after="0" w:line="294" w:lineRule="exact"/>
        <w:rPr>
          <w:sz w:val="20"/>
          <w:szCs w:val="20"/>
          <w:color w:val="auto"/>
        </w:rPr>
      </w:pPr>
      <w:r>
        <w:rPr>
          <w:rFonts w:ascii="Arial" w:cs="Arial" w:eastAsia="Arial" w:hAnsi="Arial"/>
          <w:sz w:val="16"/>
          <w:szCs w:val="16"/>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7543800" cy="918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9181465"/>
                    </a:xfrm>
                    <a:prstGeom prst="rect">
                      <a:avLst/>
                    </a:prstGeom>
                    <a:noFill/>
                  </pic:spPr>
                </pic:pic>
              </a:graphicData>
            </a:graphic>
          </wp:anchor>
        </w:drawing>
        <w:t>(ŶêĥȊŷĉŚąȊŚąêŒêȊąêÃåŷĉĥåŒǢȊŷêȊêżňêßŚȊŚĬȊĀŋĬŷȊ</w:t>
      </w:r>
      <w:r>
        <w:rPr>
          <w:rFonts w:ascii="PMingLiU" w:cs="PMingLiU" w:eastAsia="PMingLiU" w:hAnsi="PMingLiU"/>
          <w:sz w:val="16"/>
          <w:szCs w:val="16"/>
          <w:color w:val="231F20"/>
        </w:rPr>
        <w:t/>
      </w:r>
      <w:r>
        <w:rPr>
          <w:rFonts w:ascii="Arial" w:cs="Arial" w:eastAsia="Arial" w:hAnsi="Arial"/>
          <w:sz w:val="16"/>
          <w:szCs w:val="16"/>
          <w:color w:val="231F20"/>
        </w:rPr>
        <w:t xml:space="preserve">&lt;&lt;fȊňêŋȊ </w:t>
      </w:r>
      <w:r>
        <w:rPr>
          <w:rFonts w:ascii="PMingLiU" w:cs="PMingLiU" w:eastAsia="PMingLiU" w:hAnsi="PMingLiU"/>
          <w:sz w:val="16"/>
          <w:szCs w:val="16"/>
          <w:color w:val="231F20"/>
        </w:rPr>
        <w:t></w:t>
      </w:r>
      <w:r>
        <w:rPr>
          <w:rFonts w:ascii="Arial" w:cs="Arial" w:eastAsia="Arial" w:hAnsi="Arial"/>
          <w:sz w:val="16"/>
          <w:szCs w:val="16"/>
          <w:color w:val="231F20"/>
        </w:rPr>
        <w:t>ąÃŋêȊĉĥȊƓƑƓƗǡȊ</w:t>
      </w:r>
      <w:r>
        <w:rPr>
          <w:rFonts w:ascii="PMingLiU" w:cs="PMingLiU" w:eastAsia="PMingLiU" w:hAnsi="PMingLiU"/>
          <w:sz w:val="16"/>
          <w:szCs w:val="16"/>
          <w:color w:val="231F20"/>
        </w:rPr>
        <w:t></w:t>
      </w:r>
      <w:r>
        <w:rPr>
          <w:rFonts w:ascii="Arial" w:cs="Arial" w:eastAsia="Arial" w:hAnsi="Arial"/>
          <w:sz w:val="16"/>
          <w:szCs w:val="16"/>
          <w:color w:val="231F20"/>
        </w:rPr>
        <w:t xml:space="preserve">ąĉŒȊŋêŒĉĞĉêĥßêȊŋêƍêßŚŒȊÞĬŚąȊŚąêȊŒŚŋêĥĀŚąȊĬÿȊ ĬŠŋȊßĬĥŚŋÃßŚŠÃĞȊĤĬåêĞȊÃĥåȊŚąêȊÞêĥêƌŚȊĬÿȊŚąêȊŋĉŒěǸŋêåŠßĉĥĀȊ ÃßŚĉĬĥŒȊŷêȊąÃŶêȊŚÃěêĥȊĬŶêŋȊŚąêȊňÃŒŚȊŚŷĬȊŽêÃŋŒǡȊFĤňĬŋŚÃĥŚĞŽǢȊ </w:t>
      </w:r>
      <w:r>
        <w:rPr>
          <w:rFonts w:ascii="Arial" w:cs="Arial" w:eastAsia="Arial" w:hAnsi="Arial"/>
          <w:sz w:val="16"/>
          <w:szCs w:val="16"/>
          <w:color w:val="231F20"/>
        </w:rPr>
        <w:t>these nearer-term challenges do not alter our long-term view of the opportunities ahead.</w:t>
      </w:r>
    </w:p>
    <w:p>
      <w:pPr>
        <w:spacing w:after="0" w:line="340" w:lineRule="exact"/>
        <w:rPr>
          <w:sz w:val="20"/>
          <w:szCs w:val="20"/>
          <w:color w:val="auto"/>
        </w:rPr>
      </w:pPr>
    </w:p>
    <w:p>
      <w:pPr>
        <w:ind w:right="4360"/>
        <w:spacing w:after="0" w:line="294" w:lineRule="exact"/>
        <w:rPr>
          <w:sz w:val="20"/>
          <w:szCs w:val="20"/>
          <w:color w:val="auto"/>
        </w:rPr>
      </w:pPr>
      <w:r>
        <w:rPr>
          <w:rFonts w:ascii="Arial" w:cs="Arial" w:eastAsia="Arial" w:hAnsi="Arial"/>
          <w:sz w:val="16"/>
          <w:szCs w:val="16"/>
          <w:color w:val="231F20"/>
        </w:rPr>
        <w:t>(żĉŚĉĥĀȊƓƑƓƗǢȊFȊêżňêßŚȊŚąêȊƌŋŒŚȊňąÃŒêȊĬÿȊĤŽȊŚêĥŠŋêȊŚĬȊÞêȊ ßĬĤňĞêŚêǢȊÃĥåȊÿĬŋȊ</w:t>
      </w:r>
      <w:r>
        <w:rPr>
          <w:rFonts w:ascii="PMingLiU" w:cs="PMingLiU" w:eastAsia="PMingLiU" w:hAnsi="PMingLiU"/>
          <w:sz w:val="16"/>
          <w:szCs w:val="16"/>
          <w:color w:val="231F20"/>
        </w:rPr>
        <w:t/>
      </w:r>
      <w:r>
        <w:rPr>
          <w:rFonts w:ascii="Arial" w:cs="Arial" w:eastAsia="Arial" w:hAnsi="Arial"/>
          <w:sz w:val="16"/>
          <w:szCs w:val="16"/>
          <w:color w:val="231F20"/>
        </w:rPr>
        <w:t>ĤêŋĉßÃĥȊ</w:t>
      </w:r>
      <w:r>
        <w:rPr>
          <w:rFonts w:ascii="PMingLiU" w:cs="PMingLiU" w:eastAsia="PMingLiU" w:hAnsi="PMingLiU"/>
          <w:sz w:val="16"/>
          <w:szCs w:val="16"/>
          <w:color w:val="231F20"/>
        </w:rPr>
        <w:t></w:t>
      </w:r>
      <w:r>
        <w:rPr>
          <w:rFonts w:ascii="Arial" w:cs="Arial" w:eastAsia="Arial" w:hAnsi="Arial"/>
          <w:sz w:val="16"/>
          <w:szCs w:val="16"/>
          <w:color w:val="231F20"/>
        </w:rPr>
        <w:t xml:space="preserve">ĬŷêŋȊŚĬȊÞêȊĬĥȊĤŠßąȊƌŋĤêŋȊ ƌĥÃĥßĉÃĞȊÿĬĬŚĉĥĀȊÃĥåȊĉŚŒȊŒŚŋĬĥĀêŒŚȊŒŚŋÃŚêĀĉßȊÿĬĬŚĉĥĀȊĉĥȊÃŚȊ ĞêÃŒŚȊÃȊåêßÃåêǡȊfŠŋȊňĬŋŚÿĬĞĉĬȊŷĉĞĞȊÞêȊĤĬŋêȊÞÃĞÃĥßêåǢȊĬŠŋȊ </w:t>
      </w:r>
      <w:r>
        <w:rPr>
          <w:rFonts w:ascii="Arial" w:cs="Arial" w:eastAsia="Arial" w:hAnsi="Arial"/>
          <w:sz w:val="16"/>
          <w:szCs w:val="16"/>
          <w:color w:val="231F20"/>
        </w:rPr>
        <w:t>capital structure more durable and our growth opportunities more compelling.</w:t>
      </w:r>
    </w:p>
    <w:p>
      <w:pPr>
        <w:spacing w:after="0" w:line="337" w:lineRule="exact"/>
        <w:rPr>
          <w:sz w:val="20"/>
          <w:szCs w:val="20"/>
          <w:color w:val="auto"/>
        </w:rPr>
      </w:pPr>
    </w:p>
    <w:p>
      <w:pPr>
        <w:ind w:right="4520"/>
        <w:spacing w:after="0" w:line="305" w:lineRule="auto"/>
        <w:rPr>
          <w:sz w:val="20"/>
          <w:szCs w:val="20"/>
          <w:color w:val="auto"/>
        </w:rPr>
      </w:pPr>
      <w:r>
        <w:rPr>
          <w:rFonts w:ascii="Arial" w:cs="Arial" w:eastAsia="Arial" w:hAnsi="Arial"/>
          <w:sz w:val="21"/>
          <w:szCs w:val="21"/>
          <w:color w:val="231F20"/>
        </w:rPr>
        <w:t>The future for digital infrastructure is extraordinarily promising, setting up the exciting second phase of my tenure, which will afford us more opportunities to grow both organically and inorganically.</w:t>
      </w:r>
    </w:p>
    <w:p>
      <w:pPr>
        <w:spacing w:after="0" w:line="273" w:lineRule="exact"/>
        <w:rPr>
          <w:sz w:val="20"/>
          <w:szCs w:val="20"/>
          <w:color w:val="auto"/>
        </w:rPr>
      </w:pPr>
    </w:p>
    <w:p>
      <w:pPr>
        <w:ind w:right="1240"/>
        <w:spacing w:after="0" w:line="293" w:lineRule="exact"/>
        <w:rPr>
          <w:sz w:val="20"/>
          <w:szCs w:val="20"/>
          <w:color w:val="auto"/>
        </w:rPr>
      </w:pPr>
      <w:r>
        <w:rPr>
          <w:rFonts w:ascii="Arial" w:cs="Arial" w:eastAsia="Arial" w:hAnsi="Arial"/>
          <w:sz w:val="16"/>
          <w:szCs w:val="16"/>
          <w:color w:val="231F20"/>
        </w:rPr>
        <w:t>=ĞĬÞÃĞȊåÃŚÃȊßĬĥŒŠĤňŚĉĬĥȊßĬĥŚĉĥŠêŒȊŚĬȊĉĥßŋêÃŒêȊÃŚȊÃȊÞĞĉŒŚêŋĉĥĀȊňÃßêǡȊ°ĉŋêĞêŒŒȊĉĥåŠŒŚŋŽȊ ÃĥÃĞŽŒŚŒȊňŋĬĘêßŚȊŚąÃŚȊĤĬÞĉĞêȊåÃŚÃȊŠŒÃĀêȊĉĥȊŚąêȊ</w:t>
      </w:r>
      <w:r>
        <w:rPr>
          <w:rFonts w:ascii="PMingLiU" w:cs="PMingLiU" w:eastAsia="PMingLiU" w:hAnsi="PMingLiU"/>
          <w:sz w:val="16"/>
          <w:szCs w:val="16"/>
          <w:color w:val="231F20"/>
        </w:rPr>
        <w:t></w:t>
      </w:r>
      <w:r>
        <w:rPr>
          <w:rFonts w:ascii="Arial" w:cs="Arial" w:eastAsia="Arial" w:hAnsi="Arial"/>
          <w:sz w:val="16"/>
          <w:szCs w:val="16"/>
          <w:color w:val="231F20"/>
        </w:rPr>
        <w:t>ǡ</w:t>
      </w:r>
      <w:r>
        <w:rPr>
          <w:rFonts w:ascii="PMingLiU" w:cs="PMingLiU" w:eastAsia="PMingLiU" w:hAnsi="PMingLiU"/>
          <w:sz w:val="16"/>
          <w:szCs w:val="16"/>
          <w:color w:val="231F20"/>
        </w:rPr>
        <w:t></w:t>
      </w:r>
      <w:r>
        <w:rPr>
          <w:rFonts w:ascii="Arial" w:cs="Arial" w:eastAsia="Arial" w:hAnsi="Arial"/>
          <w:sz w:val="16"/>
          <w:szCs w:val="16"/>
          <w:color w:val="231F20"/>
        </w:rPr>
        <w:t>ǡȊŷĉĞĞȊåĬŠÞĞêȊĬŶêŋȊŚąêȊĥêżŚȊƌŶêȊŽêÃŋŒǢȊ ŋêŊŠĉŋĉĥĀȊßÃŋŋĉêŋŒȊŚĬȊåĬŠÞĞêȊĥêŚŷĬŋěȊßÃňÃßĉŚŽȊŚĬȊěêêňȊňÃßêȊŷĉŚąȊßĬĥŒŠĤêŋȊÃĥåȊêĥŚêŋňŋĉŒêȊ åêĤÃĥåǡȊ</w:t>
      </w:r>
      <w:r>
        <w:rPr>
          <w:rFonts w:ascii="PMingLiU" w:cs="PMingLiU" w:eastAsia="PMingLiU" w:hAnsi="PMingLiU"/>
          <w:sz w:val="16"/>
          <w:szCs w:val="16"/>
          <w:color w:val="231F20"/>
        </w:rPr>
        <w:t></w:t>
      </w:r>
      <w:r>
        <w:rPr>
          <w:rFonts w:ascii="Arial" w:cs="Arial" w:eastAsia="Arial" w:hAnsi="Arial"/>
          <w:sz w:val="16"/>
          <w:szCs w:val="16"/>
          <w:color w:val="231F20"/>
        </w:rPr>
        <w:t>ąêŒêȊÿĬŋêßÃŒŚŒǢȊŋĬÞŠŒŚȊĬĥȊŚąêĉŋȊĬŷĥǢȊåĬȊĥĬŚȊŽêŚȊÿŠĞĞŽȊÃßßĬŠĥŚȊÿĬŋȊ</w:t>
      </w:r>
      <w:r>
        <w:rPr>
          <w:rFonts w:ascii="PMingLiU" w:cs="PMingLiU" w:eastAsia="PMingLiU" w:hAnsi="PMingLiU"/>
          <w:sz w:val="16"/>
          <w:szCs w:val="16"/>
          <w:color w:val="231F20"/>
        </w:rPr>
        <w:t/>
      </w:r>
      <w:r>
        <w:rPr>
          <w:rFonts w:ascii="Arial" w:cs="Arial" w:eastAsia="Arial" w:hAnsi="Arial"/>
          <w:sz w:val="16"/>
          <w:szCs w:val="16"/>
          <w:color w:val="231F20"/>
        </w:rPr>
        <w:t>FǸåŋĉŶêĥȊ ÃňňĞĉßÃŚĉĬĥŒȊĬŋȊŚąêȊÃŋŋĉŶÃĞȊĬÿȊƗ=ǡȊȊ</w:t>
      </w:r>
    </w:p>
    <w:p>
      <w:pPr>
        <w:spacing w:after="0" w:line="340" w:lineRule="exact"/>
        <w:rPr>
          <w:sz w:val="20"/>
          <w:szCs w:val="20"/>
          <w:color w:val="auto"/>
        </w:rPr>
      </w:pPr>
    </w:p>
    <w:p>
      <w:pPr>
        <w:ind w:right="980"/>
        <w:spacing w:after="0" w:line="293" w:lineRule="exact"/>
        <w:rPr>
          <w:sz w:val="20"/>
          <w:szCs w:val="20"/>
          <w:color w:val="auto"/>
        </w:rPr>
      </w:pPr>
      <w:r>
        <w:rPr>
          <w:rFonts w:ascii="Arial" w:cs="Arial" w:eastAsia="Arial" w:hAnsi="Arial"/>
          <w:sz w:val="16"/>
          <w:szCs w:val="16"/>
          <w:color w:val="231F20"/>
        </w:rPr>
        <w:t>BĉŒŚĬŋŽȊŒŠĀĀêŒŚŒȊŚąÃŚȊŚêßąĥĬĞĬĀĉßÃĞȊŋêŶĬĞŠŚĉĬĥŒȊĥêŶêŋȊŋêĤÃĉĥȊßĬĥƌĥêåȊŚĬȊŚąêĉŋȊĉĥĉŚĉÃĞȊŠŒêȊ ßÃŒêŒǡȊ°êȊÞêĞĉêŶêȊŚąêȊŚŋĉĞĞĉĬĥŒȊĬÿȊåĬĞĞÃŋŒȊÞêĉĥĀȊĉĥŶêŒŚêåȊĉĥŚĬȊ</w:t>
      </w:r>
      <w:r>
        <w:rPr>
          <w:rFonts w:ascii="PMingLiU" w:cs="PMingLiU" w:eastAsia="PMingLiU" w:hAnsi="PMingLiU"/>
          <w:sz w:val="16"/>
          <w:szCs w:val="16"/>
          <w:color w:val="231F20"/>
        </w:rPr>
        <w:t/>
      </w:r>
      <w:r>
        <w:rPr>
          <w:rFonts w:ascii="Arial" w:cs="Arial" w:eastAsia="Arial" w:hAnsi="Arial"/>
          <w:sz w:val="16"/>
          <w:szCs w:val="16"/>
          <w:color w:val="231F20"/>
        </w:rPr>
        <w:t xml:space="preserve">FȊÃßŋĬŒŒȊßĬĥŒŠĤêŋǢȊêĥŚêŋňŋĉŒêȊ ÃĥåȊĉĥåŠŒŚŋĉÃĞȊĤÃŋěêŚŒȊŷĉĞĞȊŒňŠŋȊêĥŚĉŋêĞŽȊĥêŷȊÃňňĞĉßÃŚĉĬĥŒǻÃňňĞĉßÃŚĉĬĥŒȊŚąÃŚȊŷĉĞĞȊŋêŊŠĉŋêȊ ŒĉĀĥĉƌßÃĥŚĞŽȊĤĬŋêȊåÃŚÃȊŚŋÃĥŒĤĉŒŒĉĬĥȊÃĥåȊňŋĬßêŒŒĉĥĀǢȊÃĥåȊŚąêŋêÿĬŋêȊĤêÃĥĉĥĀÿŠĞȊĉĥßŋêĤêĥŚÃĞȊ </w:t>
      </w:r>
      <w:r>
        <w:rPr>
          <w:rFonts w:ascii="Arial" w:cs="Arial" w:eastAsia="Arial" w:hAnsi="Arial"/>
          <w:sz w:val="16"/>
          <w:szCs w:val="16"/>
          <w:color w:val="231F20"/>
        </w:rPr>
        <w:t>investment in wireless infrastructure.</w:t>
      </w:r>
    </w:p>
    <w:p>
      <w:pPr>
        <w:spacing w:after="0" w:line="200" w:lineRule="exact"/>
        <w:rPr>
          <w:sz w:val="20"/>
          <w:szCs w:val="20"/>
          <w:color w:val="auto"/>
        </w:rPr>
      </w:pPr>
    </w:p>
    <w:p>
      <w:pPr>
        <w:spacing w:after="0" w:line="336" w:lineRule="exact"/>
        <w:rPr>
          <w:sz w:val="20"/>
          <w:szCs w:val="20"/>
          <w:color w:val="auto"/>
        </w:rPr>
      </w:pPr>
    </w:p>
    <w:p>
      <w:pPr>
        <w:ind w:left="280"/>
        <w:spacing w:after="0"/>
        <w:rPr>
          <w:sz w:val="20"/>
          <w:szCs w:val="20"/>
          <w:color w:val="auto"/>
        </w:rPr>
      </w:pPr>
      <w:r>
        <w:rPr>
          <w:rFonts w:ascii="Arial" w:cs="Arial" w:eastAsia="Arial" w:hAnsi="Arial"/>
          <w:sz w:val="32"/>
          <w:szCs w:val="32"/>
          <w:b w:val="1"/>
          <w:bCs w:val="1"/>
          <w:color w:val="D11F43"/>
        </w:rPr>
        <w:t>22</w:t>
      </w:r>
    </w:p>
    <w:p>
      <w:pPr>
        <w:spacing w:after="0" w:line="11" w:lineRule="exact"/>
        <w:rPr>
          <w:sz w:val="20"/>
          <w:szCs w:val="20"/>
          <w:color w:val="auto"/>
        </w:rPr>
      </w:pPr>
    </w:p>
    <w:p>
      <w:pPr>
        <w:spacing w:after="0" w:line="291" w:lineRule="exact"/>
        <w:rPr>
          <w:sz w:val="20"/>
          <w:szCs w:val="20"/>
          <w:color w:val="auto"/>
        </w:rPr>
      </w:pPr>
      <w:r>
        <w:rPr>
          <w:rFonts w:ascii="Arial" w:cs="Arial" w:eastAsia="Arial" w:hAnsi="Arial"/>
          <w:sz w:val="24"/>
          <w:szCs w:val="24"/>
          <w:color w:val="231F20"/>
        </w:rPr>
        <w:t xml:space="preserve">Ȋ  </w:t>
      </w:r>
      <w:r>
        <w:rPr>
          <w:rFonts w:ascii="PMingLiU" w:cs="PMingLiU" w:eastAsia="PMingLiU" w:hAnsi="PMingLiU"/>
          <w:sz w:val="24"/>
          <w:szCs w:val="24"/>
          <w:color w:val="231F20"/>
        </w:rPr>
        <w:t/>
      </w:r>
      <w:r>
        <w:rPr>
          <w:rFonts w:ascii="Arial" w:cs="Arial" w:eastAsia="Arial" w:hAnsi="Arial"/>
          <w:sz w:val="24"/>
          <w:szCs w:val="24"/>
          <w:color w:val="231F20"/>
        </w:rPr>
        <w:t>ĬŠĥŚŋĉêŒȊ</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D11F43"/>
        </w:rPr>
        <w:t>~ 4,900</w:t>
      </w:r>
    </w:p>
    <w:p>
      <w:pPr>
        <w:spacing w:after="0" w:line="14" w:lineRule="exact"/>
        <w:rPr>
          <w:sz w:val="20"/>
          <w:szCs w:val="20"/>
          <w:color w:val="auto"/>
        </w:rPr>
      </w:pPr>
    </w:p>
    <w:p>
      <w:pPr>
        <w:ind w:left="280" w:hanging="280"/>
        <w:spacing w:after="0"/>
        <w:tabs>
          <w:tab w:leader="none" w:pos="280" w:val="left"/>
        </w:tabs>
        <w:numPr>
          <w:ilvl w:val="0"/>
          <w:numId w:val="4"/>
        </w:numPr>
        <w:rPr>
          <w:rFonts w:ascii="Arial" w:cs="Arial" w:eastAsia="Arial" w:hAnsi="Arial"/>
          <w:sz w:val="24"/>
          <w:szCs w:val="24"/>
          <w:color w:val="231F20"/>
        </w:rPr>
      </w:pPr>
      <w:r>
        <w:rPr>
          <w:rFonts w:ascii="Arial" w:cs="Arial" w:eastAsia="Arial" w:hAnsi="Arial"/>
          <w:sz w:val="24"/>
          <w:szCs w:val="24"/>
          <w:color w:val="231F20"/>
        </w:rPr>
        <w:t>=ĞĬÞÃĞȊ</w:t>
      </w:r>
    </w:p>
    <w:p>
      <w:pPr>
        <w:spacing w:after="0" w:line="9" w:lineRule="exact"/>
        <w:rPr>
          <w:rFonts w:ascii="Arial" w:cs="Arial" w:eastAsia="Arial" w:hAnsi="Arial"/>
          <w:sz w:val="24"/>
          <w:szCs w:val="24"/>
          <w:color w:val="231F20"/>
        </w:rPr>
      </w:pPr>
    </w:p>
    <w:p>
      <w:pPr>
        <w:ind w:left="280" w:hanging="280"/>
        <w:spacing w:after="0"/>
        <w:tabs>
          <w:tab w:leader="none" w:pos="280" w:val="left"/>
        </w:tabs>
        <w:numPr>
          <w:ilvl w:val="0"/>
          <w:numId w:val="4"/>
        </w:numPr>
        <w:rPr>
          <w:rFonts w:ascii="Arial" w:cs="Arial" w:eastAsia="Arial" w:hAnsi="Arial"/>
          <w:sz w:val="24"/>
          <w:szCs w:val="24"/>
          <w:color w:val="231F20"/>
        </w:rPr>
      </w:pPr>
      <w:r>
        <w:rPr>
          <w:rFonts w:ascii="Arial" w:cs="Arial" w:eastAsia="Arial" w:hAnsi="Arial"/>
          <w:sz w:val="24"/>
          <w:szCs w:val="24"/>
          <w:color w:val="231F20"/>
        </w:rPr>
        <w:t>(ĤňĞĬŽêêŒ</w:t>
      </w: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D11F43"/>
        </w:rPr>
        <w:t>~ 150,000</w:t>
      </w:r>
    </w:p>
    <w:p>
      <w:pPr>
        <w:spacing w:after="0" w:line="9" w:lineRule="exact"/>
        <w:rPr>
          <w:sz w:val="20"/>
          <w:szCs w:val="20"/>
          <w:color w:val="auto"/>
        </w:rPr>
      </w:pPr>
    </w:p>
    <w:p>
      <w:pPr>
        <w:ind w:left="280" w:hanging="280"/>
        <w:spacing w:after="0" w:line="291" w:lineRule="exact"/>
        <w:tabs>
          <w:tab w:leader="none" w:pos="280" w:val="left"/>
        </w:tabs>
        <w:numPr>
          <w:ilvl w:val="0"/>
          <w:numId w:val="5"/>
        </w:numPr>
        <w:rPr>
          <w:rFonts w:ascii="Arial" w:cs="Arial" w:eastAsia="Arial" w:hAnsi="Arial"/>
          <w:sz w:val="24"/>
          <w:szCs w:val="24"/>
          <w:color w:val="231F20"/>
        </w:rPr>
      </w:pPr>
      <w:r>
        <w:rPr>
          <w:rFonts w:ascii="PMingLiU" w:cs="PMingLiU" w:eastAsia="PMingLiU" w:hAnsi="PMingLiU"/>
          <w:sz w:val="24"/>
          <w:szCs w:val="24"/>
          <w:color w:val="231F20"/>
        </w:rPr>
        <w:t/>
      </w:r>
      <w:r>
        <w:rPr>
          <w:rFonts w:ascii="Arial" w:cs="Arial" w:eastAsia="Arial" w:hAnsi="Arial"/>
          <w:sz w:val="24"/>
          <w:szCs w:val="24"/>
          <w:color w:val="231F20"/>
        </w:rPr>
        <w:t>ĬĤĤŠĥĉßÃŚĉĬĥŒȊ</w:t>
      </w:r>
    </w:p>
    <w:p>
      <w:pPr>
        <w:ind w:left="280"/>
        <w:spacing w:after="0"/>
        <w:rPr>
          <w:rFonts w:ascii="Arial" w:cs="Arial" w:eastAsia="Arial" w:hAnsi="Arial"/>
          <w:sz w:val="24"/>
          <w:szCs w:val="24"/>
          <w:color w:val="231F20"/>
        </w:rPr>
      </w:pPr>
      <w:r>
        <w:rPr>
          <w:rFonts w:ascii="Arial" w:cs="Arial" w:eastAsia="Arial" w:hAnsi="Arial"/>
          <w:sz w:val="24"/>
          <w:szCs w:val="24"/>
          <w:color w:val="231F20"/>
        </w:rPr>
        <w:t>Assets</w:t>
      </w:r>
    </w:p>
    <w:p>
      <w:pPr>
        <w:sectPr>
          <w:pgSz w:w="11880" w:h="15480" w:orient="portrait"/>
          <w:cols w:equalWidth="0" w:num="1">
            <w:col w:w="9720"/>
          </w:cols>
          <w:pgMar w:left="1440" w:top="106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940"/>
        <w:spacing w:after="0"/>
        <w:rPr>
          <w:sz w:val="20"/>
          <w:szCs w:val="20"/>
          <w:color w:val="auto"/>
        </w:rPr>
      </w:pPr>
      <w:r>
        <w:rPr>
          <w:rFonts w:ascii="Arial" w:cs="Arial" w:eastAsia="Arial" w:hAnsi="Arial"/>
          <w:sz w:val="16"/>
          <w:szCs w:val="16"/>
          <w:color w:val="231F20"/>
        </w:rPr>
        <w:t xml:space="preserve">American Tower Corporation | </w:t>
      </w:r>
      <w:r>
        <w:rPr>
          <w:rFonts w:ascii="Arial" w:cs="Arial" w:eastAsia="Arial" w:hAnsi="Arial"/>
          <w:sz w:val="16"/>
          <w:szCs w:val="16"/>
          <w:b w:val="1"/>
          <w:bCs w:val="1"/>
          <w:color w:val="231F20"/>
        </w:rPr>
        <w:t>7</w:t>
      </w:r>
    </w:p>
    <w:p>
      <w:pPr>
        <w:sectPr>
          <w:pgSz w:w="11880" w:h="15480" w:orient="portrait"/>
          <w:cols w:equalWidth="0" w:num="1">
            <w:col w:w="9720"/>
          </w:cols>
          <w:pgMar w:left="1440" w:top="1066" w:right="720" w:bottom="0" w:gutter="0" w:footer="0" w:header="0"/>
          <w:type w:val="continuous"/>
        </w:sectPr>
      </w:pPr>
    </w:p>
    <w:bookmarkStart w:id="7" w:name="page8"/>
    <w:bookmarkEnd w:id="7"/>
    <w:p>
      <w:pPr>
        <w:ind w:left="720" w:right="80"/>
        <w:spacing w:after="0" w:line="391" w:lineRule="auto"/>
        <w:rPr>
          <w:sz w:val="20"/>
          <w:szCs w:val="20"/>
          <w:color w:val="auto"/>
        </w:rPr>
      </w:pPr>
      <w:r>
        <w:rPr>
          <w:rFonts w:ascii="Arial" w:cs="Arial" w:eastAsia="Arial" w:hAnsi="Arial"/>
          <w:sz w:val="16"/>
          <w:szCs w:val="16"/>
          <w:color w:val="231F20"/>
        </w:rPr>
        <w:drawing>
          <wp:anchor simplePos="0" relativeHeight="251657728" behindDoc="1" locked="0" layoutInCell="0" allowOverlap="1">
            <wp:simplePos x="0" y="0"/>
            <wp:positionH relativeFrom="page">
              <wp:posOffset>0</wp:posOffset>
            </wp:positionH>
            <wp:positionV relativeFrom="page">
              <wp:posOffset>0</wp:posOffset>
            </wp:positionV>
            <wp:extent cx="7543800" cy="9163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163050"/>
                    </a:xfrm>
                    <a:prstGeom prst="rect">
                      <a:avLst/>
                    </a:prstGeom>
                    <a:noFill/>
                  </pic:spPr>
                </pic:pic>
              </a:graphicData>
            </a:graphic>
          </wp:anchor>
        </w:drawing>
        <w:t>fĥȊŚĬňȊĬÿȊŚąĉŒǢȊƗ=ȊŋêňŋêŒêĥŚŒȊÃĥȊÃååĉŚĉĬĥÃĞȊĞÃŽêŋȊĬÿȊĞĬĥĀǸŚêŋĤȊŠňŒĉåêǡȊ°ąĉĞêȊŒŚĉĞĞȊêÃŋĞŽǢȊŚąêȊ ňŋĉĥßĉňĞêŒȊĀŠĉåĉĥĀȊƗ=ȊêĥĀĉĥêêŋĉĥĀȊňĬĉĥŚȊŚĬŷÃŋåȊåêĥŒêŋȊĥêŚŷĬŋěŒǢȊĤĬŋêȊåĉŒŚŋĉÞŠŚêåȊßĬĤňŠŚêȊ ÃĥåȊåŋÃĤÃŚĉßÃĞĞŽȊąĉĀąêŋȊŚąŋĬŠĀąňŠŚȊŋêŊŠĉŋêĤêĥŚŒǡȊ(ÃßąȊĬÿȊŚąêŒêȊŚŋêĥåŒȊĉŒȊĉĥąêŋêĥŚĞŽȊÞŠĞĞĉŒąȊ</w:t>
      </w:r>
    </w:p>
    <w:p>
      <w:pPr>
        <w:spacing w:after="0" w:line="1" w:lineRule="exact"/>
        <w:rPr>
          <w:sz w:val="20"/>
          <w:szCs w:val="20"/>
          <w:color w:val="auto"/>
        </w:rPr>
      </w:pPr>
    </w:p>
    <w:p>
      <w:pPr>
        <w:ind w:left="720" w:right="120"/>
        <w:spacing w:after="0" w:line="291" w:lineRule="exact"/>
        <w:rPr>
          <w:sz w:val="20"/>
          <w:szCs w:val="20"/>
          <w:color w:val="auto"/>
        </w:rPr>
      </w:pPr>
      <w:r>
        <w:rPr>
          <w:rFonts w:ascii="Arial" w:cs="Arial" w:eastAsia="Arial" w:hAnsi="Arial"/>
          <w:sz w:val="17"/>
          <w:szCs w:val="17"/>
          <w:color w:val="231F20"/>
        </w:rPr>
        <w:t>ÿĬŋȊĤÃßŋĬȊŚĬŷêŋŒǢȊŷąĉßąȊŋêĤÃĉĥȊŚąêȊĤĬŒŚȊêßĬĥĬĤĉßÃĞǢȊêÿƌßĉêĥŚȊÃĥåȊŒßÃĞÃÞĞêȊŷÃŽȊŚĬȊÃååȊ ßĬŶêŋÃĀêȊÃĥåȊßÃňÃßĉŚŽǡȊ</w:t>
      </w:r>
      <w:r>
        <w:rPr>
          <w:rFonts w:ascii="PMingLiU" w:cs="PMingLiU" w:eastAsia="PMingLiU" w:hAnsi="PMingLiU"/>
          <w:sz w:val="17"/>
          <w:szCs w:val="17"/>
          <w:color w:val="231F20"/>
        </w:rPr>
        <w:t/>
      </w:r>
      <w:r>
        <w:rPr>
          <w:rFonts w:ascii="Arial" w:cs="Arial" w:eastAsia="Arial" w:hAnsi="Arial"/>
          <w:sz w:val="17"/>
          <w:szCs w:val="17"/>
          <w:color w:val="231F20"/>
        </w:rPr>
        <w:t>ŒȊŷêȊŒÃŷȊĉĥȊňŋêŶĉĬŠŒȊĀêĥêŋÃŚĉĬĥÃĞȊŚŋÃĥŒĉŚĉĬĥŒǻÿŋĬĤȊƔ=ȊŚĬȊƕ=ǢȊÃĥåȊ ÿŋĬĤȊƕ=ȊŚĬȊƖ=ǻßÃŋŋĉêŋŒȊĉĥŶêŒŚȊƌŋŒŚȊÃĥåȊĤĬŒŚȊąêÃŶĉĞŽȊĉĥȊŚĬŷêŋŒǡȊ°êȊêżňêßŚȊŚąÃŚȊňÃŚŚêŋĥȊŚĬȊ ŋêňêÃŚȊÃĥåȊêżňÃĥåȊĉĥȊŚąêȊƗ=ȊêŋÃǡȊ</w:t>
      </w:r>
    </w:p>
    <w:p>
      <w:pPr>
        <w:spacing w:after="0" w:line="338" w:lineRule="exact"/>
        <w:rPr>
          <w:sz w:val="20"/>
          <w:szCs w:val="20"/>
          <w:color w:val="auto"/>
        </w:rPr>
      </w:pPr>
    </w:p>
    <w:p>
      <w:pPr>
        <w:ind w:left="720" w:right="300"/>
        <w:spacing w:after="0" w:line="353" w:lineRule="exact"/>
        <w:rPr>
          <w:sz w:val="20"/>
          <w:szCs w:val="20"/>
          <w:color w:val="auto"/>
        </w:rPr>
      </w:pPr>
      <w:r>
        <w:rPr>
          <w:rFonts w:ascii="PMingLiU" w:cs="PMingLiU" w:eastAsia="PMingLiU" w:hAnsi="PMingLiU"/>
          <w:sz w:val="17"/>
          <w:szCs w:val="17"/>
          <w:color w:val="231F20"/>
        </w:rPr>
        <w:t></w:t>
      </w:r>
      <w:r>
        <w:rPr>
          <w:rFonts w:ascii="Arial" w:cs="Arial" w:eastAsia="Arial" w:hAnsi="Arial"/>
          <w:sz w:val="17"/>
          <w:szCs w:val="17"/>
          <w:color w:val="231F20"/>
        </w:rPr>
        <w:t>ąêŒêȊŷĉŋêĞêŒŒȊŚŋêĥåŒȊßĬĥĥêßŚȊåĉŋêßŚĞŽȊŚĬȊŚąêȊĤĬĤêĥŚŠĤȊŷêȊÃŋêȊŒêêĉĥĀȊĉĥȊ</w:t>
      </w:r>
      <w:r>
        <w:rPr>
          <w:rFonts w:ascii="PMingLiU" w:cs="PMingLiU" w:eastAsia="PMingLiU" w:hAnsi="PMingLiU"/>
          <w:sz w:val="17"/>
          <w:szCs w:val="17"/>
          <w:color w:val="231F20"/>
        </w:rPr>
        <w:t/>
      </w:r>
      <w:r>
        <w:rPr>
          <w:rFonts w:ascii="Arial" w:cs="Arial" w:eastAsia="Arial" w:hAnsi="Arial"/>
          <w:sz w:val="17"/>
          <w:szCs w:val="17"/>
          <w:color w:val="231F20"/>
        </w:rPr>
        <w:t>Ĭŋê</w:t>
      </w:r>
      <w:r>
        <w:rPr>
          <w:rFonts w:ascii="PMingLiU" w:cs="PMingLiU" w:eastAsia="PMingLiU" w:hAnsi="PMingLiU"/>
          <w:sz w:val="17"/>
          <w:szCs w:val="17"/>
          <w:color w:val="231F20"/>
        </w:rPr>
        <w:t></w:t>
      </w:r>
      <w:r>
        <w:rPr>
          <w:rFonts w:ascii="Arial" w:cs="Arial" w:eastAsia="Arial" w:hAnsi="Arial"/>
          <w:sz w:val="17"/>
          <w:szCs w:val="17"/>
          <w:color w:val="231F20"/>
        </w:rPr>
        <w:t>ĉŚêǢȊ ŷąêŋêȊåêĤÃĥåȊßĬĥŚĉĥŠêŒȊŚĬȊÃßßêĞêŋÃŚêǡȊ</w:t>
      </w:r>
      <w:r>
        <w:rPr>
          <w:rFonts w:ascii="PMingLiU" w:cs="PMingLiU" w:eastAsia="PMingLiU" w:hAnsi="PMingLiU"/>
          <w:sz w:val="17"/>
          <w:szCs w:val="17"/>
          <w:color w:val="231F20"/>
        </w:rPr>
        <w:t/>
      </w:r>
      <w:r>
        <w:rPr>
          <w:rFonts w:ascii="Arial" w:cs="Arial" w:eastAsia="Arial" w:hAnsi="Arial"/>
          <w:sz w:val="17"/>
          <w:szCs w:val="17"/>
          <w:color w:val="231F20"/>
        </w:rPr>
        <w:t>FǸåŋĉŶêĥȊŷĬŋěĞĬÃåŒȊŋêŊŠĉŋêȊąĉĀąǸňêŋÿĬŋĤÃĥßêǢȊ ĉĥŚêŋßĬĥĥêßŚêåǢȊĞĬŷǸĞÃŚêĥßŽȊåÃŚÃȊßêĥŚêŋȊêĥŶĉŋĬĥĤêĥŚŒǻŚąêȊêżÃßŚȊêĥŶĉŋĬĥĤêĥŚŒȊ</w:t>
      </w:r>
      <w:r>
        <w:rPr>
          <w:rFonts w:ascii="PMingLiU" w:cs="PMingLiU" w:eastAsia="PMingLiU" w:hAnsi="PMingLiU"/>
          <w:sz w:val="17"/>
          <w:szCs w:val="17"/>
          <w:color w:val="231F20"/>
        </w:rPr>
        <w:t/>
      </w:r>
      <w:r>
        <w:rPr>
          <w:rFonts w:ascii="Arial" w:cs="Arial" w:eastAsia="Arial" w:hAnsi="Arial"/>
          <w:sz w:val="17"/>
          <w:szCs w:val="17"/>
          <w:color w:val="231F20"/>
        </w:rPr>
        <w:t>Ĭŋê</w:t>
      </w:r>
      <w:r>
        <w:rPr>
          <w:rFonts w:ascii="PMingLiU" w:cs="PMingLiU" w:eastAsia="PMingLiU" w:hAnsi="PMingLiU"/>
          <w:sz w:val="17"/>
          <w:szCs w:val="17"/>
          <w:color w:val="231F20"/>
        </w:rPr>
        <w:t></w:t>
      </w:r>
      <w:r>
        <w:rPr>
          <w:rFonts w:ascii="Arial" w:cs="Arial" w:eastAsia="Arial" w:hAnsi="Arial"/>
          <w:sz w:val="17"/>
          <w:szCs w:val="17"/>
          <w:color w:val="231F20"/>
        </w:rPr>
        <w:t xml:space="preserve">ĉŚêȊ ąÃŒȊÞŠĉĞŚȊĉŚŒȊŋêňŠŚÃŚĉĬĥȊĬĥǡȊfŠŋȊåÃŚÃȊßêĥŚêŋȊÿĬĬŚňŋĉĥŚȊĉŒȊÞêĥêƌŚĉĥĀȊÿŋĬĤȊŚąêȊŒÃĤêȊŒêßŠĞÃŋȊ </w:t>
      </w:r>
      <w:r>
        <w:rPr>
          <w:rFonts w:ascii="Arial" w:cs="Arial" w:eastAsia="Arial" w:hAnsi="Arial"/>
          <w:sz w:val="17"/>
          <w:szCs w:val="17"/>
          <w:color w:val="231F20"/>
        </w:rPr>
        <w:t>forces that support our tower business, and increasingly the two asset classes are converging at the edge.</w:t>
      </w:r>
    </w:p>
    <w:p>
      <w:pPr>
        <w:spacing w:after="0" w:line="200" w:lineRule="exact"/>
        <w:rPr>
          <w:sz w:val="20"/>
          <w:szCs w:val="20"/>
          <w:color w:val="auto"/>
        </w:rPr>
      </w:pPr>
    </w:p>
    <w:p>
      <w:pPr>
        <w:spacing w:after="0" w:line="262" w:lineRule="exact"/>
        <w:rPr>
          <w:sz w:val="20"/>
          <w:szCs w:val="20"/>
          <w:color w:val="auto"/>
        </w:rPr>
      </w:pPr>
    </w:p>
    <w:p>
      <w:pPr>
        <w:ind w:left="740"/>
        <w:spacing w:after="0" w:line="558" w:lineRule="exact"/>
        <w:rPr>
          <w:sz w:val="20"/>
          <w:szCs w:val="20"/>
          <w:color w:val="auto"/>
        </w:rPr>
      </w:pPr>
      <w:r>
        <w:rPr>
          <w:rFonts w:ascii="Arial" w:cs="Arial" w:eastAsia="Arial" w:hAnsi="Arial"/>
          <w:sz w:val="37"/>
          <w:szCs w:val="37"/>
          <w:color w:val="231F20"/>
        </w:rPr>
        <w:t>Ȁ</w:t>
      </w:r>
      <w:r>
        <w:rPr>
          <w:rFonts w:ascii="PMingLiU" w:cs="PMingLiU" w:eastAsia="PMingLiU" w:hAnsi="PMingLiU"/>
          <w:sz w:val="37"/>
          <w:szCs w:val="37"/>
          <w:color w:val="231F20"/>
        </w:rPr>
        <w:t></w:t>
      </w:r>
      <w:r>
        <w:rPr>
          <w:rFonts w:ascii="Arial" w:cs="Arial" w:eastAsia="Arial" w:hAnsi="Arial"/>
          <w:sz w:val="37"/>
          <w:szCs w:val="37"/>
          <w:color w:val="231F20"/>
        </w:rPr>
        <w:t>ĬåÃŽǢȊ</w:t>
      </w:r>
      <w:r>
        <w:rPr>
          <w:rFonts w:ascii="PMingLiU" w:cs="PMingLiU" w:eastAsia="PMingLiU" w:hAnsi="PMingLiU"/>
          <w:sz w:val="37"/>
          <w:szCs w:val="37"/>
          <w:color w:val="231F20"/>
        </w:rPr>
        <w:t/>
      </w:r>
      <w:r>
        <w:rPr>
          <w:rFonts w:ascii="Arial" w:cs="Arial" w:eastAsia="Arial" w:hAnsi="Arial"/>
          <w:sz w:val="37"/>
          <w:szCs w:val="37"/>
          <w:color w:val="231F20"/>
        </w:rPr>
        <w:t>ĤêŋĉßÃĥȊ</w:t>
      </w:r>
      <w:r>
        <w:rPr>
          <w:rFonts w:ascii="PMingLiU" w:cs="PMingLiU" w:eastAsia="PMingLiU" w:hAnsi="PMingLiU"/>
          <w:sz w:val="37"/>
          <w:szCs w:val="37"/>
          <w:color w:val="231F20"/>
        </w:rPr>
        <w:t></w:t>
      </w:r>
      <w:r>
        <w:rPr>
          <w:rFonts w:ascii="Arial" w:cs="Arial" w:eastAsia="Arial" w:hAnsi="Arial"/>
          <w:sz w:val="37"/>
          <w:szCs w:val="37"/>
          <w:color w:val="231F20"/>
        </w:rPr>
        <w:t>ĬŷêŋȊĉŒȊÃȊ</w:t>
      </w:r>
      <w:r>
        <w:rPr>
          <w:rFonts w:ascii="Arial" w:cs="Arial" w:eastAsia="Arial" w:hAnsi="Arial"/>
          <w:sz w:val="37"/>
          <w:szCs w:val="37"/>
          <w:b w:val="1"/>
          <w:bCs w:val="1"/>
          <w:color w:val="D11F43"/>
        </w:rPr>
        <w:t>stronger</w:t>
      </w:r>
      <w:r>
        <w:rPr>
          <w:rFonts w:ascii="Arial" w:cs="Arial" w:eastAsia="Arial" w:hAnsi="Arial"/>
          <w:sz w:val="37"/>
          <w:szCs w:val="37"/>
          <w:color w:val="231F20"/>
        </w:rPr>
        <w:t xml:space="preserve">, more </w:t>
      </w:r>
      <w:r>
        <w:rPr>
          <w:rFonts w:ascii="Arial" w:cs="Arial" w:eastAsia="Arial" w:hAnsi="Arial"/>
          <w:sz w:val="37"/>
          <w:szCs w:val="37"/>
          <w:b w:val="1"/>
          <w:bCs w:val="1"/>
          <w:color w:val="D11F43"/>
        </w:rPr>
        <w:t xml:space="preserve">resilient </w:t>
      </w:r>
      <w:r>
        <w:rPr>
          <w:rFonts w:ascii="Arial" w:cs="Arial" w:eastAsia="Arial" w:hAnsi="Arial"/>
          <w:sz w:val="37"/>
          <w:szCs w:val="37"/>
          <w:color w:val="231F20"/>
        </w:rPr>
        <w:t>and more</w:t>
      </w:r>
      <w:r>
        <w:rPr>
          <w:rFonts w:ascii="Arial" w:cs="Arial" w:eastAsia="Arial" w:hAnsi="Arial"/>
          <w:sz w:val="37"/>
          <w:szCs w:val="37"/>
          <w:b w:val="1"/>
          <w:bCs w:val="1"/>
          <w:color w:val="D11F43"/>
        </w:rPr>
        <w:t xml:space="preserve"> strategically focused </w:t>
      </w:r>
      <w:r>
        <w:rPr>
          <w:rFonts w:ascii="Arial" w:cs="Arial" w:eastAsia="Arial" w:hAnsi="Arial"/>
          <w:sz w:val="37"/>
          <w:szCs w:val="37"/>
          <w:color w:val="231F20"/>
        </w:rPr>
        <w:t>ßĬĤňÃĥŽȊŚąÃĥȊÃŚȊÃĥŽȊňĬĉĥŚȊĉĥȊŚąêȊňÃŒŚȊåêßÃåêȁ</w:t>
      </w:r>
    </w:p>
    <w:p>
      <w:pPr>
        <w:sectPr>
          <w:pgSz w:w="11880" w:h="15480" w:orient="portrait"/>
          <w:cols w:equalWidth="0" w:num="1">
            <w:col w:w="9720"/>
          </w:cols>
          <w:pgMar w:left="720" w:top="10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8 </w:t>
      </w:r>
      <w:r>
        <w:rPr>
          <w:rFonts w:ascii="Arial" w:cs="Arial" w:eastAsia="Arial" w:hAnsi="Arial"/>
          <w:sz w:val="16"/>
          <w:szCs w:val="16"/>
          <w:color w:val="231F20"/>
        </w:rPr>
        <w:t>| American Tower Corporation</w:t>
      </w:r>
    </w:p>
    <w:p>
      <w:pPr>
        <w:sectPr>
          <w:pgSz w:w="11880" w:h="15480" w:orient="portrait"/>
          <w:cols w:equalWidth="0" w:num="1">
            <w:col w:w="9720"/>
          </w:cols>
          <w:pgMar w:left="720" w:top="1066" w:right="144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163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800" cy="916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60"/>
        <w:spacing w:after="0" w:line="291" w:lineRule="exact"/>
        <w:rPr>
          <w:sz w:val="20"/>
          <w:szCs w:val="20"/>
          <w:color w:val="auto"/>
        </w:rPr>
      </w:pPr>
      <w:r>
        <w:rPr>
          <w:rFonts w:ascii="Arial" w:cs="Arial" w:eastAsia="Arial" w:hAnsi="Arial"/>
          <w:sz w:val="16"/>
          <w:szCs w:val="16"/>
          <w:color w:val="231F20"/>
        </w:rPr>
        <w:t xml:space="preserve">The combination of towers and data centers positions American Tower at the heart of the world’s digital infrastructure. Few companies are as well situated to support the growth in </w:t>
      </w:r>
      <w:r>
        <w:rPr>
          <w:rFonts w:ascii="Arial" w:cs="Arial" w:eastAsia="Arial" w:hAnsi="Arial"/>
          <w:sz w:val="16"/>
          <w:szCs w:val="16"/>
          <w:color w:val="231F20"/>
        </w:rPr>
        <w:t>ŷĉŋêĞêŒŒǢȊßĞĬŠåȊÃĥåȊ</w:t>
      </w:r>
      <w:r>
        <w:rPr>
          <w:rFonts w:ascii="PMingLiU" w:cs="PMingLiU" w:eastAsia="PMingLiU" w:hAnsi="PMingLiU"/>
          <w:sz w:val="16"/>
          <w:szCs w:val="16"/>
          <w:color w:val="231F20"/>
        </w:rPr>
        <w:t/>
      </w:r>
      <w:r>
        <w:rPr>
          <w:rFonts w:ascii="Arial" w:cs="Arial" w:eastAsia="Arial" w:hAnsi="Arial"/>
          <w:sz w:val="16"/>
          <w:szCs w:val="16"/>
          <w:color w:val="231F20"/>
        </w:rPr>
        <w:t>FȊŒĉĤŠĞŚÃĥêĬŠŒĞŽǻÃĥåȊêŶêĥȊÿêŷêŋȊňĬŒŒêŒŒȊĬŠŋȊĀĞĬÞÃĞȊŒßÃĞêǢȊßŠŒŚĬĤêŋȊ ňÃŋŚĥêŋŒąĉňŒȊÃĥåȊƌĥÃĥßĉÃĞȊŒŚŋêĥĀŚąǡ</w:t>
      </w:r>
    </w:p>
    <w:p>
      <w:pPr>
        <w:spacing w:after="0" w:line="338" w:lineRule="exact"/>
        <w:rPr>
          <w:sz w:val="20"/>
          <w:szCs w:val="20"/>
          <w:color w:val="auto"/>
        </w:rPr>
      </w:pPr>
    </w:p>
    <w:p>
      <w:pPr>
        <w:ind w:right="960"/>
        <w:spacing w:after="0" w:line="288" w:lineRule="exact"/>
        <w:rPr>
          <w:sz w:val="20"/>
          <w:szCs w:val="20"/>
          <w:color w:val="auto"/>
        </w:rPr>
      </w:pPr>
      <w:r>
        <w:rPr>
          <w:rFonts w:ascii="Arial" w:cs="Arial" w:eastAsia="Arial" w:hAnsi="Arial"/>
          <w:sz w:val="19"/>
          <w:szCs w:val="19"/>
          <w:color w:val="231F20"/>
        </w:rPr>
        <w:t xml:space="preserve">Together, these structural tailwinds reinforce the fundamental advantages of our business </w:t>
      </w:r>
      <w:r>
        <w:rPr>
          <w:rFonts w:ascii="Arial" w:cs="Arial" w:eastAsia="Arial" w:hAnsi="Arial"/>
          <w:sz w:val="19"/>
          <w:szCs w:val="19"/>
          <w:color w:val="231F20"/>
        </w:rPr>
        <w:t>ĤĬåêĞǡȊ°êȊÃŋêȊåêŒĉĀĥêåȊŚĬȊåêĞĉŶêŋȊĉĥåŠŒŚŋŽǸĞêÃåĉĥĀȊ</w:t>
      </w:r>
      <w:r>
        <w:rPr>
          <w:rFonts w:ascii="PMingLiU" w:cs="PMingLiU" w:eastAsia="PMingLiU" w:hAnsi="PMingLiU"/>
          <w:sz w:val="19"/>
          <w:szCs w:val="19"/>
          <w:color w:val="231F20"/>
        </w:rPr>
        <w:t/>
      </w:r>
      <w:r>
        <w:rPr>
          <w:rFonts w:ascii="Arial" w:cs="Arial" w:eastAsia="Arial" w:hAnsi="Arial"/>
          <w:sz w:val="19"/>
          <w:szCs w:val="19"/>
          <w:color w:val="231F20"/>
        </w:rPr>
        <w:t>&lt;&lt;fȊňêŋȊ</w:t>
      </w:r>
      <w:r>
        <w:rPr>
          <w:rFonts w:ascii="PMingLiU" w:cs="PMingLiU" w:eastAsia="PMingLiU" w:hAnsi="PMingLiU"/>
          <w:sz w:val="19"/>
          <w:szCs w:val="19"/>
          <w:color w:val="231F20"/>
        </w:rPr>
        <w:t></w:t>
      </w:r>
      <w:r>
        <w:rPr>
          <w:rFonts w:ascii="Arial" w:cs="Arial" w:eastAsia="Arial" w:hAnsi="Arial"/>
          <w:sz w:val="19"/>
          <w:szCs w:val="19"/>
          <w:color w:val="231F20"/>
        </w:rPr>
        <w:t xml:space="preserve">ąÃŋêȊĀŋĬŷŚąǢȊŷĉŚąȊÃĥȊ </w:t>
      </w:r>
      <w:r>
        <w:rPr>
          <w:rFonts w:ascii="Arial" w:cs="Arial" w:eastAsia="Arial" w:hAnsi="Arial"/>
          <w:sz w:val="19"/>
          <w:szCs w:val="19"/>
          <w:color w:val="231F20"/>
        </w:rPr>
        <w:t>attractive dividend yield and strong returns on invested capital.</w:t>
      </w:r>
    </w:p>
    <w:p>
      <w:pPr>
        <w:spacing w:after="0" w:line="338" w:lineRule="exact"/>
        <w:rPr>
          <w:sz w:val="20"/>
          <w:szCs w:val="20"/>
          <w:color w:val="auto"/>
        </w:rPr>
      </w:pPr>
    </w:p>
    <w:p>
      <w:pPr>
        <w:ind w:right="880"/>
        <w:spacing w:after="0" w:line="320" w:lineRule="exact"/>
        <w:rPr>
          <w:sz w:val="20"/>
          <w:szCs w:val="20"/>
          <w:color w:val="auto"/>
        </w:rPr>
      </w:pPr>
      <w:r>
        <w:rPr>
          <w:rFonts w:ascii="Arial" w:cs="Arial" w:eastAsia="Arial" w:hAnsi="Arial"/>
          <w:sz w:val="18"/>
          <w:szCs w:val="18"/>
          <w:color w:val="231F20"/>
        </w:rPr>
        <w:t>(ŊŠÃĞĞŽȊĉĤňĬŋŚÃĥŚǢȊŷêȊąÃŶêȊÞŠĉĞŚȊÃȊßĬĤňÃĥŽȊßÃňÃÞĞêȊĬÿȊĥÃŶĉĀÃŚĉĥĀȊßąÃĥĀêǻŷąêŚąêŋȊåŋĉŶêĥȊ ÞŽȊßŠŒŚĬĤêŋȊåŽĥÃĤĉßŒǢȊĤÃßŋĬêßĬĥĬĤĉßȊßĬĥåĉŚĉĬĥŒȊĬŋȊŚêßąĥĬĞĬĀŽȊŚŋÃĥŒĉŚĉĬĥŒǡȊ</w:t>
      </w:r>
      <w:r>
        <w:rPr>
          <w:rFonts w:ascii="PMingLiU" w:cs="PMingLiU" w:eastAsia="PMingLiU" w:hAnsi="PMingLiU"/>
          <w:sz w:val="18"/>
          <w:szCs w:val="18"/>
          <w:color w:val="231F20"/>
        </w:rPr>
        <w:t></w:t>
      </w:r>
      <w:r>
        <w:rPr>
          <w:rFonts w:ascii="Arial" w:cs="Arial" w:eastAsia="Arial" w:hAnsi="Arial"/>
          <w:sz w:val="18"/>
          <w:szCs w:val="18"/>
          <w:color w:val="231F20"/>
        </w:rPr>
        <w:t xml:space="preserve">ąêȊŷĬŋěȊĬÿȊ ŚąêȊňÃŒŚȊŚŷĬȊŽêÃŋŒȊąÃŒȊŒŚŋêĥĀŚąêĥêåȊĬŠŋȊÞÃĞÃĥßêȊŒąêêŚǢȊĉĤňŋĬŶêåȊĬŠŋȊŋĉŒěȊňŋĬƌĞêǢȊÃĥåȊ </w:t>
      </w:r>
      <w:r>
        <w:rPr>
          <w:rFonts w:ascii="Arial" w:cs="Arial" w:eastAsia="Arial" w:hAnsi="Arial"/>
          <w:sz w:val="18"/>
          <w:szCs w:val="18"/>
          <w:color w:val="231F20"/>
        </w:rPr>
        <w:t>positioned us to capitalize on the extraordinary opportunities emerging across wireless and cloud ecosystems.</w:t>
      </w:r>
    </w:p>
    <w:p>
      <w:pPr>
        <w:sectPr>
          <w:pgSz w:w="11880" w:h="15480" w:orient="portrait"/>
          <w:cols w:equalWidth="0" w:num="1">
            <w:col w:w="9720"/>
          </w:cols>
          <w:pgMar w:left="1440" w:top="144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940"/>
        <w:spacing w:after="0"/>
        <w:rPr>
          <w:sz w:val="20"/>
          <w:szCs w:val="20"/>
          <w:color w:val="auto"/>
        </w:rPr>
      </w:pPr>
      <w:r>
        <w:rPr>
          <w:rFonts w:ascii="Arial" w:cs="Arial" w:eastAsia="Arial" w:hAnsi="Arial"/>
          <w:sz w:val="16"/>
          <w:szCs w:val="16"/>
          <w:color w:val="231F20"/>
        </w:rPr>
        <w:t xml:space="preserve">American Tower Corporation | </w:t>
      </w:r>
      <w:r>
        <w:rPr>
          <w:rFonts w:ascii="Arial" w:cs="Arial" w:eastAsia="Arial" w:hAnsi="Arial"/>
          <w:sz w:val="16"/>
          <w:szCs w:val="16"/>
          <w:b w:val="1"/>
          <w:bCs w:val="1"/>
          <w:color w:val="231F20"/>
        </w:rPr>
        <w:t>9</w:t>
      </w:r>
    </w:p>
    <w:p>
      <w:pPr>
        <w:sectPr>
          <w:pgSz w:w="11880" w:h="15480" w:orient="portrait"/>
          <w:cols w:equalWidth="0" w:num="1">
            <w:col w:w="9720"/>
          </w:cols>
          <w:pgMar w:left="1440" w:top="1440" w:right="720" w:bottom="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16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3800" cy="916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20" w:right="20"/>
        <w:spacing w:after="0" w:line="291" w:lineRule="exact"/>
        <w:rPr>
          <w:sz w:val="20"/>
          <w:szCs w:val="20"/>
          <w:color w:val="auto"/>
        </w:rPr>
      </w:pPr>
      <w:r>
        <w:rPr>
          <w:rFonts w:ascii="PMingLiU" w:cs="PMingLiU" w:eastAsia="PMingLiU" w:hAnsi="PMingLiU"/>
          <w:sz w:val="17"/>
          <w:szCs w:val="17"/>
          <w:color w:val="231F20"/>
        </w:rPr>
        <w:t/>
      </w:r>
      <w:r>
        <w:rPr>
          <w:rFonts w:ascii="Arial" w:cs="Arial" w:eastAsia="Arial" w:hAnsi="Arial"/>
          <w:sz w:val="17"/>
          <w:szCs w:val="17"/>
          <w:color w:val="231F20"/>
        </w:rPr>
        <w:t xml:space="preserve">ŒȊŷêȊĞĬĬěȊÿĬŋŷÃŋåǢȊŷêȊŋêĤÃĉĥȊĀŠĉåêåȊÞŽȊÃȊŒĉĤňĞêȊÞŠŚȊňĬŷêŋÿŠĞȊĤÃĥåÃŚêǣȊŚĬȊåêĞĉŶêŋȊåŠŋÃÞĞêǢȊ ßĬĤňĬŠĥåĉĥĀȊŶÃĞŠêȊŚĬȊĬŠŋȊŒąÃŋêąĬĞåêŋŒȊŷąĉĞêȊêĥÃÞĞĉĥĀȊŚąêȊŷĬŋĞåȃŒȊåĉĀĉŚÃĞȊÿŠŚŠŋêǡȊFȊÃĤȊňŋĬŠåȊĬÿȊ ŚąêȊňŋĬĀŋêŒŒȊŷêȊąÃŶêȊĤÃåêǢȊêĥêŋĀĉƅêåȊÞŽȊŚąêȊĬňňĬŋŚŠĥĉŚĉêŒȊÃąêÃåȊÃĥåȊåêêňĞŽȊßĬĥƌåêĥŚȊĉĥȊŚąêȊ </w:t>
      </w:r>
      <w:r>
        <w:rPr>
          <w:rFonts w:ascii="Arial" w:cs="Arial" w:eastAsia="Arial" w:hAnsi="Arial"/>
          <w:sz w:val="17"/>
          <w:szCs w:val="17"/>
          <w:color w:val="231F20"/>
        </w:rPr>
        <w:t>trajectory of our company.</w:t>
      </w:r>
    </w:p>
    <w:p>
      <w:pPr>
        <w:spacing w:after="0" w:line="338" w:lineRule="exact"/>
        <w:rPr>
          <w:sz w:val="20"/>
          <w:szCs w:val="20"/>
          <w:color w:val="auto"/>
        </w:rPr>
      </w:pPr>
    </w:p>
    <w:p>
      <w:pPr>
        <w:ind w:left="720" w:right="140"/>
        <w:spacing w:after="0" w:line="288" w:lineRule="exact"/>
        <w:rPr>
          <w:sz w:val="20"/>
          <w:szCs w:val="20"/>
          <w:color w:val="auto"/>
        </w:rPr>
      </w:pPr>
      <w:r>
        <w:rPr>
          <w:rFonts w:ascii="Arial" w:cs="Arial" w:eastAsia="Arial" w:hAnsi="Arial"/>
          <w:sz w:val="18"/>
          <w:szCs w:val="18"/>
          <w:color w:val="231F20"/>
        </w:rPr>
        <w:t xml:space="preserve">We are committed to building on this momentum and delivering long-term value for all who </w:t>
      </w:r>
      <w:r>
        <w:rPr>
          <w:rFonts w:ascii="Arial" w:cs="Arial" w:eastAsia="Arial" w:hAnsi="Arial"/>
          <w:sz w:val="18"/>
          <w:szCs w:val="18"/>
          <w:color w:val="231F20"/>
        </w:rPr>
        <w:t>ĉĥŶêŒŚȊĉĥȊŠŒǡȊfĥȊÞêąÃĞÿȊĬÿȊŚąêȊ</w:t>
      </w:r>
      <w:r>
        <w:rPr>
          <w:rFonts w:ascii="PMingLiU" w:cs="PMingLiU" w:eastAsia="PMingLiU" w:hAnsi="PMingLiU"/>
          <w:sz w:val="18"/>
          <w:szCs w:val="18"/>
          <w:color w:val="231F20"/>
        </w:rPr>
        <w:t/>
      </w:r>
      <w:r>
        <w:rPr>
          <w:rFonts w:ascii="Arial" w:cs="Arial" w:eastAsia="Arial" w:hAnsi="Arial"/>
          <w:sz w:val="18"/>
          <w:szCs w:val="18"/>
          <w:color w:val="231F20"/>
        </w:rPr>
        <w:t>ĤêŋĉßÃĥȊ</w:t>
      </w:r>
      <w:r>
        <w:rPr>
          <w:rFonts w:ascii="PMingLiU" w:cs="PMingLiU" w:eastAsia="PMingLiU" w:hAnsi="PMingLiU"/>
          <w:sz w:val="18"/>
          <w:szCs w:val="18"/>
          <w:color w:val="231F20"/>
        </w:rPr>
        <w:t></w:t>
      </w:r>
      <w:r>
        <w:rPr>
          <w:rFonts w:ascii="Arial" w:cs="Arial" w:eastAsia="Arial" w:hAnsi="Arial"/>
          <w:sz w:val="18"/>
          <w:szCs w:val="18"/>
          <w:color w:val="231F20"/>
        </w:rPr>
        <w:t>ĬŷêŋȊĞêÃåêŋŒąĉňȊŚêÃĤȊÃĥåȊĬŠŋȊêĤňĞĬŽêêŒȊÃŋĬŠĥåȊŚąêȊ ŷĬŋĞåǢȊŚąÃĥěȊŽĬŠȊÿĬŋȊŽĬŠŋȊßĬĥŚĉĥŠêåȊŚŋŠŒŚȊÃĥåȊňÃŋŚĥêŋŒąĉňǡ</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40"/>
        <w:spacing w:after="0" w:line="255" w:lineRule="exact"/>
        <w:rPr>
          <w:sz w:val="20"/>
          <w:szCs w:val="20"/>
          <w:color w:val="auto"/>
        </w:rPr>
      </w:pPr>
      <w:r>
        <w:rPr>
          <w:rFonts w:ascii="PMingLiU" w:cs="PMingLiU" w:eastAsia="PMingLiU" w:hAnsi="PMingLiU"/>
          <w:sz w:val="21"/>
          <w:szCs w:val="21"/>
          <w:color w:val="231F20"/>
        </w:rPr>
        <w:t></w:t>
      </w:r>
      <w:r>
        <w:rPr>
          <w:rFonts w:ascii="Arial" w:cs="Arial" w:eastAsia="Arial" w:hAnsi="Arial"/>
          <w:sz w:val="21"/>
          <w:szCs w:val="21"/>
          <w:color w:val="231F20"/>
        </w:rPr>
        <w:t>ĉĥßêŋêĞŽǢȊ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231F20"/>
        </w:rPr>
        <w:t>Steven O. Vondran</w:t>
      </w:r>
    </w:p>
    <w:p>
      <w:pPr>
        <w:spacing w:after="0" w:line="61" w:lineRule="exact"/>
        <w:rPr>
          <w:sz w:val="20"/>
          <w:szCs w:val="20"/>
          <w:color w:val="auto"/>
        </w:rPr>
      </w:pPr>
    </w:p>
    <w:p>
      <w:pPr>
        <w:ind w:left="2840"/>
        <w:spacing w:after="0" w:line="255" w:lineRule="exact"/>
        <w:rPr>
          <w:sz w:val="20"/>
          <w:szCs w:val="20"/>
          <w:color w:val="auto"/>
        </w:rPr>
      </w:pPr>
      <w:r>
        <w:rPr>
          <w:rFonts w:ascii="PMingLiU" w:cs="PMingLiU" w:eastAsia="PMingLiU" w:hAnsi="PMingLiU"/>
          <w:sz w:val="21"/>
          <w:szCs w:val="21"/>
          <w:i w:val="1"/>
          <w:iCs w:val="1"/>
          <w:color w:val="231F20"/>
        </w:rPr>
        <w:t></w:t>
      </w:r>
      <w:r>
        <w:rPr>
          <w:rFonts w:ascii="Arial" w:cs="Arial" w:eastAsia="Arial" w:hAnsi="Arial"/>
          <w:sz w:val="21"/>
          <w:szCs w:val="21"/>
          <w:i w:val="1"/>
          <w:iCs w:val="1"/>
          <w:color w:val="231F20"/>
        </w:rPr>
        <w:t>ŋêŒĉåêĥŚȊÃĥåȊ</w:t>
      </w:r>
      <w:r>
        <w:rPr>
          <w:rFonts w:ascii="PMingLiU" w:cs="PMingLiU" w:eastAsia="PMingLiU" w:hAnsi="PMingLiU"/>
          <w:sz w:val="21"/>
          <w:szCs w:val="21"/>
          <w:i w:val="1"/>
          <w:iCs w:val="1"/>
          <w:color w:val="231F20"/>
        </w:rPr>
        <w:t/>
      </w:r>
      <w:r>
        <w:rPr>
          <w:rFonts w:ascii="Arial" w:cs="Arial" w:eastAsia="Arial" w:hAnsi="Arial"/>
          <w:sz w:val="21"/>
          <w:szCs w:val="21"/>
          <w:i w:val="1"/>
          <w:iCs w:val="1"/>
          <w:color w:val="231F20"/>
        </w:rPr>
        <w:t>ąĉêÿȊ(żêßŠŚĉŶêȊfÿƌßêŋ</w:t>
      </w:r>
    </w:p>
    <w:p>
      <w:pPr>
        <w:sectPr>
          <w:pgSz w:w="11880" w:h="15480" w:orient="portrait"/>
          <w:cols w:equalWidth="0" w:num="1">
            <w:col w:w="9720"/>
          </w:cols>
          <w:pgMar w:left="7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 xml:space="preserve">10 </w:t>
      </w:r>
      <w:r>
        <w:rPr>
          <w:rFonts w:ascii="Arial" w:cs="Arial" w:eastAsia="Arial" w:hAnsi="Arial"/>
          <w:sz w:val="16"/>
          <w:szCs w:val="16"/>
          <w:color w:val="231F20"/>
        </w:rPr>
        <w:t>| American Tower Corporation</w:t>
      </w:r>
    </w:p>
    <w:p>
      <w:pPr>
        <w:sectPr>
          <w:pgSz w:w="11880" w:h="15480" w:orient="portrait"/>
          <w:cols w:equalWidth="0" w:num="1">
            <w:col w:w="9720"/>
          </w:cols>
          <w:pgMar w:left="720" w:top="1440" w:right="1440" w:bottom="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231F20"/>
        </w:rPr>
        <w:t>UNITED STATES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Washington, D.C. 20549</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FORM 10-K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 One):</w:t>
      </w:r>
    </w:p>
    <w:p>
      <w:pPr>
        <w:spacing w:after="0" w:line="63" w:lineRule="exact"/>
        <w:rPr>
          <w:sz w:val="20"/>
          <w:szCs w:val="20"/>
          <w:color w:val="auto"/>
        </w:rPr>
      </w:pPr>
    </w:p>
    <w:p>
      <w:pPr>
        <w:ind w:left="3520" w:right="3320" w:hanging="3467"/>
        <w:spacing w:after="0" w:line="321" w:lineRule="auto"/>
        <w:tabs>
          <w:tab w:leader="none" w:pos="546" w:val="left"/>
        </w:tabs>
        <w:numPr>
          <w:ilvl w:val="0"/>
          <w:numId w:val="6"/>
        </w:numPr>
        <w:rPr>
          <w:rFonts w:ascii="Arial" w:cs="Arial" w:eastAsia="Arial" w:hAnsi="Arial"/>
          <w:sz w:val="18"/>
          <w:szCs w:val="18"/>
          <w:color w:val="231F20"/>
        </w:rPr>
      </w:pPr>
      <w:r>
        <w:rPr>
          <w:rFonts w:ascii="Times New Roman" w:cs="Times New Roman" w:eastAsia="Times New Roman" w:hAnsi="Times New Roman"/>
          <w:sz w:val="18"/>
          <w:szCs w:val="18"/>
          <w:b w:val="1"/>
          <w:bCs w:val="1"/>
          <w:color w:val="231F20"/>
        </w:rPr>
        <w:t>Annual report pursuant to Section 13 or 15(d) of the Securities Exchange Act of 1934. For the fiscal year ended December 31, 2025</w:t>
      </w:r>
    </w:p>
    <w:p>
      <w:pPr>
        <w:spacing w:after="0" w:line="1" w:lineRule="exact"/>
        <w:rPr>
          <w:rFonts w:ascii="Arial" w:cs="Arial" w:eastAsia="Arial" w:hAnsi="Arial"/>
          <w:sz w:val="18"/>
          <w:szCs w:val="18"/>
          <w:color w:val="231F20"/>
        </w:rPr>
      </w:pPr>
    </w:p>
    <w:p>
      <w:pPr>
        <w:ind w:left="660" w:hanging="502"/>
        <w:spacing w:after="0"/>
        <w:tabs>
          <w:tab w:leader="none" w:pos="660" w:val="left"/>
        </w:tabs>
        <w:numPr>
          <w:ilvl w:val="1"/>
          <w:numId w:val="6"/>
        </w:numPr>
        <w:rPr>
          <w:rFonts w:ascii="Arial" w:cs="Arial" w:eastAsia="Arial" w:hAnsi="Arial"/>
          <w:sz w:val="18"/>
          <w:szCs w:val="18"/>
          <w:color w:val="231F20"/>
        </w:rPr>
      </w:pPr>
      <w:r>
        <w:rPr>
          <w:rFonts w:ascii="Times New Roman" w:cs="Times New Roman" w:eastAsia="Times New Roman" w:hAnsi="Times New Roman"/>
          <w:sz w:val="18"/>
          <w:szCs w:val="18"/>
          <w:b w:val="1"/>
          <w:bCs w:val="1"/>
          <w:color w:val="231F20"/>
        </w:rPr>
        <w:t>Transition report pursuant to Section 13 or 15(d) of the Securities Exchange Act of 1934.</w:t>
      </w:r>
    </w:p>
    <w:p>
      <w:pPr>
        <w:spacing w:after="0" w:line="57" w:lineRule="exact"/>
        <w:rPr>
          <w:sz w:val="20"/>
          <w:szCs w:val="20"/>
          <w:color w:val="auto"/>
        </w:rPr>
      </w:pPr>
    </w:p>
    <w:p>
      <w:pPr>
        <w:ind w:left="3380"/>
        <w:spacing w:after="0"/>
        <w:tabs>
          <w:tab w:leader="none" w:pos="6320" w:val="left"/>
        </w:tabs>
        <w:rPr>
          <w:sz w:val="20"/>
          <w:szCs w:val="20"/>
          <w:color w:val="auto"/>
        </w:rPr>
      </w:pPr>
      <w:r>
        <w:rPr>
          <w:rFonts w:ascii="Times New Roman" w:cs="Times New Roman" w:eastAsia="Times New Roman" w:hAnsi="Times New Roman"/>
          <w:sz w:val="18"/>
          <w:szCs w:val="18"/>
          <w:b w:val="1"/>
          <w:bCs w:val="1"/>
          <w:color w:val="231F20"/>
        </w:rPr>
        <w:t>For the transition period from</w:t>
      </w:r>
      <w:r>
        <w:rPr>
          <w:sz w:val="20"/>
          <w:szCs w:val="20"/>
          <w:color w:val="auto"/>
        </w:rPr>
        <w:tab/>
      </w:r>
      <w:r>
        <w:rPr>
          <w:rFonts w:ascii="Times New Roman" w:cs="Times New Roman" w:eastAsia="Times New Roman" w:hAnsi="Times New Roman"/>
          <w:sz w:val="16"/>
          <w:szCs w:val="16"/>
          <w:b w:val="1"/>
          <w:bCs w:val="1"/>
          <w:color w:val="231F20"/>
        </w:rPr>
        <w:t>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001-14195</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231F20"/>
        </w:rPr>
        <w:t>American Tower Corporation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pacing w:after="0" w:line="75" w:lineRule="exact"/>
        <w:rPr>
          <w:sz w:val="20"/>
          <w:szCs w:val="20"/>
          <w:color w:val="auto"/>
        </w:rPr>
      </w:pPr>
    </w:p>
    <w:tbl>
      <w:tblPr>
        <w:tblLayout w:type="fixed"/>
        <w:tblInd w:w="1600" w:type="dxa"/>
        <w:tblCellMar>
          <w:top w:w="0" w:type="dxa"/>
          <w:left w:w="0" w:type="dxa"/>
          <w:bottom w:w="0" w:type="dxa"/>
          <w:right w:w="0" w:type="dxa"/>
        </w:tblCellMar>
      </w:tblPr>
      <w:tr>
        <w:trPr>
          <w:trHeight w:val="215"/>
        </w:trPr>
        <w:tc>
          <w:tcPr>
            <w:tcW w:w="3820" w:type="dxa"/>
            <w:vAlign w:val="bottom"/>
          </w:tcPr>
          <w:p>
            <w:pPr>
              <w:jc w:val="center"/>
              <w:ind w:right="1863"/>
              <w:spacing w:after="0"/>
              <w:rPr>
                <w:sz w:val="20"/>
                <w:szCs w:val="20"/>
                <w:color w:val="auto"/>
              </w:rPr>
            </w:pPr>
            <w:r>
              <w:rPr>
                <w:rFonts w:ascii="Times New Roman" w:cs="Times New Roman" w:eastAsia="Times New Roman" w:hAnsi="Times New Roman"/>
                <w:sz w:val="18"/>
                <w:szCs w:val="18"/>
                <w:b w:val="1"/>
                <w:bCs w:val="1"/>
                <w:color w:val="231F20"/>
                <w:w w:val="98"/>
              </w:rPr>
              <w:t>Delaware</w:t>
            </w:r>
          </w:p>
        </w:tc>
        <w:tc>
          <w:tcPr>
            <w:tcW w:w="3040" w:type="dxa"/>
            <w:vAlign w:val="bottom"/>
          </w:tcPr>
          <w:p>
            <w:pPr>
              <w:jc w:val="center"/>
              <w:ind w:left="1863"/>
              <w:spacing w:after="0"/>
              <w:rPr>
                <w:sz w:val="20"/>
                <w:szCs w:val="20"/>
                <w:color w:val="auto"/>
              </w:rPr>
            </w:pPr>
            <w:r>
              <w:rPr>
                <w:rFonts w:ascii="Times New Roman" w:cs="Times New Roman" w:eastAsia="Times New Roman" w:hAnsi="Times New Roman"/>
                <w:sz w:val="18"/>
                <w:szCs w:val="18"/>
                <w:b w:val="1"/>
                <w:bCs w:val="1"/>
                <w:color w:val="231F20"/>
                <w:w w:val="98"/>
              </w:rPr>
              <w:t>65-0723837</w:t>
            </w:r>
          </w:p>
        </w:tc>
      </w:tr>
      <w:tr>
        <w:trPr>
          <w:trHeight w:val="143"/>
        </w:trPr>
        <w:tc>
          <w:tcPr>
            <w:tcW w:w="3820" w:type="dxa"/>
            <w:vAlign w:val="bottom"/>
          </w:tcPr>
          <w:p>
            <w:pPr>
              <w:jc w:val="center"/>
              <w:ind w:right="1863"/>
              <w:spacing w:after="0" w:line="143" w:lineRule="exact"/>
              <w:rPr>
                <w:sz w:val="20"/>
                <w:szCs w:val="20"/>
                <w:color w:val="auto"/>
              </w:rPr>
            </w:pPr>
            <w:r>
              <w:rPr>
                <w:rFonts w:ascii="Times New Roman" w:cs="Times New Roman" w:eastAsia="Times New Roman" w:hAnsi="Times New Roman"/>
                <w:sz w:val="14"/>
                <w:szCs w:val="14"/>
                <w:b w:val="1"/>
                <w:bCs w:val="1"/>
                <w:color w:val="231F20"/>
              </w:rPr>
              <w:t>(State or other jurisdiction of</w:t>
            </w:r>
          </w:p>
        </w:tc>
        <w:tc>
          <w:tcPr>
            <w:tcW w:w="3040" w:type="dxa"/>
            <w:vAlign w:val="bottom"/>
          </w:tcPr>
          <w:p>
            <w:pPr>
              <w:jc w:val="center"/>
              <w:ind w:left="1863"/>
              <w:spacing w:after="0" w:line="143" w:lineRule="exact"/>
              <w:rPr>
                <w:sz w:val="20"/>
                <w:szCs w:val="20"/>
                <w:color w:val="auto"/>
              </w:rPr>
            </w:pPr>
            <w:r>
              <w:rPr>
                <w:rFonts w:ascii="Times New Roman" w:cs="Times New Roman" w:eastAsia="Times New Roman" w:hAnsi="Times New Roman"/>
                <w:sz w:val="14"/>
                <w:szCs w:val="14"/>
                <w:b w:val="1"/>
                <w:bCs w:val="1"/>
                <w:color w:val="231F20"/>
              </w:rPr>
              <w:t>(I.R.S. Employer</w:t>
            </w:r>
          </w:p>
        </w:tc>
      </w:tr>
      <w:tr>
        <w:trPr>
          <w:trHeight w:val="185"/>
        </w:trPr>
        <w:tc>
          <w:tcPr>
            <w:tcW w:w="382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231F20"/>
                <w:w w:val="99"/>
              </w:rPr>
              <w:t>Incorporation or Organization)</w:t>
            </w:r>
          </w:p>
        </w:tc>
        <w:tc>
          <w:tcPr>
            <w:tcW w:w="3040" w:type="dxa"/>
            <w:vAlign w:val="bottom"/>
          </w:tcPr>
          <w:p>
            <w:pPr>
              <w:jc w:val="center"/>
              <w:ind w:left="1863"/>
              <w:spacing w:after="0"/>
              <w:rPr>
                <w:sz w:val="20"/>
                <w:szCs w:val="20"/>
                <w:color w:val="auto"/>
              </w:rPr>
            </w:pPr>
            <w:r>
              <w:rPr>
                <w:rFonts w:ascii="Times New Roman" w:cs="Times New Roman" w:eastAsia="Times New Roman" w:hAnsi="Times New Roman"/>
                <w:sz w:val="14"/>
                <w:szCs w:val="14"/>
                <w:b w:val="1"/>
                <w:bCs w:val="1"/>
                <w:color w:val="231F20"/>
              </w:rPr>
              <w:t>Identification No.)</w:t>
            </w: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222 Berkeley Street</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231F20"/>
        </w:rPr>
        <w:t>Boston, Massachusetts 02116</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Telephone Number (617) 375-7500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(Registrant’s telephone number, including area code)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spacing w:after="0" w:line="58"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2680" w:type="dxa"/>
            <w:vAlign w:val="bottom"/>
          </w:tcPr>
          <w:p>
            <w:pPr>
              <w:jc w:val="center"/>
              <w:ind w:right="565"/>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2420" w:type="dxa"/>
            <w:vAlign w:val="bottom"/>
          </w:tcPr>
          <w:p>
            <w:pPr>
              <w:jc w:val="center"/>
              <w:ind w:left="65"/>
              <w:spacing w:after="0"/>
              <w:rPr>
                <w:sz w:val="20"/>
                <w:szCs w:val="20"/>
                <w:color w:val="auto"/>
              </w:rPr>
            </w:pPr>
            <w:r>
              <w:rPr>
                <w:rFonts w:ascii="Times New Roman" w:cs="Times New Roman" w:eastAsia="Times New Roman" w:hAnsi="Times New Roman"/>
                <w:sz w:val="16"/>
                <w:szCs w:val="16"/>
                <w:b w:val="1"/>
                <w:bCs w:val="1"/>
                <w:color w:val="231F20"/>
                <w:w w:val="99"/>
              </w:rPr>
              <w:t>Trading Symbol(s)</w:t>
            </w:r>
          </w:p>
        </w:tc>
        <w:tc>
          <w:tcPr>
            <w:tcW w:w="3140" w:type="dxa"/>
            <w:vAlign w:val="bottom"/>
          </w:tcPr>
          <w:p>
            <w:pPr>
              <w:jc w:val="center"/>
              <w:ind w:left="445"/>
              <w:spacing w:after="0"/>
              <w:rPr>
                <w:sz w:val="20"/>
                <w:szCs w:val="20"/>
                <w:color w:val="auto"/>
              </w:rPr>
            </w:pPr>
            <w:r>
              <w:rPr>
                <w:rFonts w:ascii="Times New Roman" w:cs="Times New Roman" w:eastAsia="Times New Roman" w:hAnsi="Times New Roman"/>
                <w:sz w:val="16"/>
                <w:szCs w:val="16"/>
                <w:b w:val="1"/>
                <w:bCs w:val="1"/>
                <w:color w:val="231F20"/>
                <w:w w:val="99"/>
              </w:rPr>
              <w:t>Name of exchange on which registered</w:t>
            </w:r>
          </w:p>
        </w:tc>
      </w:tr>
      <w:tr>
        <w:trPr>
          <w:trHeight w:val="200"/>
        </w:trPr>
        <w:tc>
          <w:tcPr>
            <w:tcW w:w="2680" w:type="dxa"/>
            <w:vAlign w:val="bottom"/>
          </w:tcPr>
          <w:p>
            <w:pPr>
              <w:jc w:val="center"/>
              <w:ind w:right="565"/>
              <w:spacing w:after="0"/>
              <w:rPr>
                <w:sz w:val="20"/>
                <w:szCs w:val="20"/>
                <w:color w:val="auto"/>
              </w:rPr>
            </w:pPr>
            <w:r>
              <w:rPr>
                <w:rFonts w:ascii="Times New Roman" w:cs="Times New Roman" w:eastAsia="Times New Roman" w:hAnsi="Times New Roman"/>
                <w:sz w:val="15"/>
                <w:szCs w:val="15"/>
                <w:b w:val="1"/>
                <w:bCs w:val="1"/>
                <w:color w:val="231F20"/>
                <w:w w:val="99"/>
              </w:rPr>
              <w:t>Common Stock, $0.01 par value</w:t>
            </w:r>
          </w:p>
        </w:tc>
        <w:tc>
          <w:tcPr>
            <w:tcW w:w="2420" w:type="dxa"/>
            <w:vAlign w:val="bottom"/>
          </w:tcPr>
          <w:p>
            <w:pPr>
              <w:jc w:val="center"/>
              <w:ind w:left="65"/>
              <w:spacing w:after="0"/>
              <w:rPr>
                <w:sz w:val="20"/>
                <w:szCs w:val="20"/>
                <w:color w:val="auto"/>
              </w:rPr>
            </w:pPr>
            <w:r>
              <w:rPr>
                <w:rFonts w:ascii="Times New Roman" w:cs="Times New Roman" w:eastAsia="Times New Roman" w:hAnsi="Times New Roman"/>
                <w:sz w:val="15"/>
                <w:szCs w:val="15"/>
                <w:b w:val="1"/>
                <w:bCs w:val="1"/>
                <w:color w:val="231F20"/>
              </w:rPr>
              <w:t>AMT</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97"/>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1.950% Senior Notes due 2026</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rPr>
              <w:t>AMT 26B</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0.450% Senior Notes due 2027</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9"/>
              </w:rPr>
              <w:t>AMT 27C</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0.400% Senior Notes due 2027</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9"/>
              </w:rPr>
              <w:t>AMT 27D</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4.125% Senior Notes due 2027</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rPr>
              <w:t>AMT 27F</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0.500% Senior Notes due 2028</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9"/>
              </w:rPr>
              <w:t>AMT 28A</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0.875% Senior Notes due 2029</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rPr>
              <w:t>AMT 29B</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0.950% Senior Notes due 2030</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9"/>
              </w:rPr>
              <w:t>AMT 30C</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3.900% Senior Notes due 2030</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9"/>
              </w:rPr>
              <w:t>AMT 30D</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4.625% Senior Notes due 2031</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rPr>
              <w:t>AMT 31B</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1.000% Senior Notes due 2032</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6"/>
              </w:rPr>
              <w:t>AMT 32</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3.625% Senior Notes due 2032</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rPr>
              <w:t>AMT 32B</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18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1.250% Senior Notes due 2033</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6"/>
              </w:rPr>
              <w:t>AMT 33</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r>
        <w:trPr>
          <w:trHeight w:val="200"/>
        </w:trPr>
        <w:tc>
          <w:tcPr>
            <w:tcW w:w="268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231F20"/>
                <w:w w:val="99"/>
              </w:rPr>
              <w:t>4.100% Senior Notes due 2034</w:t>
            </w:r>
          </w:p>
        </w:tc>
        <w:tc>
          <w:tcPr>
            <w:tcW w:w="242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231F20"/>
                <w:w w:val="99"/>
              </w:rPr>
              <w:t>AMT 34A</w:t>
            </w:r>
          </w:p>
        </w:tc>
        <w:tc>
          <w:tcPr>
            <w:tcW w:w="314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231F20"/>
              </w:rPr>
              <w:t>New York Stock Exchange</w:t>
            </w: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None</w:t>
      </w:r>
    </w:p>
    <w:p>
      <w:pPr>
        <w:spacing w:after="0" w:line="28" w:lineRule="exact"/>
        <w:rPr>
          <w:sz w:val="20"/>
          <w:szCs w:val="20"/>
          <w:color w:val="auto"/>
        </w:rPr>
      </w:pPr>
    </w:p>
    <w:p>
      <w:pPr>
        <w:ind w:left="360"/>
        <w:spacing w:after="0" w:line="215"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231F20"/>
        </w:rPr>
        <w:t>Indicate by check mark if the registrant is a well known seasoned issuer, as defined in Rule 405 of the Securities Act:</w:t>
        <w:tab/>
        <w:t xml:space="preserve">Yes </w:t>
      </w:r>
      <w:r>
        <w:rPr>
          <w:rFonts w:ascii="Arial Unicode MS" w:cs="Arial Unicode MS" w:eastAsia="Arial Unicode MS" w:hAnsi="Arial Unicode MS"/>
          <w:sz w:val="16"/>
          <w:szCs w:val="16"/>
          <w:color w:val="231F20"/>
        </w:rPr>
        <w:t>☒</w:t>
      </w:r>
      <w:r>
        <w:rPr>
          <w:rFonts w:ascii="Times New Roman" w:cs="Times New Roman" w:eastAsia="Times New Roman" w:hAnsi="Times New Roman"/>
          <w:sz w:val="16"/>
          <w:szCs w:val="16"/>
          <w:color w:val="231F20"/>
        </w:rPr>
        <w:tab/>
        <w:t xml:space="preserve">No </w:t>
      </w:r>
      <w:r>
        <w:rPr>
          <w:rFonts w:ascii="Arial Unicode MS" w:cs="Arial Unicode MS" w:eastAsia="Arial Unicode MS" w:hAnsi="Arial Unicode MS"/>
          <w:sz w:val="16"/>
          <w:szCs w:val="16"/>
          <w:color w:val="231F20"/>
        </w:rPr>
        <w:t>☐</w:t>
      </w:r>
    </w:p>
    <w:p>
      <w:pPr>
        <w:spacing w:after="0" w:line="46" w:lineRule="exact"/>
        <w:rPr>
          <w:sz w:val="20"/>
          <w:szCs w:val="20"/>
          <w:color w:val="auto"/>
        </w:rPr>
      </w:pPr>
    </w:p>
    <w:p>
      <w:pPr>
        <w:ind w:left="360"/>
        <w:spacing w:after="0" w:line="215" w:lineRule="exact"/>
        <w:tabs>
          <w:tab w:leader="none" w:pos="8160" w:val="left"/>
          <w:tab w:leader="none" w:pos="8760" w:val="left"/>
        </w:tabs>
        <w:rPr>
          <w:sz w:val="20"/>
          <w:szCs w:val="20"/>
          <w:color w:val="auto"/>
        </w:rPr>
      </w:pPr>
      <w:r>
        <w:rPr>
          <w:rFonts w:ascii="Times New Roman" w:cs="Times New Roman" w:eastAsia="Times New Roman" w:hAnsi="Times New Roman"/>
          <w:sz w:val="16"/>
          <w:szCs w:val="16"/>
          <w:color w:val="231F20"/>
        </w:rPr>
        <w:t>Indicate by check mark if the registrant is not required to file reports pursuant to Section 13 or Section 15(d) of the Act:</w:t>
        <w:tab/>
        <w:t xml:space="preserve">Yes </w:t>
      </w:r>
      <w:r>
        <w:rPr>
          <w:rFonts w:ascii="Arial Unicode MS" w:cs="Arial Unicode MS" w:eastAsia="Arial Unicode MS" w:hAnsi="Arial Unicode MS"/>
          <w:sz w:val="16"/>
          <w:szCs w:val="16"/>
          <w:color w:val="231F20"/>
        </w:rPr>
        <w:t>☐</w:t>
      </w:r>
      <w:r>
        <w:rPr>
          <w:rFonts w:ascii="Times New Roman" w:cs="Times New Roman" w:eastAsia="Times New Roman" w:hAnsi="Times New Roman"/>
          <w:sz w:val="16"/>
          <w:szCs w:val="16"/>
          <w:color w:val="231F20"/>
        </w:rPr>
        <w:tab/>
        <w:t xml:space="preserve">No </w:t>
      </w:r>
      <w:r>
        <w:rPr>
          <w:rFonts w:ascii="Arial Unicode MS" w:cs="Arial Unicode MS" w:eastAsia="Arial Unicode MS" w:hAnsi="Arial Unicode MS"/>
          <w:sz w:val="16"/>
          <w:szCs w:val="16"/>
          <w:color w:val="231F20"/>
        </w:rPr>
        <w:t>☒</w:t>
      </w:r>
    </w:p>
    <w:p>
      <w:pPr>
        <w:spacing w:after="0" w:line="34" w:lineRule="exact"/>
        <w:rPr>
          <w:sz w:val="20"/>
          <w:szCs w:val="20"/>
          <w:color w:val="auto"/>
        </w:rPr>
      </w:pPr>
    </w:p>
    <w:p>
      <w:pPr>
        <w:ind w:right="360" w:firstLine="360"/>
        <w:spacing w:after="0" w:line="201" w:lineRule="exact"/>
        <w:rPr>
          <w:sz w:val="20"/>
          <w:szCs w:val="20"/>
          <w:color w:val="auto"/>
        </w:rPr>
      </w:pPr>
      <w:r>
        <w:rPr>
          <w:rFonts w:ascii="Times New Roman" w:cs="Times New Roman" w:eastAsia="Times New Roman" w:hAnsi="Times New Roman"/>
          <w:sz w:val="16"/>
          <w:szCs w:val="16"/>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231F20"/>
        </w:rPr>
        <w:t>☒</w:t>
      </w:r>
      <w:r>
        <w:rPr>
          <w:rFonts w:ascii="Times New Roman" w:cs="Times New Roman" w:eastAsia="Times New Roman" w:hAnsi="Times New Roman"/>
          <w:sz w:val="16"/>
          <w:szCs w:val="16"/>
          <w:color w:val="231F20"/>
        </w:rPr>
        <w:t xml:space="preserve"> No </w:t>
      </w:r>
      <w:r>
        <w:rPr>
          <w:rFonts w:ascii="Arial Unicode MS" w:cs="Arial Unicode MS" w:eastAsia="Arial Unicode MS" w:hAnsi="Arial Unicode MS"/>
          <w:sz w:val="16"/>
          <w:szCs w:val="16"/>
          <w:color w:val="231F20"/>
        </w:rPr>
        <w:t>☐</w:t>
      </w:r>
    </w:p>
    <w:p>
      <w:pPr>
        <w:spacing w:after="0" w:line="34" w:lineRule="exact"/>
        <w:rPr>
          <w:sz w:val="20"/>
          <w:szCs w:val="20"/>
          <w:color w:val="auto"/>
        </w:rPr>
      </w:pPr>
    </w:p>
    <w:p>
      <w:pPr>
        <w:ind w:right="420" w:firstLine="360"/>
        <w:spacing w:after="0" w:line="205" w:lineRule="exact"/>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231F20"/>
        </w:rPr>
        <w:t>☒</w:t>
      </w:r>
      <w:r>
        <w:rPr>
          <w:rFonts w:ascii="Times New Roman" w:cs="Times New Roman" w:eastAsia="Times New Roman" w:hAnsi="Times New Roman"/>
          <w:sz w:val="16"/>
          <w:szCs w:val="16"/>
          <w:color w:val="231F20"/>
        </w:rPr>
        <w:t xml:space="preserve"> No </w:t>
      </w:r>
      <w:r>
        <w:rPr>
          <w:rFonts w:ascii="Arial Unicode MS" w:cs="Arial Unicode MS" w:eastAsia="Arial Unicode MS" w:hAnsi="Arial Unicode MS"/>
          <w:sz w:val="16"/>
          <w:szCs w:val="16"/>
          <w:color w:val="231F20"/>
        </w:rPr>
        <w:t>☐</w:t>
      </w:r>
    </w:p>
    <w:p>
      <w:pPr>
        <w:spacing w:after="0" w:line="3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231F20"/>
              </w:rPr>
              <w:t>Large accelerated filer</w:t>
            </w:r>
          </w:p>
        </w:tc>
        <w:tc>
          <w:tcPr>
            <w:tcW w:w="2920" w:type="dxa"/>
            <w:vAlign w:val="bottom"/>
          </w:tcPr>
          <w:p>
            <w:pPr>
              <w:ind w:left="680"/>
              <w:spacing w:after="0" w:line="215" w:lineRule="exact"/>
              <w:rPr>
                <w:sz w:val="20"/>
                <w:szCs w:val="20"/>
                <w:color w:val="auto"/>
              </w:rPr>
            </w:pPr>
            <w:r>
              <w:rPr>
                <w:rFonts w:ascii="Arial Unicode MS" w:cs="Arial Unicode MS" w:eastAsia="Arial Unicode MS" w:hAnsi="Arial Unicode MS"/>
                <w:sz w:val="16"/>
                <w:szCs w:val="16"/>
                <w:color w:val="231F20"/>
              </w:rPr>
              <w:t>☒</w:t>
            </w:r>
          </w:p>
        </w:tc>
        <w:tc>
          <w:tcPr>
            <w:tcW w:w="4260" w:type="dxa"/>
            <w:vAlign w:val="bottom"/>
          </w:tcPr>
          <w:p>
            <w:pPr>
              <w:ind w:left="2140"/>
              <w:spacing w:after="0"/>
              <w:rPr>
                <w:sz w:val="20"/>
                <w:szCs w:val="20"/>
                <w:color w:val="auto"/>
              </w:rPr>
            </w:pPr>
            <w:r>
              <w:rPr>
                <w:rFonts w:ascii="Times New Roman" w:cs="Times New Roman" w:eastAsia="Times New Roman" w:hAnsi="Times New Roman"/>
                <w:sz w:val="16"/>
                <w:szCs w:val="16"/>
                <w:color w:val="231F20"/>
              </w:rPr>
              <w:t>Accelerated filer</w:t>
            </w:r>
          </w:p>
        </w:tc>
        <w:tc>
          <w:tcPr>
            <w:tcW w:w="500" w:type="dxa"/>
            <w:vAlign w:val="bottom"/>
          </w:tcPr>
          <w:p>
            <w:pPr>
              <w:ind w:left="380"/>
              <w:spacing w:after="0" w:line="215" w:lineRule="exact"/>
              <w:rPr>
                <w:sz w:val="20"/>
                <w:szCs w:val="20"/>
                <w:color w:val="auto"/>
              </w:rPr>
            </w:pPr>
            <w:r>
              <w:rPr>
                <w:rFonts w:ascii="Arial Unicode MS" w:cs="Arial Unicode MS" w:eastAsia="Arial Unicode MS" w:hAnsi="Arial Unicode MS"/>
                <w:sz w:val="16"/>
                <w:szCs w:val="16"/>
                <w:color w:val="231F20"/>
                <w:w w:val="84"/>
              </w:rPr>
              <w:t>☐</w:t>
            </w:r>
          </w:p>
        </w:tc>
      </w:tr>
      <w:tr>
        <w:trPr>
          <w:trHeight w:val="285"/>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2920" w:type="dxa"/>
            <w:vAlign w:val="bottom"/>
          </w:tcPr>
          <w:p>
            <w:pPr>
              <w:ind w:left="680"/>
              <w:spacing w:after="0" w:line="215" w:lineRule="exact"/>
              <w:rPr>
                <w:sz w:val="20"/>
                <w:szCs w:val="20"/>
                <w:color w:val="auto"/>
              </w:rPr>
            </w:pPr>
            <w:r>
              <w:rPr>
                <w:rFonts w:ascii="Arial Unicode MS" w:cs="Arial Unicode MS" w:eastAsia="Arial Unicode MS" w:hAnsi="Arial Unicode MS"/>
                <w:sz w:val="16"/>
                <w:szCs w:val="16"/>
                <w:color w:val="231F20"/>
              </w:rPr>
              <w:t>☐</w:t>
            </w:r>
          </w:p>
        </w:tc>
        <w:tc>
          <w:tcPr>
            <w:tcW w:w="4260" w:type="dxa"/>
            <w:vAlign w:val="bottom"/>
          </w:tcPr>
          <w:p>
            <w:pPr>
              <w:ind w:left="214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500" w:type="dxa"/>
            <w:vAlign w:val="bottom"/>
          </w:tcPr>
          <w:p>
            <w:pPr>
              <w:ind w:left="380"/>
              <w:spacing w:after="0" w:line="215" w:lineRule="exact"/>
              <w:rPr>
                <w:sz w:val="20"/>
                <w:szCs w:val="20"/>
                <w:color w:val="auto"/>
              </w:rPr>
            </w:pPr>
            <w:r>
              <w:rPr>
                <w:rFonts w:ascii="Arial Unicode MS" w:cs="Arial Unicode MS" w:eastAsia="Arial Unicode MS" w:hAnsi="Arial Unicode MS"/>
                <w:sz w:val="16"/>
                <w:szCs w:val="16"/>
                <w:color w:val="231F20"/>
                <w:w w:val="84"/>
              </w:rPr>
              <w:t>☐</w:t>
            </w:r>
          </w:p>
        </w:tc>
      </w:tr>
      <w:tr>
        <w:trPr>
          <w:trHeight w:val="285"/>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231F20"/>
              </w:rPr>
              <w:t>Emerging growth company</w:t>
            </w:r>
          </w:p>
        </w:tc>
        <w:tc>
          <w:tcPr>
            <w:tcW w:w="2920" w:type="dxa"/>
            <w:vAlign w:val="bottom"/>
          </w:tcPr>
          <w:p>
            <w:pPr>
              <w:ind w:left="680"/>
              <w:spacing w:after="0" w:line="215" w:lineRule="exact"/>
              <w:rPr>
                <w:sz w:val="20"/>
                <w:szCs w:val="20"/>
                <w:color w:val="auto"/>
              </w:rPr>
            </w:pPr>
            <w:r>
              <w:rPr>
                <w:rFonts w:ascii="Arial Unicode MS" w:cs="Arial Unicode MS" w:eastAsia="Arial Unicode MS" w:hAnsi="Arial Unicode MS"/>
                <w:sz w:val="16"/>
                <w:szCs w:val="16"/>
                <w:color w:val="231F20"/>
              </w:rPr>
              <w:t>☐</w:t>
            </w:r>
          </w:p>
        </w:tc>
        <w:tc>
          <w:tcPr>
            <w:tcW w:w="4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28" w:lineRule="exact"/>
        <w:rPr>
          <w:sz w:val="20"/>
          <w:szCs w:val="20"/>
          <w:color w:val="auto"/>
        </w:rPr>
      </w:pPr>
    </w:p>
    <w:p>
      <w:pPr>
        <w:ind w:right="340" w:firstLine="360"/>
        <w:spacing w:after="0" w:line="180"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231F20"/>
        </w:rPr>
        <w:t>☐</w:t>
      </w:r>
    </w:p>
    <w:p>
      <w:pPr>
        <w:spacing w:after="0" w:line="37" w:lineRule="exact"/>
        <w:rPr>
          <w:sz w:val="20"/>
          <w:szCs w:val="20"/>
          <w:color w:val="auto"/>
        </w:rPr>
      </w:pPr>
    </w:p>
    <w:p>
      <w:pPr>
        <w:ind w:firstLine="360"/>
        <w:spacing w:after="0" w:line="180" w:lineRule="exact"/>
        <w:rPr>
          <w:sz w:val="20"/>
          <w:szCs w:val="20"/>
          <w:color w:val="auto"/>
        </w:rPr>
      </w:pPr>
      <w:r>
        <w:rPr>
          <w:rFonts w:ascii="Times New Roman" w:cs="Times New Roman" w:eastAsia="Times New Roman" w:hAnsi="Times New Roman"/>
          <w:sz w:val="14"/>
          <w:szCs w:val="14"/>
          <w:color w:val="231F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231F20"/>
        </w:rPr>
        <w:t>☒</w:t>
      </w:r>
    </w:p>
    <w:p>
      <w:pPr>
        <w:spacing w:after="0" w:line="27" w:lineRule="exact"/>
        <w:rPr>
          <w:sz w:val="20"/>
          <w:szCs w:val="20"/>
          <w:color w:val="auto"/>
        </w:rPr>
      </w:pPr>
    </w:p>
    <w:p>
      <w:pPr>
        <w:ind w:left="360"/>
        <w:spacing w:after="0" w:line="161" w:lineRule="exact"/>
        <w:tabs>
          <w:tab w:leader="none" w:pos="6260" w:val="left"/>
          <w:tab w:leader="none" w:pos="6780" w:val="left"/>
        </w:tabs>
        <w:rPr>
          <w:sz w:val="20"/>
          <w:szCs w:val="20"/>
          <w:color w:val="auto"/>
        </w:rPr>
      </w:pPr>
      <w:r>
        <w:rPr>
          <w:rFonts w:ascii="Times New Roman" w:cs="Times New Roman" w:eastAsia="Times New Roman" w:hAnsi="Times New Roman"/>
          <w:sz w:val="14"/>
          <w:szCs w:val="14"/>
          <w:color w:val="231F20"/>
        </w:rPr>
        <w:t>Indicate by check mark whether the registrant is a shell company (as defined in Rule 12b-2 of the Act):</w:t>
        <w:tab/>
        <w:t xml:space="preserve">Yes </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ab/>
        <w:t xml:space="preserve">No </w:t>
      </w:r>
      <w:r>
        <w:rPr>
          <w:rFonts w:ascii="MS PGothic" w:cs="MS PGothic" w:eastAsia="MS PGothic" w:hAnsi="MS PGothic"/>
          <w:sz w:val="14"/>
          <w:szCs w:val="14"/>
          <w:color w:val="231F20"/>
        </w:rPr>
        <w:t>☒</w:t>
      </w:r>
    </w:p>
    <w:p>
      <w:pPr>
        <w:spacing w:after="0" w:line="77" w:lineRule="exact"/>
        <w:rPr>
          <w:sz w:val="20"/>
          <w:szCs w:val="20"/>
          <w:color w:val="auto"/>
        </w:rPr>
      </w:pPr>
    </w:p>
    <w:p>
      <w:pPr>
        <w:ind w:right="60" w:firstLine="360"/>
        <w:spacing w:after="0" w:line="180"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231F20"/>
        </w:rPr>
        <w:t>☐</w:t>
      </w:r>
    </w:p>
    <w:p>
      <w:pPr>
        <w:spacing w:after="0" w:line="37" w:lineRule="exact"/>
        <w:rPr>
          <w:sz w:val="20"/>
          <w:szCs w:val="20"/>
          <w:color w:val="auto"/>
        </w:rPr>
      </w:pPr>
    </w:p>
    <w:p>
      <w:pPr>
        <w:ind w:right="660" w:firstLine="360"/>
        <w:spacing w:after="0" w:line="180" w:lineRule="exact"/>
        <w:rPr>
          <w:sz w:val="20"/>
          <w:szCs w:val="20"/>
          <w:color w:val="auto"/>
        </w:rPr>
      </w:pPr>
      <w:r>
        <w:rPr>
          <w:rFonts w:ascii="Times New Roman" w:cs="Times New Roman" w:eastAsia="Times New Roman" w:hAnsi="Times New Roman"/>
          <w:sz w:val="14"/>
          <w:szCs w:val="14"/>
          <w:color w:val="231F20"/>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Unicode MS" w:cs="Arial Unicode MS" w:eastAsia="Arial Unicode MS" w:hAnsi="Arial Unicode MS"/>
          <w:sz w:val="14"/>
          <w:szCs w:val="14"/>
          <w:color w:val="231F20"/>
        </w:rPr>
        <w:t>.</w:t>
      </w:r>
      <w:r>
        <w:rPr>
          <w:rFonts w:ascii="Times New Roman" w:cs="Times New Roman" w:eastAsia="Times New Roman" w:hAnsi="Times New Roman"/>
          <w:sz w:val="14"/>
          <w:szCs w:val="14"/>
          <w:color w:val="231F20"/>
        </w:rPr>
        <w:t xml:space="preserve"> </w:t>
      </w:r>
      <w:r>
        <w:rPr>
          <w:rFonts w:ascii="Arial Unicode MS" w:cs="Arial Unicode MS" w:eastAsia="Arial Unicode MS" w:hAnsi="Arial Unicode MS"/>
          <w:sz w:val="14"/>
          <w:szCs w:val="14"/>
          <w:color w:val="231F20"/>
        </w:rPr>
        <w:t>☐</w:t>
      </w:r>
    </w:p>
    <w:p>
      <w:pPr>
        <w:spacing w:after="0" w:line="37"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4"/>
          <w:szCs w:val="14"/>
          <w:color w:val="231F20"/>
        </w:rPr>
        <w:t>The aggregate market value of the voting and non-voting common stock held by non-affiliates of the registrant as of June 30, 2025 was $103.4 billion, based on the closing price of the registrant’s common stock as reported on the New York Stock Exchange as of the last business day of the registrant’s most recently completed second quarter.</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31F20"/>
        </w:rPr>
        <w:t>As of February 17, 2026, there were 466,084,820 shares of common stock outstanding.</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31F20"/>
        </w:rPr>
        <w:t>DOCUMENTS INCORPORATED BY REFERENCE</w:t>
      </w:r>
    </w:p>
    <w:p>
      <w:pPr>
        <w:sectPr>
          <w:pgSz w:w="11880" w:h="15480" w:orient="portrait"/>
          <w:cols w:equalWidth="0" w:num="1">
            <w:col w:w="10440"/>
          </w:cols>
          <w:pgMar w:left="720" w:top="291" w:right="720" w:bottom="10" w:gutter="0" w:footer="0" w:header="0"/>
        </w:sectPr>
      </w:pPr>
    </w:p>
    <w:p>
      <w:pPr>
        <w:spacing w:after="0" w:line="27" w:lineRule="exact"/>
        <w:rPr>
          <w:sz w:val="20"/>
          <w:szCs w:val="20"/>
          <w:color w:val="auto"/>
        </w:rPr>
      </w:pPr>
    </w:p>
    <w:p>
      <w:pPr>
        <w:ind w:right="300" w:firstLine="360"/>
        <w:spacing w:after="0" w:line="267" w:lineRule="auto"/>
        <w:rPr>
          <w:sz w:val="20"/>
          <w:szCs w:val="20"/>
          <w:color w:val="auto"/>
        </w:rPr>
      </w:pPr>
      <w:r>
        <w:rPr>
          <w:rFonts w:ascii="Times New Roman" w:cs="Times New Roman" w:eastAsia="Times New Roman" w:hAnsi="Times New Roman"/>
          <w:sz w:val="14"/>
          <w:szCs w:val="14"/>
          <w:color w:val="231F20"/>
        </w:rPr>
        <w:t>Portions of the definitive proxy statement (the “Definitive Proxy Statement”) to be filed with the Securities and Exchange Commission relative to the registrant’s 2026 Annual Meeting of Stockholders are incorporated by reference into Part III of this Report.</w:t>
      </w:r>
    </w:p>
    <w:p>
      <w:pPr>
        <w:sectPr>
          <w:pgSz w:w="11880" w:h="15480" w:orient="portrait"/>
          <w:cols w:equalWidth="0" w:num="1">
            <w:col w:w="10440"/>
          </w:cols>
          <w:pgMar w:left="720" w:top="291" w:right="720" w:bottom="10" w:gutter="0" w:footer="0" w:header="0"/>
          <w:type w:val="continuous"/>
        </w:sectPr>
      </w:pPr>
    </w:p>
    <w:bookmarkStart w:id="11" w:name="page12"/>
    <w:bookmarkEnd w:id="11"/>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AMERICAN TOWER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FORM 10-K ANNUAL REPORT</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FISCAL YEAR ENDED DECEMBER 31,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64"/>
        </w:trPr>
        <w:tc>
          <w:tcPr>
            <w:tcW w:w="8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Special Note Regarding Forward-Looking Statements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iii</w:t>
            </w:r>
          </w:p>
        </w:tc>
        <w:tc>
          <w:tcPr>
            <w:tcW w:w="0" w:type="dxa"/>
            <w:vAlign w:val="bottom"/>
          </w:tcPr>
          <w:p>
            <w:pPr>
              <w:spacing w:after="0"/>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75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rPr>
              <w:t>Business</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1.</w:t>
            </w:r>
          </w:p>
        </w:tc>
        <w:tc>
          <w:tcPr>
            <w:tcW w:w="7580" w:type="dxa"/>
            <w:vAlign w:val="bottom"/>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Overview</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Products and Services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Strategy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Regulatory Matters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Competition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Human Capital Resources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Executive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Available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1A.</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Risk Factors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85"/>
        </w:trPr>
        <w:tc>
          <w:tcPr>
            <w:tcW w:w="8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ITEM 1B.  Unresolved Staff Comments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1C.</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Cybersecurity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2.</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Properties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3.</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Legal Proceedings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4.</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80"/>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75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231F20"/>
              </w:rPr>
              <w:t>ITEM 5.</w:t>
            </w:r>
          </w:p>
        </w:tc>
        <w:tc>
          <w:tcPr>
            <w:tcW w:w="7580" w:type="dxa"/>
            <w:vAlign w:val="bottom"/>
            <w:vMerge w:val="continue"/>
          </w:tcPr>
          <w:p>
            <w:pPr>
              <w:spacing w:after="0"/>
              <w:rPr>
                <w:sz w:val="17"/>
                <w:szCs w:val="17"/>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of Equity Securities</w:t>
            </w: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Dividends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9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Performance Graph</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Issuer Purchases of Equity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6.</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[Reserved]</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7.</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83"/>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Executive Overview</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Non-GAAP Financial Measures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Results of Operations: Years Ended December 31, 2025 and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Liquidity and Capital Resources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Critical Accounting Policies and Estimates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Accounting Standards Updates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0" w:type="dxa"/>
            <w:vAlign w:val="bottom"/>
          </w:tcPr>
          <w:p>
            <w:pPr>
              <w:spacing w:after="0"/>
              <w:rPr>
                <w:sz w:val="1"/>
                <w:szCs w:val="1"/>
                <w:color w:val="auto"/>
              </w:rPr>
            </w:pPr>
          </w:p>
        </w:tc>
      </w:tr>
      <w:tr>
        <w:trPr>
          <w:trHeight w:val="287"/>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7A.</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8.</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r>
        <w:trPr>
          <w:trHeight w:val="285"/>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ITEM 9.</w:t>
            </w:r>
          </w:p>
        </w:tc>
        <w:tc>
          <w:tcPr>
            <w:tcW w:w="758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80" w:top="38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180"/>
          </w:cols>
          <w:pgMar w:left="880" w:top="386" w:right="820" w:bottom="0" w:gutter="0" w:footer="0" w:header="0"/>
          <w:type w:val="continuous"/>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AMERICAN TOWER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TABLE OF CONTENTS—(Continued)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FORM 10-K ANNUAL REPORT</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FISCAL YEAR ENDED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720" w:type="dxa"/>
            <w:vAlign w:val="bottom"/>
            <w:tcBorders>
              <w:bottom w:val="single" w:sz="8" w:color="231F20"/>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9A.</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4"/>
                <w:szCs w:val="24"/>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Disclosure Controls and Procedures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4"/>
                <w:szCs w:val="24"/>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Management’s Annual Report on Internal Control over Financial Reporting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4"/>
                <w:szCs w:val="24"/>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Changes in Internal Control over Financial Reporting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4"/>
                <w:szCs w:val="24"/>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9B.</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Other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9C.</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7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10.</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11.</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Executive Compensation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12.</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260"/>
        </w:trPr>
        <w:tc>
          <w:tcPr>
            <w:tcW w:w="900" w:type="dxa"/>
            <w:vAlign w:val="bottom"/>
          </w:tcPr>
          <w:p>
            <w:pPr>
              <w:spacing w:after="0"/>
              <w:rPr>
                <w:sz w:val="22"/>
                <w:szCs w:val="22"/>
                <w:color w:val="auto"/>
              </w:rPr>
            </w:pP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Stockholder Matters</w:t>
            </w: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13.</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14.</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Principal Accounting Fees and Services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7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15.</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Exhibits, Financial Statement Schedules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4"/>
                <w:szCs w:val="24"/>
                <w:color w:val="auto"/>
              </w:rPr>
            </w:pPr>
          </w:p>
        </w:tc>
        <w:tc>
          <w:tcPr>
            <w:tcW w:w="75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Index to Exhibits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ITEM 16.</w:t>
            </w:r>
          </w:p>
        </w:tc>
        <w:tc>
          <w:tcPr>
            <w:tcW w:w="75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Form 10-K Summary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0" w:type="dxa"/>
            <w:vAlign w:val="bottom"/>
          </w:tcPr>
          <w:p>
            <w:pPr>
              <w:spacing w:after="0"/>
              <w:rPr>
                <w:sz w:val="1"/>
                <w:szCs w:val="1"/>
                <w:color w:val="auto"/>
              </w:rPr>
            </w:pPr>
          </w:p>
        </w:tc>
      </w:tr>
      <w:tr>
        <w:trPr>
          <w:trHeight w:val="30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Signatures</w:t>
            </w:r>
          </w:p>
        </w:tc>
        <w:tc>
          <w:tcPr>
            <w:tcW w:w="75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300"/>
        </w:trPr>
        <w:tc>
          <w:tcPr>
            <w:tcW w:w="84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Index to Consolidated Financial Statements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80" w:top="86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ii</w:t>
      </w:r>
    </w:p>
    <w:p>
      <w:pPr>
        <w:sectPr>
          <w:pgSz w:w="11880" w:h="15480" w:orient="portrait"/>
          <w:cols w:equalWidth="0" w:num="1">
            <w:col w:w="10180"/>
          </w:cols>
          <w:pgMar w:left="880" w:top="866" w:right="820" w:bottom="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This Annual Report on Form 10-K (this “Annual Report”) contains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our relationships with our customers, the creditworthiness and financial strength of our customers, our ability to maintain or increase our market share, the effects of consolidation among companies in our industry and among our customers and other competitive and financial pressures, our plans to fund our future liquidity needs, our expectations for the closing of signed agreements, including divestitures, and the expected impacts of such agreements on our business, the expected impacts of strategic partnerships on our business, our substantial leverage and debt service obligations, our future financing transactions, our future operating results, the level of future expenditures by companies in this industry and other trends in this industry, the impacts of technology failures, including cybersecurity, data governance and data privacy incidents, on our business, our ability to operate our distinct data centers business,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the expected impact of our transformation initiatives on our business and natural disasters and similar events. These statements are based on our management’s beliefs and assumptions, which in turn are based on currently available information. These assumptions could prove inaccurate. These forward-looking statements may be found under the captions “Business” and “Management’s Discussion and Analysis of Financial Condition and Results of Operations,” as well as in this Annual Report generally.</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You should keep in mind that any forward-looking statement we make in this Annual Report or elsewhere speaks only as of the date on which we make it. New risks and uncertainties arise from time to time, and it is impossible for us to predict these events or how they may affect us. In any event, these and other important factors, including those set forth in Item 1A of this Annual Report under the caption “Risk Factors,” may cause actual results to differ materially from those indicated by our forward-looking statements. We have no duty, and do not intend, to update or revise the forward-looking statements we make in this Annual Report, except as may be required by law. In light of these risks and uncertainties, you should keep in mind that the future events or circumstances described in any forward-looking statement we make in this Annual Report or elsewhere might not occur. References in this Annual Report to “we,” “our” and the “Company” refer to American Tower Corporation and its predecessor, as applicable, individually and collectively with its subsidiaries as the context requires.</w:t>
      </w:r>
    </w:p>
    <w:p>
      <w:pPr>
        <w:sectPr>
          <w:pgSz w:w="11880" w:h="15480" w:orient="portrait"/>
          <w:cols w:equalWidth="0" w:num="1">
            <w:col w:w="10240"/>
          </w:cols>
          <w:pgMar w:left="820" w:top="6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iii</w:t>
      </w:r>
    </w:p>
    <w:p>
      <w:pPr>
        <w:sectPr>
          <w:pgSz w:w="11880" w:h="15480" w:orient="portrait"/>
          <w:cols w:equalWidth="0" w:num="1">
            <w:col w:w="10240"/>
          </w:cols>
          <w:pgMar w:left="820" w:top="626" w:right="820" w:bottom="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8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19"/>
          <w:szCs w:val="19"/>
          <w:b w:val="1"/>
          <w:bCs w:val="1"/>
          <w:color w:val="231F20"/>
        </w:rPr>
        <w:t>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are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We refer to this business, inclusive of our data center business discussed below, as our property operations, which accounted for 97% of our total revenues for the year ended December 31, 2025. We also offer tower-related services in the United States, which we refer to as our services operations. These services include site application, zoning and permitting, structural and mount analyses, and construction management services, together with program management offerings that support customer deployment needs from project scoping through construction. Our services operations primarily support our site leasing business, including the addition of new tenants and equipment on our sites. Our customers include our tenants, licensees and other payers.</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as discussed further below, we hold a portfolio of highly interconnected data center facilities and related assets in the United States that we provide for the leasing of space primarily to enterprises, network operators, cloud providers and supporting service providers.</w:t>
      </w:r>
    </w:p>
    <w:p>
      <w:pPr>
        <w:spacing w:after="0" w:line="1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231F20"/>
        </w:rPr>
        <w:t>As of December 31, 2025, our communications real estate portfolio of 149,686 communications sites included 42,224 communications sites in the U.S. &amp; Canada, 27,857 communications sites in Africa &amp; APAC (as defined below), 32,524 communications sites in Europe and 47,081 communications sites in Latin America, as well as (i) urban telecommunications assets in Argentina, Brazil, Colombia and Spain, (ii) other property interests in Canada and the United States and (iii) 30 operating data center facilities across eleven markets in the United States.</w:t>
      </w:r>
    </w:p>
    <w:p>
      <w:pPr>
        <w:spacing w:after="0" w:line="12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231F20"/>
        </w:rPr>
        <w:t>We operate as a real estate investment trust for U.S. federal income tax purposes (“REIT”). Accordingly, we generally are not required to pay U.S. federal income taxes on income generated by our REIT operations, including the income derived from leasing space on our towers and in our data centers, as we receive a dividends paid deduction for distributions to stockholders that offsets our REIT taxable income and gains. However, we remain obligated to pay U.S. federal income taxes on earnings from our domestic taxable REIT subsidiaries (“TRSs”). In addition, our international assets and operations, regardless of their classification for U.S. tax purposes, continue to be subject to taxation in the jurisdictions where those assets are held or those operations are conducted.</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use of TRSs enables us to continue to engage in certain businesses and jurisdictions while complying with REIT qualification requirements. We may, from time to time, change the election of previously designated TRSs to be included as part of the REIT. As of December 31, 2025, our REIT-qualified businesses included our U.S. tower leasing business, a majority of our U.S. DAS networks business, our Services and Data Centers segments, as well as most of our operations in Canada, Costa Rica, France, Germany, Ghana, Kenya, Mexico, Nigeria, South Africa, Spain and Uganda.</w:t>
      </w:r>
    </w:p>
    <w:p>
      <w:pPr>
        <w:spacing w:after="0" w:line="1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We report our results in six segments: U.S. &amp; Canada property (which includes all assets in the United States and Canada, other than our data center facilities and related assets), Africa &amp; Asia-Pacific (“APAC”) property, Europe property, Latin America property, Data Centers and Services.</w:t>
      </w:r>
    </w:p>
    <w:p>
      <w:pPr>
        <w:sectPr>
          <w:pgSz w:w="11880" w:h="15480" w:orient="portrait"/>
          <w:cols w:equalWidth="0" w:num="1">
            <w:col w:w="10220"/>
          </w:cols>
          <w:pgMar w:left="820" w:top="38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220"/>
          </w:cols>
          <w:pgMar w:left="820" w:top="386" w:right="840" w:bottom="0" w:gutter="0" w:footer="0" w:header="0"/>
          <w:type w:val="continuous"/>
        </w:sectPr>
      </w:pPr>
    </w:p>
    <w:bookmarkStart w:id="15" w:name="page16"/>
    <w:bookmarkEnd w:id="15"/>
    <w:p>
      <w:pPr>
        <w:ind w:left="10"/>
        <w:spacing w:after="0"/>
        <w:rPr>
          <w:sz w:val="20"/>
          <w:szCs w:val="20"/>
          <w:color w:val="auto"/>
        </w:rPr>
      </w:pPr>
      <w:r>
        <w:rPr>
          <w:rFonts w:ascii="Times New Roman" w:cs="Times New Roman" w:eastAsia="Times New Roman" w:hAnsi="Times New Roman"/>
          <w:sz w:val="20"/>
          <w:szCs w:val="20"/>
          <w:b w:val="1"/>
          <w:bCs w:val="1"/>
          <w:color w:val="231F20"/>
        </w:rPr>
        <w:t>Products and Services</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Property Operations</w:t>
      </w:r>
    </w:p>
    <w:p>
      <w:pPr>
        <w:spacing w:after="0" w:line="179"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20"/>
          <w:szCs w:val="20"/>
          <w:color w:val="231F20"/>
        </w:rPr>
        <w:t>Our property operations accounted for 97%, 98% and 99% of our total revenues for the years ended December 31, 2025, 2024 and 2023, respectively. Our revenue is primarily generated from tenant leases. Within our tower leasing operations, our tenants lease space on our communications real estate, where they install and maintain their equipment. Rental payments vary considerably depending upon numerous factors, including, but not limited to, amount, type and position of tenant equipment on the tower, remaining tower capacity and tower location. Our costs typically include ground rent (which is primarily fixed under long-term lease agreements with annual cost escalations) and power and fuel costs, some or all of which may be passed through to our tenants, as well as property taxes and repair and maintenance expenses. Our property operations have generated consistent growth in revenue and typically have low cash flow volatility due to the following characteristics:</w:t>
      </w:r>
    </w:p>
    <w:p>
      <w:pPr>
        <w:spacing w:after="0" w:line="129" w:lineRule="exact"/>
        <w:rPr>
          <w:sz w:val="20"/>
          <w:szCs w:val="20"/>
          <w:color w:val="auto"/>
        </w:rPr>
      </w:pPr>
    </w:p>
    <w:p>
      <w:pPr>
        <w:ind w:left="730" w:right="360" w:hanging="370"/>
        <w:spacing w:after="0" w:line="254" w:lineRule="auto"/>
        <w:tabs>
          <w:tab w:leader="none" w:pos="73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Long-term tenant leases with contractual rent escalations. </w:t>
      </w:r>
      <w:r>
        <w:rPr>
          <w:rFonts w:ascii="Times New Roman" w:cs="Times New Roman" w:eastAsia="Times New Roman" w:hAnsi="Times New Roman"/>
          <w:sz w:val="20"/>
          <w:szCs w:val="20"/>
          <w:color w:val="231F20"/>
        </w:rPr>
        <w:t>In general, our tenant leases for our communications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sites with wireless carriers have initial non-cancellable terms of five to ten years with multiple renewal terms, with provisions that periodically increase the rent due under the lease, typically annually, based on a fixed escalation percentage (averaging approximately 3% in the United States) or an inflationary index in most of our international markets, or a combination of both. Based upon foreign currency exchange rates and the tenant leases in place as of December 31, 2025, we expect to generate over $54 billion of non-cancellable tenant lease revenue over future periods, before the impact of straight-line lease accounting.</w:t>
      </w:r>
    </w:p>
    <w:p>
      <w:pPr>
        <w:ind w:left="730" w:right="60" w:hanging="370"/>
        <w:spacing w:after="0" w:line="250" w:lineRule="auto"/>
        <w:tabs>
          <w:tab w:leader="none" w:pos="73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Consistent demand for our sites. </w:t>
      </w:r>
      <w:r>
        <w:rPr>
          <w:rFonts w:ascii="Times New Roman" w:cs="Times New Roman" w:eastAsia="Times New Roman" w:hAnsi="Times New Roman"/>
          <w:sz w:val="20"/>
          <w:szCs w:val="20"/>
          <w:color w:val="231F20"/>
        </w:rPr>
        <w:t>As a result of rapidly growing usage of mobile data and other wireless services and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corresponding wireless industry capital spending trends in the markets we serve, we anticipate consistent demand for our communications sites. We believe that our global asset base positions us well to benefit from the increasing proliferation of advanced wireless devices and the increasing usage of high bandwidth applications on those devices. We have the ability to add new tenants and new equipment for existing tenants on our sites, which typically results in incremental revenue and modest incremental costs. Our site portfolio and our established tenant base provide us with a solid platform for new business opportunities, which has historically resulted in consistent and predictable organic revenue growth.</w:t>
      </w:r>
    </w:p>
    <w:p>
      <w:pPr>
        <w:spacing w:after="0" w:line="3" w:lineRule="exact"/>
        <w:rPr>
          <w:rFonts w:ascii="Times New Roman" w:cs="Times New Roman" w:eastAsia="Times New Roman" w:hAnsi="Times New Roman"/>
          <w:sz w:val="20"/>
          <w:szCs w:val="20"/>
          <w:color w:val="231F20"/>
        </w:rPr>
      </w:pPr>
    </w:p>
    <w:p>
      <w:pPr>
        <w:ind w:left="730" w:right="40" w:hanging="370"/>
        <w:spacing w:after="0" w:line="248" w:lineRule="auto"/>
        <w:tabs>
          <w:tab w:leader="none" w:pos="730" w:val="left"/>
        </w:tabs>
        <w:numPr>
          <w:ilvl w:val="0"/>
          <w:numId w:val="7"/>
        </w:numPr>
        <w:rPr>
          <w:rFonts w:ascii="Calibri" w:cs="Calibri" w:eastAsia="Calibri" w:hAnsi="Calibri"/>
          <w:sz w:val="20"/>
          <w:szCs w:val="20"/>
          <w:color w:val="231F20"/>
        </w:rPr>
      </w:pPr>
      <w:r>
        <w:rPr>
          <w:rFonts w:ascii="Times New Roman" w:cs="Times New Roman" w:eastAsia="Times New Roman" w:hAnsi="Times New Roman"/>
          <w:sz w:val="20"/>
          <w:szCs w:val="20"/>
          <w:b w:val="1"/>
          <w:bCs w:val="1"/>
          <w:color w:val="231F20"/>
        </w:rPr>
        <w:t xml:space="preserve">High lease renewal rates. </w:t>
      </w:r>
      <w:r>
        <w:rPr>
          <w:rFonts w:ascii="Times New Roman" w:cs="Times New Roman" w:eastAsia="Times New Roman" w:hAnsi="Times New Roman"/>
          <w:sz w:val="20"/>
          <w:szCs w:val="20"/>
          <w:color w:val="231F20"/>
        </w:rPr>
        <w:t>Our tenants tend to renew leases because suitable alternative sites may not exist or be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available and repositioning a site in their network may be expensive and may adversely affect network quality. We define churn as tenant billings lost when a tenant cancels or does not renew its lease or, in limited circumstances, when the lease rates on existing leases are reduced. We derive our churn rate for a given year by dividing our tenant billings lost on this basis by our prior-year tenant billings. During the year ended December 31, 2025, churn was approximately 2% of our tenant billings, primarily driven by churn in our U.S. &amp; Canada property segment.</w:t>
      </w:r>
    </w:p>
    <w:p>
      <w:pPr>
        <w:spacing w:after="0" w:line="1" w:lineRule="exact"/>
        <w:rPr>
          <w:rFonts w:ascii="Calibri" w:cs="Calibri" w:eastAsia="Calibri" w:hAnsi="Calibri"/>
          <w:sz w:val="20"/>
          <w:szCs w:val="20"/>
          <w:color w:val="231F20"/>
        </w:rPr>
      </w:pPr>
    </w:p>
    <w:p>
      <w:pPr>
        <w:ind w:left="730" w:right="100" w:hanging="370"/>
        <w:spacing w:after="0" w:line="250" w:lineRule="auto"/>
        <w:tabs>
          <w:tab w:leader="none" w:pos="73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High operating margins. </w:t>
      </w:r>
      <w:r>
        <w:rPr>
          <w:rFonts w:ascii="Times New Roman" w:cs="Times New Roman" w:eastAsia="Times New Roman" w:hAnsi="Times New Roman"/>
          <w:sz w:val="20"/>
          <w:szCs w:val="20"/>
          <w:color w:val="231F20"/>
        </w:rPr>
        <w:t>Incremental operating costs associated with adding new tenants or equipment to an existing</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communications site are typically relatively minimal. Therefore, as tenants or equipment are added, the substantial majority of incremental revenue flows through to gross margin and operating profit. In addition, in many of our international markets, certain expenses, such as ground rent or power and fuel costs, are reimbursed or shared by our tenant base.</w:t>
      </w:r>
    </w:p>
    <w:p>
      <w:pPr>
        <w:ind w:left="730" w:right="1040" w:hanging="370"/>
        <w:spacing w:after="0" w:line="260" w:lineRule="auto"/>
        <w:tabs>
          <w:tab w:leader="none" w:pos="730"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Low maintenance capital expenditures. </w:t>
      </w:r>
      <w:r>
        <w:rPr>
          <w:rFonts w:ascii="Times New Roman" w:cs="Times New Roman" w:eastAsia="Times New Roman" w:hAnsi="Times New Roman"/>
          <w:sz w:val="20"/>
          <w:szCs w:val="20"/>
          <w:color w:val="231F20"/>
        </w:rPr>
        <w:t>On average, we require relatively low amounts of annual capital</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expenditures to maintain our communications sites.</w:t>
      </w:r>
    </w:p>
    <w:p>
      <w:pPr>
        <w:spacing w:after="0" w:line="122"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20"/>
          <w:szCs w:val="20"/>
          <w:color w:val="231F20"/>
        </w:rPr>
        <w:t>Our property business includes the operation of communications sites and managed networks, the leasing of property interests and, in select markets, the operation of fiber, the operation of data centers and the provision of backup power through shared generators and power solutions. Our presence in a number of markets at different relative stages of wireless development provides us with significant diversification and long-term growth potential. Our property segments accounted for the following percentage of consolidated total revenue for the years ended December 31,:</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640" w:type="dxa"/>
            <w:vAlign w:val="bottom"/>
            <w:tcBorders>
              <w:bottom w:val="single" w:sz="8" w:color="E3E4E5"/>
            </w:tcBorders>
          </w:tcPr>
          <w:p>
            <w:pPr>
              <w:spacing w:after="0"/>
              <w:rPr>
                <w:sz w:val="18"/>
                <w:szCs w:val="18"/>
                <w:color w:val="auto"/>
              </w:rPr>
            </w:pPr>
          </w:p>
        </w:tc>
        <w:tc>
          <w:tcPr>
            <w:tcW w:w="116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18"/>
                <w:szCs w:val="18"/>
                <w:color w:val="auto"/>
              </w:rPr>
            </w:pPr>
          </w:p>
        </w:tc>
        <w:tc>
          <w:tcPr>
            <w:tcW w:w="116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18"/>
                <w:szCs w:val="18"/>
                <w:color w:val="auto"/>
              </w:rPr>
            </w:pPr>
          </w:p>
        </w:tc>
        <w:tc>
          <w:tcPr>
            <w:tcW w:w="116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66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U.S. &amp; Canada </w:t>
            </w:r>
            <w:r>
              <w:rPr>
                <w:rFonts w:ascii="Times New Roman" w:cs="Times New Roman" w:eastAsia="Times New Roman" w:hAnsi="Times New Roman"/>
                <w:sz w:val="20"/>
                <w:szCs w:val="20"/>
                <w:color w:val="BABCBE"/>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49 %</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52 %</w:t>
            </w:r>
          </w:p>
        </w:tc>
        <w:tc>
          <w:tcPr>
            <w:tcW w:w="1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53 %</w:t>
            </w:r>
          </w:p>
        </w:tc>
      </w:tr>
      <w:tr>
        <w:trPr>
          <w:trHeight w:val="294"/>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Africa &amp; APAC (1)</w:t>
            </w:r>
            <w:r>
              <w:rPr>
                <w:rFonts w:ascii="Times New Roman" w:cs="Times New Roman" w:eastAsia="Times New Roman" w:hAnsi="Times New Roman"/>
                <w:sz w:val="20"/>
                <w:szCs w:val="20"/>
                <w:b w:val="1"/>
                <w:bCs w:val="1"/>
                <w:color w:val="BABCB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12 %</w:t>
            </w:r>
          </w:p>
        </w:tc>
      </w:tr>
      <w:tr>
        <w:trPr>
          <w:trHeight w:val="306"/>
        </w:trPr>
        <w:tc>
          <w:tcPr>
            <w:tcW w:w="66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Europe</w:t>
            </w:r>
            <w:r>
              <w:rPr>
                <w:rFonts w:ascii="Times New Roman" w:cs="Times New Roman" w:eastAsia="Times New Roman" w:hAnsi="Times New Roman"/>
                <w:sz w:val="20"/>
                <w:szCs w:val="20"/>
                <w:color w:val="BABCBE"/>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9 %</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8 %</w:t>
            </w:r>
          </w:p>
        </w:tc>
        <w:tc>
          <w:tcPr>
            <w:tcW w:w="1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8 %</w:t>
            </w:r>
          </w:p>
        </w:tc>
      </w:tr>
      <w:tr>
        <w:trPr>
          <w:trHeight w:val="294"/>
        </w:trPr>
        <w:tc>
          <w:tcPr>
            <w:tcW w:w="66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Latin America </w:t>
            </w:r>
            <w:r>
              <w:rPr>
                <w:rFonts w:ascii="Times New Roman" w:cs="Times New Roman" w:eastAsia="Times New Roman" w:hAnsi="Times New Roman"/>
                <w:sz w:val="20"/>
                <w:szCs w:val="20"/>
                <w:color w:val="BABCB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18 %</w:t>
            </w:r>
          </w:p>
        </w:tc>
      </w:tr>
      <w:tr>
        <w:trPr>
          <w:trHeight w:val="306"/>
        </w:trPr>
        <w:tc>
          <w:tcPr>
            <w:tcW w:w="66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Data Centers</w:t>
            </w:r>
            <w:r>
              <w:rPr>
                <w:rFonts w:ascii="Times New Roman" w:cs="Times New Roman" w:eastAsia="Times New Roman" w:hAnsi="Times New Roman"/>
                <w:sz w:val="20"/>
                <w:szCs w:val="20"/>
                <w:color w:val="BABCBE"/>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9 %</w:t>
            </w:r>
          </w:p>
        </w:tc>
        <w:tc>
          <w:tcPr>
            <w:tcW w:w="1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-964565</wp:posOffset>
            </wp:positionV>
            <wp:extent cx="232092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0925" cy="25400"/>
                    </a:xfrm>
                    <a:prstGeom prst="rect">
                      <a:avLst/>
                    </a:prstGeom>
                    <a:noFill/>
                  </pic:spPr>
                </pic:pic>
              </a:graphicData>
            </a:graphic>
          </wp:anchor>
        </w:drawing>
      </w:r>
    </w:p>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right="480" w:hanging="370"/>
        <w:spacing w:after="0" w:line="254" w:lineRule="auto"/>
        <w:tabs>
          <w:tab w:leader="none" w:pos="37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years ended December 31, 2024 and 2023, excludes the operating results of our subsidiaries, ATC Asia Pacific Pte. Ltd. and ATC Telecom Infrastructure Private Limited (“ATC TIPL”), which are reported as discontinued operations. See note 21 to our consolidated financial statements included in this Annual Report (“Note 21”) for further discussion.</w:t>
      </w:r>
    </w:p>
    <w:p>
      <w:pPr>
        <w:sectPr>
          <w:pgSz w:w="11880" w:h="15480" w:orient="portrait"/>
          <w:cols w:equalWidth="0" w:num="1">
            <w:col w:w="10270"/>
          </w:cols>
          <w:pgMar w:left="810" w:top="38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270"/>
          </w:cols>
          <w:pgMar w:left="810" w:top="386" w:right="800" w:bottom="0" w:gutter="0" w:footer="0" w:header="0"/>
          <w:type w:val="continuous"/>
        </w:sectPr>
      </w:pPr>
    </w:p>
    <w:bookmarkStart w:id="16" w:name="page17"/>
    <w:bookmarkEnd w:id="16"/>
    <w:p>
      <w:pPr>
        <w:ind w:right="740"/>
        <w:spacing w:after="0" w:line="268" w:lineRule="auto"/>
        <w:rPr>
          <w:sz w:val="20"/>
          <w:szCs w:val="20"/>
          <w:color w:val="auto"/>
        </w:rPr>
      </w:pPr>
      <w:r>
        <w:rPr>
          <w:rFonts w:ascii="Times New Roman" w:cs="Times New Roman" w:eastAsia="Times New Roman" w:hAnsi="Times New Roman"/>
          <w:sz w:val="20"/>
          <w:szCs w:val="20"/>
          <w:i w:val="1"/>
          <w:iCs w:val="1"/>
          <w:color w:val="231F20"/>
        </w:rPr>
        <w:t xml:space="preserve">Communications Sites. </w:t>
      </w:r>
      <w:r>
        <w:rPr>
          <w:rFonts w:ascii="Times New Roman" w:cs="Times New Roman" w:eastAsia="Times New Roman" w:hAnsi="Times New Roman"/>
          <w:sz w:val="20"/>
          <w:szCs w:val="20"/>
          <w:color w:val="231F20"/>
        </w:rPr>
        <w:t>Approximately 82%, 87% and 88% of revenue in our property segments was attributable to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communications sites, excluding data center facilities and related assets, DAS networks and fiber, for the years ended December 31, 2025, 2024 and 2023, respectively.</w:t>
      </w:r>
    </w:p>
    <w:p>
      <w:pPr>
        <w:spacing w:after="0" w:line="1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We lease space on our communications sites to tenants providing a diverse range of communications services, including cellular voice and data, broadcasting, mobile video and a number of other applications. In addition, in many of our international markets, we receive pass-through revenue from our tenants to cover certain costs, including power and fuel costs and ground rent. Our top tenants by revenue for each property segment are as follows for the year ended December 31, 2025:</w:t>
      </w:r>
    </w:p>
    <w:p>
      <w:pPr>
        <w:spacing w:after="0" w:line="119" w:lineRule="exact"/>
        <w:rPr>
          <w:sz w:val="20"/>
          <w:szCs w:val="20"/>
          <w:color w:val="auto"/>
        </w:rPr>
      </w:pPr>
    </w:p>
    <w:p>
      <w:pPr>
        <w:ind w:left="720" w:right="760" w:hanging="370"/>
        <w:spacing w:after="0" w:line="253" w:lineRule="auto"/>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U.S. &amp; Canada: </w:t>
      </w:r>
      <w:r>
        <w:rPr>
          <w:rFonts w:ascii="Times New Roman" w:cs="Times New Roman" w:eastAsia="Times New Roman" w:hAnsi="Times New Roman"/>
          <w:sz w:val="20"/>
          <w:szCs w:val="20"/>
          <w:color w:val="231F20"/>
        </w:rPr>
        <w:t>AT&amp;T Inc. (“AT&amp;T”); T-Mobile US, Inc. (“T-Mobile”); and Verizon Communications Inc.</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(“Verizon Wireless”) accounted for an aggregate of 85% of U.S. &amp; Canada property segment revenue.</w:t>
      </w:r>
    </w:p>
    <w:p>
      <w:pPr>
        <w:spacing w:after="0" w:line="1" w:lineRule="exact"/>
        <w:rPr>
          <w:rFonts w:ascii="Times New Roman" w:cs="Times New Roman" w:eastAsia="Times New Roman" w:hAnsi="Times New Roman"/>
          <w:sz w:val="20"/>
          <w:szCs w:val="20"/>
          <w:color w:val="231F20"/>
        </w:rPr>
      </w:pPr>
    </w:p>
    <w:p>
      <w:pPr>
        <w:ind w:left="720" w:right="160" w:hanging="370"/>
        <w:spacing w:after="0" w:line="249" w:lineRule="auto"/>
        <w:tabs>
          <w:tab w:leader="none" w:pos="720" w:val="left"/>
        </w:tabs>
        <w:numPr>
          <w:ilvl w:val="0"/>
          <w:numId w:val="9"/>
        </w:numPr>
        <w:rPr>
          <w:rFonts w:ascii="Times New Roman" w:cs="Times New Roman" w:eastAsia="Times New Roman" w:hAnsi="Times New Roman"/>
          <w:sz w:val="20"/>
          <w:szCs w:val="20"/>
          <w:b w:val="1"/>
          <w:bCs w:val="1"/>
          <w:i w:val="1"/>
          <w:iCs w:val="1"/>
          <w:color w:val="231F20"/>
        </w:rPr>
      </w:pPr>
      <w:r>
        <w:rPr>
          <w:rFonts w:ascii="Times New Roman" w:cs="Times New Roman" w:eastAsia="Times New Roman" w:hAnsi="Times New Roman"/>
          <w:sz w:val="20"/>
          <w:szCs w:val="20"/>
          <w:b w:val="1"/>
          <w:bCs w:val="1"/>
          <w:color w:val="231F20"/>
        </w:rPr>
        <w:t xml:space="preserve">Africa &amp; APAC: </w:t>
      </w:r>
      <w:r>
        <w:rPr>
          <w:rFonts w:ascii="Times New Roman" w:cs="Times New Roman" w:eastAsia="Times New Roman" w:hAnsi="Times New Roman"/>
          <w:sz w:val="20"/>
          <w:szCs w:val="20"/>
          <w:color w:val="231F20"/>
        </w:rPr>
        <w:t>Bharti Airtel Limited (“Airtel”); and MTN Group Limited (“MTN”) accounted for an aggregate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81% of Africa &amp; APAC property segment revenue.</w:t>
      </w:r>
    </w:p>
    <w:p>
      <w:pPr>
        <w:ind w:left="720" w:hanging="370"/>
        <w:spacing w:after="0"/>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Europe: </w:t>
      </w:r>
      <w:r>
        <w:rPr>
          <w:rFonts w:ascii="Times New Roman" w:cs="Times New Roman" w:eastAsia="Times New Roman" w:hAnsi="Times New Roman"/>
          <w:sz w:val="20"/>
          <w:szCs w:val="20"/>
          <w:color w:val="231F20"/>
        </w:rPr>
        <w:t>Telefónica S.A. (“Telefónica”) accounted for an aggregate of 70% of Europe property segment revenue.</w:t>
      </w:r>
    </w:p>
    <w:p>
      <w:pPr>
        <w:spacing w:after="0" w:line="10" w:lineRule="exact"/>
        <w:rPr>
          <w:rFonts w:ascii="Times New Roman" w:cs="Times New Roman" w:eastAsia="Times New Roman" w:hAnsi="Times New Roman"/>
          <w:sz w:val="20"/>
          <w:szCs w:val="20"/>
          <w:color w:val="231F20"/>
        </w:rPr>
      </w:pPr>
    </w:p>
    <w:p>
      <w:pPr>
        <w:ind w:left="720" w:right="440" w:hanging="370"/>
        <w:spacing w:after="0" w:line="260" w:lineRule="auto"/>
        <w:tabs>
          <w:tab w:leader="none" w:pos="72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Latin America: </w:t>
      </w:r>
      <w:r>
        <w:rPr>
          <w:rFonts w:ascii="Times New Roman" w:cs="Times New Roman" w:eastAsia="Times New Roman" w:hAnsi="Times New Roman"/>
          <w:sz w:val="20"/>
          <w:szCs w:val="20"/>
          <w:color w:val="231F20"/>
        </w:rPr>
        <w:t>América Móvil; AT&amp;T; Telefónica; and TIM S.p.A. accounted for an aggregate of 71% of Latin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America property segment revenue.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Accordingly, we are subject to certain risks, as set forth in Item 1A of this Annual Report under the caption “Risk Factors—A substantial portion of our current and projected future revenue is derived from a small number of customers, and we are sensitive to adverse changes in the creditworthiness and financial strength of our customers.” In addition, we are subject to risks related to our international operations, as set forth under the caption “Risk Factors—Our foreign operations are subject to economic, political and other risks that could materially and adversely affect our revenues or financial position, including risks associated with fluctuations in foreign currency exchange rates.”</w:t>
      </w:r>
    </w:p>
    <w:p>
      <w:pPr>
        <w:spacing w:after="0" w:line="12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Data Centers and Related Assets, Managed Networks, Other Telecommunications Assets, Property Interests and Shared Generators and Power Solutions. </w:t>
      </w:r>
      <w:r>
        <w:rPr>
          <w:rFonts w:ascii="Times New Roman" w:cs="Times New Roman" w:eastAsia="Times New Roman" w:hAnsi="Times New Roman"/>
          <w:sz w:val="20"/>
          <w:szCs w:val="20"/>
          <w:color w:val="231F20"/>
        </w:rPr>
        <w:t>In addition to our communications sites, we also own and operate several types of managed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network solutions, provide communications site management services to third parties, manage and lease property interests under carrier or other third-party communications sites, operate data center facilities and related assets, operate other telecommunications assets and provide back-up power sources and power solutions to tenants at our sites. The balance of our property segment revenue not attributable to our communications sites was attributable to these items.</w:t>
      </w:r>
    </w:p>
    <w:p>
      <w:pPr>
        <w:spacing w:after="0" w:line="134" w:lineRule="exact"/>
        <w:rPr>
          <w:sz w:val="20"/>
          <w:szCs w:val="20"/>
          <w:color w:val="auto"/>
        </w:rPr>
      </w:pPr>
    </w:p>
    <w:p>
      <w:pPr>
        <w:ind w:left="720" w:right="220" w:hanging="370"/>
        <w:spacing w:after="0" w:line="250" w:lineRule="auto"/>
        <w:tabs>
          <w:tab w:leader="none" w:pos="720" w:val="left"/>
        </w:tabs>
        <w:numPr>
          <w:ilvl w:val="0"/>
          <w:numId w:val="10"/>
        </w:numPr>
        <w:rPr>
          <w:rFonts w:ascii="Calibri" w:cs="Calibri" w:eastAsia="Calibri" w:hAnsi="Calibri"/>
          <w:sz w:val="20"/>
          <w:szCs w:val="20"/>
          <w:i w:val="1"/>
          <w:iCs w:val="1"/>
          <w:color w:val="231F20"/>
        </w:rPr>
      </w:pPr>
      <w:r>
        <w:rPr>
          <w:rFonts w:ascii="Times New Roman" w:cs="Times New Roman" w:eastAsia="Times New Roman" w:hAnsi="Times New Roman"/>
          <w:sz w:val="20"/>
          <w:szCs w:val="20"/>
          <w:b w:val="1"/>
          <w:bCs w:val="1"/>
          <w:color w:val="231F20"/>
        </w:rPr>
        <w:t xml:space="preserve">Data Centers and Related Assets. </w:t>
      </w:r>
      <w:r>
        <w:rPr>
          <w:rFonts w:ascii="Times New Roman" w:cs="Times New Roman" w:eastAsia="Times New Roman" w:hAnsi="Times New Roman"/>
          <w:sz w:val="20"/>
          <w:szCs w:val="20"/>
          <w:color w:val="231F20"/>
        </w:rPr>
        <w:t>We own and operate data center facilities and related assets in the United States,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which consist of specialized and secure buildings that house networking, storage and communications technology infrastructure, including servers, storage devices, switches, routers and fiber optic transmission equipment. These buildings are designed to provide the power, cooling and network connectivity necessary to efficiently operate this equipment. Data centers located at points where many communications networks converge can also function as interconnection hubs where customers are able to connect to multiple networks, cloud companies and other service providers to exchange traffic and interoperate with each other.</w:t>
      </w:r>
    </w:p>
    <w:p>
      <w:pPr>
        <w:spacing w:after="0" w:line="2" w:lineRule="exact"/>
        <w:rPr>
          <w:rFonts w:ascii="Calibri" w:cs="Calibri" w:eastAsia="Calibri" w:hAnsi="Calibri"/>
          <w:sz w:val="20"/>
          <w:szCs w:val="20"/>
          <w:i w:val="1"/>
          <w:iCs w:val="1"/>
          <w:color w:val="231F20"/>
        </w:rPr>
      </w:pPr>
    </w:p>
    <w:p>
      <w:pPr>
        <w:ind w:left="720" w:right="60" w:hanging="370"/>
        <w:spacing w:after="0" w:line="250" w:lineRule="auto"/>
        <w:tabs>
          <w:tab w:leader="none" w:pos="720" w:val="left"/>
        </w:tabs>
        <w:numPr>
          <w:ilvl w:val="0"/>
          <w:numId w:val="1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Managed Networks. </w:t>
      </w:r>
      <w:r>
        <w:rPr>
          <w:rFonts w:ascii="Times New Roman" w:cs="Times New Roman" w:eastAsia="Times New Roman" w:hAnsi="Times New Roman"/>
          <w:sz w:val="20"/>
          <w:szCs w:val="20"/>
          <w:color w:val="231F20"/>
        </w:rPr>
        <w:t>We own and operate DAS networks in the United States and certain international markets. We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obtain rights from property owners to install and operate in-building DAS networks, and we grant rights to wireless service providers to attach their equipment to our installations. We also offer a small portfolio of outdoor DAS networks as a complementary shared infrastructure solution for our tenants in the United States and in certain international markets. Typically, we have designed, built and operated our outdoor DAS networks in areas in which zoning restrictions or other barriers may prevent or delay deployment of more traditional wireless communications sites, such as macro tower sites. We also hold lease rights and easement interests on rooftops capable of hosting communications equipment in locations where towers are generally not a viable solution based on area characteristics. In addition, we provide management services to property owners in the United States who elect to retain full rights to their property while simultaneously marketing the rooftop for wireless communications equipment installation. As the demand for advanced wireless services in urban markets evolves, we continue to evaluate a variety of infrastructure solutions, including small cells and other network architectures that may support our tenants’ networks in these areas.</w:t>
      </w:r>
    </w:p>
    <w:p>
      <w:pPr>
        <w:spacing w:after="0" w:line="3" w:lineRule="exact"/>
        <w:rPr>
          <w:rFonts w:ascii="Times New Roman" w:cs="Times New Roman" w:eastAsia="Times New Roman" w:hAnsi="Times New Roman"/>
          <w:sz w:val="20"/>
          <w:szCs w:val="20"/>
          <w:b w:val="1"/>
          <w:bCs w:val="1"/>
          <w:color w:val="231F20"/>
        </w:rPr>
      </w:pPr>
    </w:p>
    <w:p>
      <w:pPr>
        <w:ind w:left="720" w:right="20" w:hanging="370"/>
        <w:spacing w:after="0" w:line="250" w:lineRule="auto"/>
        <w:tabs>
          <w:tab w:leader="none" w:pos="720" w:val="left"/>
        </w:tabs>
        <w:numPr>
          <w:ilvl w:val="0"/>
          <w:numId w:val="10"/>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b w:val="1"/>
          <w:bCs w:val="1"/>
          <w:color w:val="231F20"/>
        </w:rPr>
        <w:t xml:space="preserve">Other Telecommunications Assets. </w:t>
      </w:r>
      <w:r>
        <w:rPr>
          <w:rFonts w:ascii="Times New Roman" w:cs="Times New Roman" w:eastAsia="Times New Roman" w:hAnsi="Times New Roman"/>
          <w:sz w:val="20"/>
          <w:szCs w:val="20"/>
          <w:color w:val="231F20"/>
        </w:rPr>
        <w:t>We own and operate other telecommunications assets, including fiber and related</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assets, in certain international markets. We currently provide the right to use such fiber and related assets to communications and internet service providers and third-party operators to support their telecommunications infrastructure.</w:t>
      </w:r>
    </w:p>
    <w:p>
      <w:pPr>
        <w:spacing w:after="0" w:line="1" w:lineRule="exact"/>
        <w:rPr>
          <w:rFonts w:ascii="Times New Roman" w:cs="Times New Roman" w:eastAsia="Times New Roman" w:hAnsi="Times New Roman"/>
          <w:sz w:val="20"/>
          <w:szCs w:val="20"/>
          <w:i w:val="1"/>
          <w:iCs w:val="1"/>
          <w:color w:val="231F20"/>
        </w:rPr>
      </w:pPr>
    </w:p>
    <w:p>
      <w:pPr>
        <w:jc w:val="both"/>
        <w:ind w:left="720" w:right="340" w:hanging="370"/>
        <w:spacing w:after="0" w:line="250" w:lineRule="auto"/>
        <w:tabs>
          <w:tab w:leader="none" w:pos="720" w:val="left"/>
        </w:tabs>
        <w:numPr>
          <w:ilvl w:val="0"/>
          <w:numId w:val="1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Property Interests</w:t>
      </w:r>
      <w:r>
        <w:rPr>
          <w:rFonts w:ascii="Times New Roman" w:cs="Times New Roman" w:eastAsia="Times New Roman" w:hAnsi="Times New Roman"/>
          <w:sz w:val="20"/>
          <w:szCs w:val="20"/>
          <w:b w:val="1"/>
          <w:bCs w:val="1"/>
          <w:i w:val="1"/>
          <w:iCs w:val="1"/>
          <w:color w:val="231F20"/>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We own portfolios of property interests in Canada and the United States, including land under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carrier or other third-party communications sites, which provide recurring cash flow under complementary leasing arrangements.</w:t>
      </w:r>
    </w:p>
    <w:p>
      <w:pPr>
        <w:spacing w:after="0" w:line="1" w:lineRule="exact"/>
        <w:rPr>
          <w:rFonts w:ascii="Times New Roman" w:cs="Times New Roman" w:eastAsia="Times New Roman" w:hAnsi="Times New Roman"/>
          <w:sz w:val="20"/>
          <w:szCs w:val="20"/>
          <w:b w:val="1"/>
          <w:bCs w:val="1"/>
          <w:color w:val="231F20"/>
        </w:rPr>
      </w:pPr>
    </w:p>
    <w:p>
      <w:pPr>
        <w:jc w:val="both"/>
        <w:ind w:left="720" w:right="100" w:hanging="370"/>
        <w:spacing w:after="0" w:line="287" w:lineRule="auto"/>
        <w:tabs>
          <w:tab w:leader="none" w:pos="720" w:val="left"/>
        </w:tabs>
        <w:numPr>
          <w:ilvl w:val="0"/>
          <w:numId w:val="10"/>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b w:val="1"/>
          <w:bCs w:val="1"/>
          <w:color w:val="231F20"/>
        </w:rPr>
        <w:t>Shared Generators and Power Solutions</w:t>
      </w:r>
      <w:r>
        <w:rPr>
          <w:rFonts w:ascii="Times New Roman" w:cs="Times New Roman" w:eastAsia="Times New Roman" w:hAnsi="Times New Roman"/>
          <w:sz w:val="19"/>
          <w:szCs w:val="19"/>
          <w:b w:val="1"/>
          <w:bCs w:val="1"/>
          <w:i w:val="1"/>
          <w:iCs w:val="1"/>
          <w:color w:val="231F20"/>
        </w:rPr>
        <w: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We have contracts with certain of our tower tenants pursuant to which we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provide access to shared backup power generators in the United States. In Africa, we also have contracts to power our</w:t>
      </w:r>
    </w:p>
    <w:p>
      <w:pPr>
        <w:sectPr>
          <w:pgSz w:w="11880" w:h="15480" w:orient="portrait"/>
          <w:cols w:equalWidth="0" w:num="1">
            <w:col w:w="10240"/>
          </w:cols>
          <w:pgMar w:left="820" w:top="389" w:right="82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240"/>
          </w:cols>
          <w:pgMar w:left="820" w:top="389" w:right="820" w:bottom="0" w:gutter="0" w:footer="0" w:header="0"/>
          <w:type w:val="continuous"/>
        </w:sectPr>
      </w:pPr>
    </w:p>
    <w:bookmarkStart w:id="17" w:name="page18"/>
    <w:bookmarkEnd w:id="17"/>
    <w:p>
      <w:pPr>
        <w:ind w:left="720" w:right="500"/>
        <w:spacing w:after="0" w:line="281" w:lineRule="auto"/>
        <w:rPr>
          <w:sz w:val="20"/>
          <w:szCs w:val="20"/>
          <w:color w:val="auto"/>
        </w:rPr>
      </w:pPr>
      <w:r>
        <w:rPr>
          <w:rFonts w:ascii="Times New Roman" w:cs="Times New Roman" w:eastAsia="Times New Roman" w:hAnsi="Times New Roman"/>
          <w:sz w:val="20"/>
          <w:szCs w:val="20"/>
          <w:color w:val="231F20"/>
        </w:rPr>
        <w:t>tower tenants’ equipment through the use of shared infrastructure assets, primarily consisting of generators, solar panels and electricity storage solutions.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Services Operations</w:t>
      </w:r>
    </w:p>
    <w:p>
      <w:pPr>
        <w:spacing w:after="0" w:line="17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231F20"/>
        </w:rPr>
        <w:t>We offer tower-related services in the United States, including site application, zoning and permitting, structural and mount analyses, and construction management services, together with program management offerings that support customer deployment needs from project scoping through construction. Our services operations primarily support our site leasing business, including through the addition of new tenants and equipment on our sites. This segment accounted for 3%, 2% and 1% of our total revenue for the years ended December 31, 2025, 2024 and 2023, respectively.</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i w:val="1"/>
          <w:iCs w:val="1"/>
          <w:color w:val="231F20"/>
        </w:rPr>
        <w:t>Site Application, Zoning and Permitting</w:t>
      </w:r>
      <w:r>
        <w:rPr>
          <w:rFonts w:ascii="Times New Roman" w:cs="Times New Roman" w:eastAsia="Times New Roman" w:hAnsi="Times New Roman"/>
          <w:sz w:val="20"/>
          <w:szCs w:val="20"/>
          <w:color w:val="231F20"/>
        </w:rPr>
        <w:t>. We engage in site application services on our own behalf in connection with our tower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development projects, as well as on behalf of our tenants. We typically work with our tenants’ engineers to determine the geographic areas where new communications sites will best address the tenants’ needs and meet their coverage objectives. Once a new site is identified, we acquire the rights to the land or structure on which the site will be constructed, and we manage the permitting process to ensure all necessary approvals are obtained to construct and operate the communications site.</w:t>
      </w:r>
    </w:p>
    <w:p>
      <w:pPr>
        <w:spacing w:after="0" w:line="11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i w:val="1"/>
          <w:iCs w:val="1"/>
          <w:color w:val="231F20"/>
        </w:rPr>
        <w:t xml:space="preserve">Structural and Mount Analyses. </w:t>
      </w:r>
      <w:r>
        <w:rPr>
          <w:rFonts w:ascii="Times New Roman" w:cs="Times New Roman" w:eastAsia="Times New Roman" w:hAnsi="Times New Roman"/>
          <w:sz w:val="20"/>
          <w:szCs w:val="20"/>
          <w:color w:val="231F20"/>
        </w:rPr>
        <w:t>We offer structural and mount analyses services to wireless carriers in connection with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installation of their communications equipment on our towers. Our team of engineers can evaluate whether a tower structure can support the additional burden of the new equipment or if an upgrade is needed, and whether the proposed mount configurations will be capable of supporting the required loads in accordance with applicable standards. This enables our tenants to better assess potential sites before making an installation decision. Our structural and mount analyses capabilities enable us to provide higher quality service to our existing tenants by, among other things, reducing the time required to achieve on-air readiness, while also providing opportunities to offer structural and mount analyses services to third parties.</w:t>
      </w:r>
    </w:p>
    <w:p>
      <w:pPr>
        <w:spacing w:after="0" w:line="18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i w:val="1"/>
          <w:iCs w:val="1"/>
          <w:color w:val="231F20"/>
        </w:rPr>
        <w:t xml:space="preserve">Construction Management. </w:t>
      </w:r>
      <w:r>
        <w:rPr>
          <w:rFonts w:ascii="Times New Roman" w:cs="Times New Roman" w:eastAsia="Times New Roman" w:hAnsi="Times New Roman"/>
          <w:sz w:val="20"/>
          <w:szCs w:val="20"/>
          <w:color w:val="231F20"/>
        </w:rPr>
        <w:t>We offer construction management services to wireless carriers in connection with the deployment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their networks on our tower sites. Our construction management team oversees construction activities such as contractor sourcing, contractor selection and management, materials management, on-site quality control and closeout documentation for new installations or modifications. Our construction management capabilities enable us to provide efficient deployment to the carriers while ensuring that the construction work meets our quality control standards.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Strategy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Operational Strategy</w:t>
      </w:r>
    </w:p>
    <w:p>
      <w:pPr>
        <w:spacing w:after="0" w:line="17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231F20"/>
        </w:rPr>
        <w:t>As wireless communications technologies advance and the use of wireless services on handsets, tablets and other advanced mobile devices grows, there is a corresponding increase in demand for the communications infrastructure required to facilitate ever growing network demand. To capture this demand, our primary operational focus is to (i) increase the occupancy of our existing communications real estate portfolio to support global connectivity, (ii) invest in, and selectively grow, our communications real estate portfolio and service offerings, including through platform expansion initiatives, (iii) further improve our operational performance and efficiency and (iv) maintain a strong balance sheet. We believe these efforts to meet our customers’ needs will support and enhance our ability to capitalize on the growth in demand for wireless infrastructure. In addition, we expect to explore new opportunities to enhance or extend our shared communications infrastructure businesses, including those that may make our assets incrementally more attractive to new customers, or to existing customers for new uses, and those that increase our operational efficiency.</w:t>
      </w:r>
    </w:p>
    <w:p>
      <w:pPr>
        <w:spacing w:after="0" w:line="132" w:lineRule="exact"/>
        <w:rPr>
          <w:sz w:val="20"/>
          <w:szCs w:val="20"/>
          <w:color w:val="auto"/>
        </w:rPr>
      </w:pPr>
    </w:p>
    <w:p>
      <w:pPr>
        <w:ind w:left="720" w:right="40" w:hanging="370"/>
        <w:spacing w:after="0" w:line="252" w:lineRule="auto"/>
        <w:tabs>
          <w:tab w:leader="none" w:pos="72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Increase the occupancy of our existing communications real estate portfolio to support global connectivity. </w:t>
      </w:r>
      <w:r>
        <w:rPr>
          <w:rFonts w:ascii="Times New Roman" w:cs="Times New Roman" w:eastAsia="Times New Roman" w:hAnsi="Times New Roman"/>
          <w:sz w:val="20"/>
          <w:szCs w:val="20"/>
          <w:color w:val="231F20"/>
        </w:rPr>
        <w:t>We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believe that our highest incremental returns will be achieved by leasing additional space on our existing communications sites. Increasing demand for wireless services in our served markets has resulted in significant capital spending by major wireless carriers and other connectivity providers. As a result, we anticipate growing demand for our communications sites because they are attractively located and typically have capacity available for additional tenants and equipment. In the United States, incremental carrier network activity is being driven by ongoing 5G network deployments. In our international markets, carriers are increasingly deploying more advanced network technologies such as 4G and, in the case of our international markets with more mature network technology, 5G, while continuing to selectively augment legacy networks. We believe that the majority of our towers have capacity for additional tenants and that substantially all of our towers that are currently at or near full structural capacity can be upgraded or augmented to meet future tenant demand with relatively modest capital investment. Therefore, we will continue to target our sales and marketing activities to increase the utilization and return on investment of our existing communications sites.</w:t>
      </w:r>
    </w:p>
    <w:p>
      <w:pPr>
        <w:spacing w:after="0" w:line="4" w:lineRule="exact"/>
        <w:rPr>
          <w:rFonts w:ascii="Times New Roman" w:cs="Times New Roman" w:eastAsia="Times New Roman" w:hAnsi="Times New Roman"/>
          <w:sz w:val="20"/>
          <w:szCs w:val="20"/>
          <w:color w:val="231F20"/>
        </w:rPr>
      </w:pPr>
    </w:p>
    <w:p>
      <w:pPr>
        <w:ind w:left="720" w:right="120" w:hanging="370"/>
        <w:spacing w:after="0" w:line="275" w:lineRule="auto"/>
        <w:tabs>
          <w:tab w:leader="none" w:pos="72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color w:val="231F20"/>
        </w:rPr>
        <w:t xml:space="preserve">Invest in and selectively grow our communications real estate portfolio to meet our customers’ needs. </w:t>
      </w:r>
      <w:r>
        <w:rPr>
          <w:rFonts w:ascii="Times New Roman" w:cs="Times New Roman" w:eastAsia="Times New Roman" w:hAnsi="Times New Roman"/>
          <w:sz w:val="19"/>
          <w:szCs w:val="19"/>
          <w:color w:val="231F20"/>
        </w:rPr>
        <w:t>We seek</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opportunities to invest in and grow our operations through our capital expenditure program, acquisitions and platform expansion initiatives. A significant portion of our inorganic growth has been focused on properties with lower initial</w:t>
      </w:r>
    </w:p>
    <w:p>
      <w:pPr>
        <w:sectPr>
          <w:pgSz w:w="11880" w:h="15480" w:orient="portrait"/>
          <w:cols w:equalWidth="0" w:num="1">
            <w:col w:w="10240"/>
          </w:cols>
          <w:pgMar w:left="820" w:top="393" w:right="820" w:bottom="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240"/>
          </w:cols>
          <w:pgMar w:left="820" w:top="393" w:right="820" w:bottom="0" w:gutter="0" w:footer="0" w:header="0"/>
          <w:type w:val="continuous"/>
        </w:sectPr>
      </w:pPr>
    </w:p>
    <w:bookmarkStart w:id="18" w:name="page19"/>
    <w:bookmarkEnd w:id="18"/>
    <w:p>
      <w:pPr>
        <w:ind w:left="720" w:right="40"/>
        <w:spacing w:after="0" w:line="253" w:lineRule="auto"/>
        <w:rPr>
          <w:sz w:val="20"/>
          <w:szCs w:val="20"/>
          <w:color w:val="auto"/>
        </w:rPr>
      </w:pPr>
      <w:r>
        <w:rPr>
          <w:rFonts w:ascii="Times New Roman" w:cs="Times New Roman" w:eastAsia="Times New Roman" w:hAnsi="Times New Roman"/>
          <w:sz w:val="20"/>
          <w:szCs w:val="20"/>
          <w:color w:val="231F20"/>
        </w:rPr>
        <w:t>tenancy because we believe that over time we can significantly increase tenancy levels, and therefore, drive strong returns on those assets. More recently, we have invested in strategic data center assets, including through our acquisition of CoreSite Realty Corporation (“CoreSite”) in late 2021 (the “CoreSite Acquisition”), which we believe can drive strong, recurring growth and also meaningfully enhance the value of our existing communications tower real estate through emerging edge compute opportunities in the future. We also expect to explore additional ways to use our platform expansion initiatives to enhance the efficiency of our operations over time.</w:t>
      </w:r>
    </w:p>
    <w:p>
      <w:pPr>
        <w:spacing w:after="0" w:line="6" w:lineRule="exact"/>
        <w:rPr>
          <w:sz w:val="20"/>
          <w:szCs w:val="20"/>
          <w:color w:val="auto"/>
        </w:rPr>
      </w:pPr>
    </w:p>
    <w:p>
      <w:pPr>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Further improve our operational performance and efficiency. </w:t>
      </w:r>
      <w:r>
        <w:rPr>
          <w:rFonts w:ascii="Times New Roman" w:cs="Times New Roman" w:eastAsia="Times New Roman" w:hAnsi="Times New Roman"/>
          <w:sz w:val="20"/>
          <w:szCs w:val="20"/>
          <w:color w:val="231F20"/>
        </w:rPr>
        <w:t>We continue to seek opportunities to improve our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operational performance throughout the organization. This includes investing in our systems and people as we strive to improve efficiency and provide superior service to our customers. To achieve this, we intend to continue to focus on customer service initiatives, such as reducing cycle times for key functions, including lease processing and tower structural analysis. We are also focused on developing and implementing power solutions across our footprint to help improve the overall efficiency of the communications infrastructure and wireless industries through our power as a service (PaaS) initiatives.</w:t>
      </w:r>
    </w:p>
    <w:p>
      <w:pPr>
        <w:spacing w:after="0" w:line="3" w:lineRule="exact"/>
        <w:rPr>
          <w:rFonts w:ascii="Times New Roman" w:cs="Times New Roman" w:eastAsia="Times New Roman" w:hAnsi="Times New Roman"/>
          <w:sz w:val="20"/>
          <w:szCs w:val="20"/>
          <w:color w:val="231F20"/>
        </w:rPr>
      </w:pPr>
    </w:p>
    <w:p>
      <w:pPr>
        <w:ind w:left="720" w:hanging="370"/>
        <w:spacing w:after="0" w:line="252" w:lineRule="auto"/>
        <w:tabs>
          <w:tab w:leader="none" w:pos="7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Maintain a strong balance sheet. </w:t>
      </w:r>
      <w:r>
        <w:rPr>
          <w:rFonts w:ascii="Times New Roman" w:cs="Times New Roman" w:eastAsia="Times New Roman" w:hAnsi="Times New Roman"/>
          <w:sz w:val="20"/>
          <w:szCs w:val="20"/>
          <w:color w:val="231F20"/>
        </w:rPr>
        <w:t>We remain committed to disciplined financial policies, which we believe result in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our ability to maintain a strong balance sheet and will support our overall strategy and focus on asset growth and operational excellence. As a result of these policies, we currently have investment grade credit ratings. We continue to focus on maintaining a robust liquidity position and, as of December 31, 2025, had $11.1 billion of available liquidity. We believe that our investment grade credit ratings provide us consistent access to the capital markets and our liquidity provides us the ability to continue to invest in growing and augmenting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Capital Allocation Strategy</w:t>
      </w:r>
    </w:p>
    <w:p>
      <w:pPr>
        <w:spacing w:after="0" w:line="1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The objective of our capital allocation strategy is to simultaneously increase adjusted funds from operations per share and our return on invested capital over the long term. To maintain our qualification for taxation as a REIT, we are required annually to distribute an amount equal to at least 90% of our REIT taxable income (determined before the deduction for distributed earnings and excluding any net capital gain) to our stockholders. After complying with our REIT distribution requirements, we plan to continue to allocate our available capital among investment alternatives that meet or exceed our return on investment criteria, while taking into account the repayment of debt consistent with our financial policies. On an ongoing basis, we also perform a comprehensive assessment of our global operations to ensure our portfolio is positioned to drive sustained growth and achieve our risk-adjusted return objectives. This assessment can influence our decisions on future capital allocation priorities between certain countries and assets, and may result in our decision to prioritize investments into developed markets, including the U.S. &amp; Canada, Europe and the data centers markets. Conversely, this assessment can influence our decision to divest a portion, or all, of certain assets, including our Mexico fiber and Poland businesses in 2023, our Australia, India and New Zealand businesses in 2024 and our South Africa fiber business in 2025, and repurpose proceeds, and potential future capital, to other capital priorities, including investments into developed markets.</w:t>
      </w:r>
    </w:p>
    <w:p>
      <w:pPr>
        <w:spacing w:after="0" w:line="124" w:lineRule="exact"/>
        <w:rPr>
          <w:sz w:val="20"/>
          <w:szCs w:val="20"/>
          <w:color w:val="auto"/>
        </w:rPr>
      </w:pPr>
    </w:p>
    <w:p>
      <w:pPr>
        <w:ind w:left="720" w:hanging="370"/>
        <w:spacing w:after="0" w:line="256" w:lineRule="auto"/>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Capital expenditure program. </w:t>
      </w:r>
      <w:r>
        <w:rPr>
          <w:rFonts w:ascii="Times New Roman" w:cs="Times New Roman" w:eastAsia="Times New Roman" w:hAnsi="Times New Roman"/>
          <w:sz w:val="20"/>
          <w:szCs w:val="20"/>
          <w:color w:val="231F20"/>
        </w:rPr>
        <w:t>We expect to continue to invest in and expand our existing communications real estate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portfolio through our capital expenditure program. This includes capital expenditures associated with site maintenance, increasing the capacity of our existing sites and projects such as new site and data center facility construction, land interest acquisitions and power solutions.</w:t>
      </w:r>
    </w:p>
    <w:p>
      <w:pPr>
        <w:spacing w:after="0" w:line="2" w:lineRule="exact"/>
        <w:rPr>
          <w:rFonts w:ascii="Times New Roman" w:cs="Times New Roman" w:eastAsia="Times New Roman" w:hAnsi="Times New Roman"/>
          <w:sz w:val="20"/>
          <w:szCs w:val="20"/>
          <w:color w:val="231F20"/>
        </w:rPr>
      </w:pPr>
    </w:p>
    <w:p>
      <w:pPr>
        <w:ind w:left="720" w:right="20" w:hanging="370"/>
        <w:spacing w:after="0" w:line="250" w:lineRule="auto"/>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 xml:space="preserve">Acquisitions. </w:t>
      </w:r>
      <w:r>
        <w:rPr>
          <w:rFonts w:ascii="Times New Roman" w:cs="Times New Roman" w:eastAsia="Times New Roman" w:hAnsi="Times New Roman"/>
          <w:sz w:val="20"/>
          <w:szCs w:val="20"/>
          <w:color w:val="231F20"/>
        </w:rPr>
        <w:t>We intend to continue to pursue acquisitions of communications sites and other telecommunications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infrastructure in our existing or new markets where we can meet or exceed our risk-adjusted return on investment criteria. The risk-adjusted hurdle rates used to evaluate acquisition opportunities consider additional factors such as the country and counterparties involved, investment and economic climate, legal and regulatory conditions and industry risk, among others.</w:t>
      </w:r>
    </w:p>
    <w:p>
      <w:pPr>
        <w:spacing w:after="0" w:line="2" w:lineRule="exact"/>
        <w:rPr>
          <w:rFonts w:ascii="Times New Roman" w:cs="Times New Roman" w:eastAsia="Times New Roman" w:hAnsi="Times New Roman"/>
          <w:sz w:val="20"/>
          <w:szCs w:val="20"/>
          <w:color w:val="231F20"/>
        </w:rPr>
      </w:pPr>
    </w:p>
    <w:p>
      <w:pPr>
        <w:ind w:left="720" w:right="40" w:hanging="370"/>
        <w:spacing w:after="0" w:line="253" w:lineRule="auto"/>
        <w:tabs>
          <w:tab w:leader="none" w:pos="720"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b w:val="1"/>
          <w:bCs w:val="1"/>
          <w:color w:val="231F20"/>
        </w:rPr>
        <w:t>Return excess capital to stockholders</w:t>
      </w:r>
      <w:r>
        <w:rPr>
          <w:rFonts w:ascii="Times New Roman" w:cs="Times New Roman" w:eastAsia="Times New Roman" w:hAnsi="Times New Roman"/>
          <w:sz w:val="20"/>
          <w:szCs w:val="20"/>
          <w:color w:val="231F20"/>
        </w:rPr>
        <w:t>. If we have excess capital available after funding (i) our required distributions,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(ii) capital expenditures, (iii) the repayment of debt consistent with our financial policies and (iv) anticipated future investments, including acquisition and select platform expansion opportunities, we will seek to return such excess capital to stockholders, including through our stock repurchase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International Strategy</w:t>
      </w:r>
    </w:p>
    <w:p>
      <w:pPr>
        <w:spacing w:after="0" w:line="17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Our international strategy incorporates portfolio analysis, capital prioritization and the disciplined management of overseas cash, including repatriation where feasible.</w:t>
      </w:r>
    </w:p>
    <w:p>
      <w:pPr>
        <w:spacing w:after="0" w:line="101" w:lineRule="exact"/>
        <w:rPr>
          <w:sz w:val="20"/>
          <w:szCs w:val="20"/>
          <w:color w:val="auto"/>
        </w:rPr>
      </w:pPr>
    </w:p>
    <w:p>
      <w:pPr>
        <w:jc w:val="both"/>
        <w:ind w:right="260"/>
        <w:spacing w:after="0" w:line="286" w:lineRule="auto"/>
        <w:rPr>
          <w:sz w:val="20"/>
          <w:szCs w:val="20"/>
          <w:color w:val="auto"/>
        </w:rPr>
      </w:pPr>
      <w:r>
        <w:rPr>
          <w:rFonts w:ascii="Times New Roman" w:cs="Times New Roman" w:eastAsia="Times New Roman" w:hAnsi="Times New Roman"/>
          <w:sz w:val="19"/>
          <w:szCs w:val="19"/>
          <w:color w:val="231F20"/>
        </w:rPr>
        <w:t>We believe that, in certain international markets, we can create value by expanding our existing, communications real estate leasing business, and leveraging our shared global experience, capabilities and services, to deliver a best-in-class offering for our customers and attractive risk-adjusted return for our shareholders. We strive to maintain a diversified approach to our</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240"/>
          </w:cols>
          <w:pgMar w:left="820" w:top="393" w:right="820" w:bottom="0" w:gutter="0" w:footer="0" w:header="0"/>
          <w:type w:val="continuous"/>
        </w:sectPr>
      </w:pPr>
    </w:p>
    <w:bookmarkStart w:id="19" w:name="page20"/>
    <w:bookmarkEnd w:id="19"/>
    <w:p>
      <w:pPr>
        <w:ind w:right="600"/>
        <w:spacing w:after="0" w:line="281" w:lineRule="auto"/>
        <w:rPr>
          <w:sz w:val="20"/>
          <w:szCs w:val="20"/>
          <w:color w:val="auto"/>
        </w:rPr>
      </w:pPr>
      <w:r>
        <w:rPr>
          <w:rFonts w:ascii="Times New Roman" w:cs="Times New Roman" w:eastAsia="Times New Roman" w:hAnsi="Times New Roman"/>
          <w:sz w:val="20"/>
          <w:szCs w:val="20"/>
          <w:color w:val="231F20"/>
        </w:rPr>
        <w:t>international strategy by operating in a geographically diverse array of markets in a variety of stages of wireless network development.</w:t>
      </w:r>
    </w:p>
    <w:p>
      <w:pPr>
        <w:spacing w:after="0" w:line="10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231F20"/>
        </w:rPr>
        <w:t>Specifically as part of our ongoing portfolio analysis, we conduct an extensive review of a particular country’s historical and projected macroeconomic fundamentals, including inflation and foreign currency exchange rate trends, demographics, capital markets, tax regime and investment alternatives, and the general business, political and legal environments, including property rights and regulatory regime. We also analyze (i) the competitiveness of the country’s wireless market and (ii) how a particular market fits within our long-term strategic objectives.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Regulatory Matters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i w:val="1"/>
          <w:iCs w:val="1"/>
          <w:color w:val="231F20"/>
        </w:rPr>
        <w:t xml:space="preserve">Towers, Antennas and Fiber. </w:t>
      </w:r>
      <w:r>
        <w:rPr>
          <w:rFonts w:ascii="Times New Roman" w:cs="Times New Roman" w:eastAsia="Times New Roman" w:hAnsi="Times New Roman"/>
          <w:sz w:val="20"/>
          <w:szCs w:val="20"/>
          <w:color w:val="231F20"/>
        </w:rPr>
        <w:t>Our U.S. and international tower leasing businesses are subject to national, state and local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regulatory requirements with respect to the registration, siting, construction, lighting, marking and maintenance of our towers. In the United States, the construction of new towers or modifications to existing towers may require pre-approval by the Federal Communications Commission (“FCC”) and the Federal Aviation Administration (“FAA”), depending on factors such as tower height and proximity to public airfields. Towers requiring pre-approval must be registered with the FCC and maintained in accordance with FAA standards. Similar requirements regarding pre-approval of the construction and modification of towers are imposed by regulators in other countries. Non-compliance with applicable tower-related requirements may lead to monetary penalties or site deconstruction orders.</w:t>
      </w:r>
    </w:p>
    <w:p>
      <w:pPr>
        <w:spacing w:after="0" w:line="129"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20"/>
          <w:szCs w:val="20"/>
          <w:color w:val="231F20"/>
        </w:rPr>
        <w:t>Certain of our international operations are subject to regulatory requirements with respect to licensing, registration and permitting.</w:t>
      </w:r>
    </w:p>
    <w:p>
      <w:pPr>
        <w:spacing w:after="0" w:line="10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In Africa &amp; APAC, our subsidiaries in Burkina Faso, Ghana, Kenya, Niger, Nigeria and Uganda are required to hold a license in order to establish and maintain passive telecommunications infrastructure services and DAS networks for communications service providers. Our subsidiaries in the Philippines and Bangladesh are required to hold a registration or license in order to establish, manage and operate passive telecommunications infrastructure services.</w:t>
      </w:r>
    </w:p>
    <w:p>
      <w:pPr>
        <w:spacing w:after="0" w:line="1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In Latin America, our subsidiary in Chile holds a concession of intermediate telecommunications services and our subsidiary in Argentina holds an information and communications technology service license. In Peru, our subsidiaries are registered as infrastructure providers. The subsidiary that holds our fiber business in Brazil is also licensed and regulated as an authorization holder to provide telecommunications services. In certain of the markets in which we operate, we are required to provide tower space to service providers on a non-discriminatory basis, subject to the negotiation of mutually agreeable terms. Additionally, one of our Brazilian subsidiaries, American Tower do Brasil – Cessao de Infraestruturas S.A. (“ATC Brazil”) issued non-convertible debentures in 2023 and in 2025, which are listed on the Brazilian stock exchange. Although the non-convertible debentures are held by another subsidiary of ours and are eliminated in consolidation, ATC Brazil is still subject to the listing requirements of such exchange.</w:t>
      </w:r>
    </w:p>
    <w:p>
      <w:pPr>
        <w:spacing w:after="0" w:line="1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231F20"/>
        </w:rPr>
        <w:t>Our international business operations may be subject to increased licensing fees or ownership restrictions. For example, in South Africa, the Broad-Based Black Economic Empowerment Act, 2003 (the “BBBEE Act”) has established a legislative framework for the promotion of economic empowerment of South African citizens disadvantaged by Apartheid. Accordingly, the BBBEE Act and related codes measure BBBEE Act compliance and good corporate practice by the inclusion of certain ownership, management control, employment equity and other metrics for companies that do business there. Our foreign operations may be affected if a country’s regulatory authority restricts, revokes or modifies spectrum licenses of certain wireless service providers or implements modifications or limitations on foreign ownership.</w:t>
      </w:r>
    </w:p>
    <w:p>
      <w:pPr>
        <w:spacing w:after="0" w:line="13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In all countries where we operate, we are subject to zoning restrictions and restrictive covenants imposed by local authorities or community organizations. While these regulations vary, they typically require tower owners or tenants to obtain approval from local authorities, environmental bodies or community standards organizations prior to tower construction or the addition of a new antenna to an existing tower. Local zoning authorities and community residents periodically oppose construction in their communities, which can delay or prevent new tower construction, new antenna installation or site upgrade projects, thereby limiting our ability to respond to tenant demand. This opposition and existing or new zoning, environmental or aviation regulations can increase costs associated with new tower construction, tower modifications or additions of new antennas to a site or site upgrades, as well as adversely affect the associated timing or cost of such projects. Further, additional regulations may be adopted that cause delays or result in additional costs to us or changes in the competitive landscape that may negatively affect our business. In addition, certain municipalities have sought to impose permit fees based upon structural or operational requirements of towers and certain regional and other governmental bodies have sought to impose levies or other forms of fees. These factors could materially and adversely affect our operations. In the United States, the Telecommunications Act of 1996 prohibits any action by state and local authorities that would discriminate between different providers of wireless services or ban altogether the construction, modification or placement of communications sites. It also prohibits state or local restrictions</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240"/>
          </w:cols>
          <w:pgMar w:left="820" w:top="393" w:right="820" w:bottom="0" w:gutter="0" w:footer="0" w:header="0"/>
          <w:type w:val="continuous"/>
        </w:sectPr>
      </w:pPr>
    </w:p>
    <w:bookmarkStart w:id="20" w:name="page21"/>
    <w:bookmarkEnd w:id="20"/>
    <w:p>
      <w:pPr>
        <w:ind w:right="20"/>
        <w:spacing w:after="0" w:line="266" w:lineRule="auto"/>
        <w:rPr>
          <w:sz w:val="20"/>
          <w:szCs w:val="20"/>
          <w:color w:val="auto"/>
        </w:rPr>
      </w:pPr>
      <w:r>
        <w:rPr>
          <w:rFonts w:ascii="Times New Roman" w:cs="Times New Roman" w:eastAsia="Times New Roman" w:hAnsi="Times New Roman"/>
          <w:sz w:val="20"/>
          <w:szCs w:val="20"/>
          <w:color w:val="231F20"/>
        </w:rPr>
        <w:t>based on the environmental effects of radio frequency emissions to the extent the facilities comply with FCC regulations. Further, in February 2012, the United States government adopted regulations requiring that local and state governments approve modifications or colocations that qualify as eligible facilities under the regulations.</w:t>
      </w:r>
    </w:p>
    <w:p>
      <w:pPr>
        <w:spacing w:after="0" w:line="1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Portions of our business are subject to additional regulations, for example, in a number of states throughout the United States, certain of our subsidiaries hold Competitive Local Exchange Carrier (CLEC) or other status, in connection with the operation of our outdoor DAS networks business. In addition, we, or our customers, may be subject to new regulatory policies in certain jurisdictions from time to time that may materially and adversely affect our business or the demand for our communications sites.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Data Centers. </w:t>
      </w:r>
      <w:r>
        <w:rPr>
          <w:rFonts w:ascii="Times New Roman" w:cs="Times New Roman" w:eastAsia="Times New Roman" w:hAnsi="Times New Roman"/>
          <w:sz w:val="20"/>
          <w:szCs w:val="20"/>
          <w:color w:val="231F20"/>
        </w:rPr>
        <w:t>Our U.S. data center facilities and related assets are subject to various federal, state and local regulations, such 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state and local fire and life safety regulations and Americans with Disabilities Act (“ADA”) federal requirements. If one of our properties is not in compliance with these regulations, we may be required to make significant unanticipated expenditures in order to comply with such regulations and/or pay fines or civil damage awards. Existing regulations may subsequently change or future regulations may be enacted, either of which could have a similar impact as described above, and could materially and adversely affect our operations.</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In some markets, our data centers are subject to zoning restrictions imposed by local authorities. While these regulations vary, they may require data center operators to obtain approval from local authorities or environmental bodies prior to data center construction or modification of an existing facility. Local authorities and community residents periodically oppose construction in their communities, which can delay or prevent new data center construction, thereby limiting our ability to respond to tenant demand. This opposition and existing or new zoning or environmental regulations can increase costs associated with new data center construction or modifications to existing facilities, as well as adversely affect the associated timing or cost of such projects.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i w:val="1"/>
          <w:iCs w:val="1"/>
          <w:color w:val="231F20"/>
        </w:rPr>
        <w:t xml:space="preserve">Environmental Matters. </w:t>
      </w:r>
      <w:r>
        <w:rPr>
          <w:rFonts w:ascii="Times New Roman" w:cs="Times New Roman" w:eastAsia="Times New Roman" w:hAnsi="Times New Roman"/>
          <w:sz w:val="20"/>
          <w:szCs w:val="20"/>
          <w:color w:val="231F20"/>
        </w:rPr>
        <w:t>Our U.S. and international operations are subject to various national, state and local environmental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laws and regulations, including those relating to the management, use, storage, disposal, emission and remediation of, and exposure to, hazardous and non-hazardous substances, materials and wastes, the siting of our towers and the maintenance of our data center facilities. We may be required to obtain permits, pay additional property taxes, comply with regulatory requirements and make certain informational filings related to hazardous substances or devices used to provide power such as batteries, generators and fuel at our tower sites and/or data center facilities. When a site is decommissioned, we are required to follow applicable regulatory requirements, including by following decommissioning procedures and environmental management plans. With respect to our data center facilities, the presence of contamination, asbestos, lead or lead-based paint, mold or other air quality issues or the failure to remediate contamination, asbestos, lead or lead-based paint, mold or other air quality issues at our facilities may expose us to third-party liability or materially and adversely affect our ability to sell, lease or develop the real estate or to borrow using the real estate as collateral. Violations of these types of regulations could subject us to fines or criminal sanctions.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Additionally, in the United States and in other countries where we operate, before constructing a new tower or adding an antenna to an existing site, we must review and evaluate the impact of the action to determine whether it may significantly affect the environment and whether we must disclose any significant impacts in an environmental assessment. If a tower or new antenna might have a material adverse impact on the environment, FCC or other governmental approval of the tower or antenna could be significantly delayed or modifications to the site construction plans may be necessary.</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The U.S. Environmental Protection Agency, or EPA, some of the states and localities in which we operate and the governments of other countries in which we operate have also enacted or proposed certain climate-related disclosures and may adopt new regulations related to the use of fossil fuels or requiring the use of alternative fuel or renewable energy sources to power energy resources that serve our data centers. Efforts to support and enhance renewable electricity generation may increase our costs of electricity above those that would be incurred through procurement of conventionally generated electricity. Our data centers require and consume significant amounts of power, including electricity generated by the burning of fossil fuels. These laws, regulations and stakeholder requests could limit our ability to develop new facilities or result in substantial compliance, maintenance, repair, retrofit and construction costs, including capital expenditures for environmental control facilities and other new equipment. Changes in regulations that affect electric power providers, such as regulations related to the control of greenhouse gas emissions or other climate change-related matters, could adversely affect the costs of electric power and increase our operating costs, which could adversely affect our business, financial condition and results of operations or those of our customers. See “Risk Factors” in Item 1A of this Annual Report for more information on our data center-related risks.</w:t>
      </w:r>
    </w:p>
    <w:p>
      <w:pPr>
        <w:spacing w:after="0" w:line="120"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9"/>
          <w:szCs w:val="19"/>
          <w:i w:val="1"/>
          <w:iCs w:val="1"/>
          <w:color w:val="231F20"/>
        </w:rPr>
        <w:t xml:space="preserve">Health and Safety. </w:t>
      </w:r>
      <w:r>
        <w:rPr>
          <w:rFonts w:ascii="Times New Roman" w:cs="Times New Roman" w:eastAsia="Times New Roman" w:hAnsi="Times New Roman"/>
          <w:sz w:val="19"/>
          <w:szCs w:val="19"/>
          <w:color w:val="231F20"/>
        </w:rPr>
        <w:t>In the United States and in other countries where we operate, we are subject to various national, state and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local laws regarding employee health and safety, including protection from radio frequency exposure and air quality issues.</w:t>
      </w:r>
    </w:p>
    <w:p>
      <w:pPr>
        <w:sectPr>
          <w:pgSz w:w="11880" w:h="15480" w:orient="portrait"/>
          <w:cols w:equalWidth="0" w:num="1">
            <w:col w:w="10260"/>
          </w:cols>
          <w:pgMar w:left="82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260"/>
          </w:cols>
          <w:pgMar w:left="820" w:top="393" w:right="80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7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231F20"/>
        </w:rPr>
        <w:t>Our industry is highly competitive. There are frequently new market participants that create additional competition. We compete, both for new business and for the acquisition of assets, with other public tower companies, such as Crown Castle International Corp., SBA Communications Corporation, Vertical Bridge, Telesites S.A.B. de C.V. and Cellnex Telecom, S.A., wireless carrier tower consortia and private tower companies, private equity sponsored firms, carrier-affiliated tower companies, independent wireless carriers, tower owners, broadcasters and owners of non-communications sites, including rooftops, utility towers, water towers and other alternative structures. Our data center business also competes with a variety of companies offering similar data center solutions and services, including space, power, interconnection and development services. We believe that location and capacity, grid distribution constraints, network and/or interconnection density, price, quality and speed of service have been, and will continue to be, significant competitive factors affecting owners, operators and managers of communications sites and data center facilities.</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Our services business competes with a variety of companies offering individual, or combinations of, competing services. The field of competitors includes site application consultants, zoning consultants, real estate firms, right-of-way consultants, structural engineering firms, construction management firms, tower owners/managers, telecommunications equipment vendors who can provide turnkey site development services through multiple subcontractors and our tenants’ personnel. We believe that our tenants base their decisions for services on various criteria, including a company’s experience, local reputation, price and time for completion of a project.</w:t>
      </w:r>
    </w:p>
    <w:p>
      <w:pPr>
        <w:spacing w:after="0" w:line="12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231F20"/>
        </w:rPr>
        <w:t>For more information on demand trends in our industry, see Item 7 of this Annual Report under the caption “Management’s Discussion and Analysis of Financial Condition and Results of Operations—Executive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As of December 31, 2025, we employed 4,866 full-time individuals, including 2,388 employees based in the United States and 2,478 employees based internationally. Our teams in our more than 20 countries around the world are our most important assets and fundamental to our success. Aligned with our business strategy, our human capital management strategy focuses on developing and delivering solutions to attract, develop, engage and retain top talent in each of the countries where we operate. Our Chief Human Resources Officer regularly reports to the Compensation and Human Capital Committee of our Board of Directors (our “Board”) on our initiatives related to human capital management.</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A critical factor in our success is ensuring that an inclusive and collaborative workplace remains at the core of our business culture, infusing fresh ideas, helping us remain connected to our customers in a dynamic global market and ensuring mutual respect guides us in our interactions both internally and externally. Additionally, we have implemented several initiatives designed to support our inclusion efforts, including pledges from the American Tower Foundation. We also enable global employee resource groups to promote better employee engagement, which are open to all employees with the goal of enhancing professional development, connection and collaboration for everyone.</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As a critical investment in our capacity to provide our customers with outstanding support and customer service, we offer a variety of development opportunities unique to each market to cultivate our talent throughout our global organization. For individual contributors, we provide resources in up to five languages that focus on job-specific training and general topics, such as productivity, collaboration and project management. We create and customize courses to meet regional needs and update these courses regularly to address changing marketplace dynamics and employee interests.</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Developing our managers is critical to our success, and several resources and tools are provided to all levels of management. For example, our Management Essentials program provides continuous learning opportunities through training led by American Tower leaders globally. Managers learn tools and best practices that enable both management and team success, and that build and strengthen competencies to better respond to the needs of a growing and increasingly complex organization. Furthermore, our Gateway to Leadership program builds further on the skills and competencies we deliver through Management Essentials by providing additional leadership training for managers in Europe, Africa and Latin America. Our annual Accelerated Leadership Development program, in collaboration with the INSEAD executive education program, provides our next generation leaders in Latin America, Europe, the U.S. and Africa, with a seven-week intensive workshop to enhance management and leadership skills. For our employees with high potential, we offer several professional development opportunities designed to support these employees through a career path journey to become inclusive leaders. These are all supported by a comprehensive talent-management review process to develop future leaders and ensure effective succession planning. Additionally, our virtual corporate university, ATC YOU, provides our employees with a range of global learning resources for professional development and career growth.</w:t>
      </w:r>
    </w:p>
    <w:p>
      <w:pPr>
        <w:spacing w:after="0" w:line="12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231F20"/>
        </w:rPr>
        <w:t>Our recruiting efforts consistently include strategies to build qualified candidate pipelines with varied skills and backgrounds and promote a culture that supports a diverse team of global employees. We have developed education initiatives and increased access to professional development opportunities for employees, including an enhanced focus on mentoring opportunities.</w:t>
      </w:r>
    </w:p>
    <w:p>
      <w:pPr>
        <w:sectPr>
          <w:pgSz w:w="11880" w:h="15480" w:orient="portrait"/>
          <w:cols w:equalWidth="0" w:num="1">
            <w:col w:w="10240"/>
          </w:cols>
          <w:pgMar w:left="820" w:top="386" w:right="820" w:bottom="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240"/>
          </w:cols>
          <w:pgMar w:left="820" w:top="386" w:right="820" w:bottom="0" w:gutter="0" w:footer="0" w:header="0"/>
          <w:type w:val="continuous"/>
        </w:sectPr>
      </w:pPr>
    </w:p>
    <w:bookmarkStart w:id="22" w:name="page23"/>
    <w:bookmarkEnd w:id="22"/>
    <w:p>
      <w:pPr>
        <w:ind w:right="620"/>
        <w:spacing w:after="0" w:line="281" w:lineRule="auto"/>
        <w:rPr>
          <w:sz w:val="20"/>
          <w:szCs w:val="20"/>
          <w:color w:val="auto"/>
        </w:rPr>
      </w:pPr>
      <w:r>
        <w:rPr>
          <w:rFonts w:ascii="Times New Roman" w:cs="Times New Roman" w:eastAsia="Times New Roman" w:hAnsi="Times New Roman"/>
          <w:sz w:val="20"/>
          <w:szCs w:val="20"/>
          <w:color w:val="231F20"/>
        </w:rPr>
        <w:t>Our Compensation and Human Capital Committee also approved a shared human capital management goal for the entire executive team for 2025, which focuses on developing talent.</w:t>
      </w:r>
    </w:p>
    <w:p>
      <w:pPr>
        <w:spacing w:after="0" w:line="10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231F20"/>
        </w:rPr>
        <w:t>We are committed to the safety of our employees and surrounding communities. Depending on the role, team members are required to pass and complete regular safety training courses and follow specific tower and site safety protocols with the support of operational manuals. A key component of our culture is a strong commitment to incident reporting and corrective actions, as well as a comprehensive program for ensuring vendor compliance with safety standards and certifications. Our strict adherence to the rigorous standards set forth by the relevant government agencies and other authorities, such as the Telecommunications Infrastructure Registered Apprenticeship Program and Telecommunications Industry Association, is critical to ensuring our towers are structurally safe for field personnel, vendors, customers and communities. We have several employee security protocols and standards in place to better protect our people and assets worldwide. These include global standards for the security of international travelers and personnel ground movements. We also operate a traveler assistance program that allows us to better monitor international travel and provide employees with relevant trip advice and 24/7 assistance services. A related journey risk management program provides support for trips in complex threat environments, and includes hostile environment awareness training, real-time tracking of personnel and 24/7 support. Furthermore, as part of our efforts to globalize our operations, we created a new global Health &amp; Safety (“H&amp;S”) function tasked with strengthening our H&amp;S policies and culture, ensuring compliance with global and local regulations and fostering a proactive safety-first mindset across all organizational levels.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We offer medical and parental leave benefits to full-time employees across all markets, with some local variation. We conduct wellness check-ins and offer resources to support our employees’ mental health and well-being, including access to a free Employee Assistance Program, which offers confidential assistance on a wide range of issues. We also offer market competitive benefits in all locations and, in 2025, continued our behavioral health benefit in the United States to support employees’ mental well-being.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Officers</w:t>
      </w:r>
    </w:p>
    <w:p>
      <w:pPr>
        <w:spacing w:after="0" w:line="177"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20"/>
          <w:szCs w:val="20"/>
          <w:color w:val="231F20"/>
        </w:rPr>
        <w:t>For information about our Executive Officers, see Item 10 of this Annual Report under the caption “Directors, Executive Officers and Corporate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77"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20"/>
          <w:szCs w:val="20"/>
          <w:color w:val="231F20"/>
        </w:rPr>
        <w:t xml:space="preserve">Our internet website address is </w:t>
      </w:r>
      <w:r>
        <w:rPr>
          <w:rFonts w:ascii="Times New Roman" w:cs="Times New Roman" w:eastAsia="Times New Roman" w:hAnsi="Times New Roman"/>
          <w:sz w:val="20"/>
          <w:szCs w:val="20"/>
          <w:u w:val="single" w:color="auto"/>
          <w:color w:val="231F20"/>
        </w:rPr>
        <w:t>www.americantower.com</w:t>
      </w:r>
      <w:r>
        <w:rPr>
          <w:rFonts w:ascii="Times New Roman" w:cs="Times New Roman" w:eastAsia="Times New Roman" w:hAnsi="Times New Roman"/>
          <w:sz w:val="20"/>
          <w:szCs w:val="20"/>
          <w:color w:val="231F20"/>
        </w:rPr>
        <w:t>. Information contained on our website is not incorporated by reference into this Annual Report, and you should not consider information contained on our website as part of this Annual Report. You may access, free of charge, our Annual Reports on Form 10-K, Quarterly Reports on Form 10-Q and Current Reports on Form 8-K, plus amendments to such reports as filed or furnished pursuant to Sections 13(a) or 15(d) of the Securities Exchange Act of 1934, as amended (“Exchange Act”), through the “Investor Relations” portion of our website as soon as reasonably practicable after we electronically file such material with, or furnish it to, the Securities and Exchange Commission (the “SEC”).</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We have adopted a written Code of Ethics and Business Conduct Policy (the “Code of Conduct”) that applies to all of our employees and directors, including, but not limited to, our principal executive officer, principal financial officer and principal accounting officer or controller or persons performing similar functions. The Code of Conduct, our Corporate Governance Guidelines and the charters of the audit, compensation and nominating and corporate governance committees of our Board are available on the “Investor Relations” portion of our website, under the “Corporate Governance” tab. In the event we amend the Code of Conduct, or provide any waivers of the Code of Conduct to our directors or executive officers, we will disclose these events on our website as required by the regulations of the New York Stock Exchange (the “NYSE”) and applicable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addition, paper copies of these documents may be obtained free of charge by writing us at the following address: 222</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Berkeley Street, Boston, Massachusetts 02116, Attention: Investor Relations; or by calling us at (617) 375-7500.</w:t>
      </w:r>
    </w:p>
    <w:p>
      <w:pPr>
        <w:sectPr>
          <w:pgSz w:w="11880" w:h="15480" w:orient="portrait"/>
          <w:cols w:equalWidth="0" w:num="1">
            <w:col w:w="10260"/>
          </w:cols>
          <w:pgMar w:left="82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260"/>
          </w:cols>
          <w:pgMar w:left="820" w:top="393" w:right="800" w:bottom="0" w:gutter="0" w:footer="0" w:header="0"/>
          <w:type w:val="continuous"/>
        </w:sectPr>
      </w:pPr>
    </w:p>
    <w:bookmarkStart w:id="23" w:name="page24"/>
    <w:bookmarkEnd w:id="23"/>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1A.</w:t>
      </w:r>
      <w:r>
        <w:rPr>
          <w:sz w:val="20"/>
          <w:szCs w:val="20"/>
          <w:color w:val="auto"/>
        </w:rPr>
        <w:tab/>
      </w:r>
      <w:r>
        <w:rPr>
          <w:rFonts w:ascii="Times New Roman" w:cs="Times New Roman" w:eastAsia="Times New Roman" w:hAnsi="Times New Roman"/>
          <w:sz w:val="20"/>
          <w:szCs w:val="20"/>
          <w:b w:val="1"/>
          <w:bCs w:val="1"/>
          <w:color w:val="231F20"/>
        </w:rPr>
        <w:t>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Strategy</w:t>
      </w:r>
    </w:p>
    <w:p>
      <w:pPr>
        <w:spacing w:after="0" w:line="24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A significant decrease in leasing demand for our communications infrastructure would materially and adversely affect our business and operating results, and we cannot control that demand.</w:t>
      </w:r>
    </w:p>
    <w:p>
      <w:pPr>
        <w:spacing w:after="0" w:line="17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0"/>
          <w:szCs w:val="20"/>
          <w:color w:val="231F20"/>
        </w:rPr>
        <w:t>A significant reduction in leasing demand for our communications infrastructure would materially and adversely affect our business, results of operations or financial condition. Factors that may affect such demand include:</w:t>
      </w:r>
    </w:p>
    <w:p>
      <w:pPr>
        <w:spacing w:after="0" w:line="2" w:lineRule="exact"/>
        <w:rPr>
          <w:sz w:val="20"/>
          <w:szCs w:val="20"/>
          <w:color w:val="auto"/>
        </w:rPr>
      </w:pPr>
    </w:p>
    <w:p>
      <w:pPr>
        <w:ind w:left="720" w:right="480" w:hanging="370"/>
        <w:spacing w:after="0" w:line="250"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ability and willingness of wireless and cloud service providers to maintain or increase capital expenditures on network infrastructure;</w:t>
      </w: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financial condition of communications service providers;</w:t>
      </w:r>
    </w:p>
    <w:p>
      <w:pPr>
        <w:spacing w:after="0" w:line="10" w:lineRule="exact"/>
        <w:rPr>
          <w:rFonts w:ascii="Times New Roman" w:cs="Times New Roman" w:eastAsia="Times New Roman" w:hAnsi="Times New Roman"/>
          <w:sz w:val="20"/>
          <w:szCs w:val="20"/>
          <w:color w:val="231F20"/>
        </w:rPr>
      </w:pPr>
    </w:p>
    <w:p>
      <w:pPr>
        <w:ind w:left="720" w:right="260" w:hanging="370"/>
        <w:spacing w:after="0" w:line="250"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increased mergers, consolidations or exits that reduce the number of communications service providers or increased use of network sharing among governments or communications service providers;</w:t>
      </w:r>
    </w:p>
    <w:p>
      <w:pPr>
        <w:ind w:left="720" w:right="140" w:hanging="370"/>
        <w:spacing w:after="0" w:line="250"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decrease in demand for wireless or colocation services, including due to general economic conditions, changes in global tariff or trade policies or regulations, disruption in the financial and credit markets or global social, political or health crises, inflation, slowing growth, high interest rates or recession;</w:t>
      </w:r>
    </w:p>
    <w:p>
      <w:pPr>
        <w:spacing w:after="0" w:line="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delays or changes in the deployment of next generation wireless technologies;</w:t>
      </w:r>
    </w:p>
    <w:p>
      <w:pPr>
        <w:spacing w:after="0" w:line="10" w:lineRule="exact"/>
        <w:rPr>
          <w:rFonts w:ascii="Times New Roman" w:cs="Times New Roman" w:eastAsia="Times New Roman" w:hAnsi="Times New Roman"/>
          <w:sz w:val="20"/>
          <w:szCs w:val="20"/>
          <w:color w:val="231F20"/>
        </w:rPr>
      </w:pPr>
    </w:p>
    <w:p>
      <w:pPr>
        <w:ind w:left="720" w:right="40" w:hanging="370"/>
        <w:spacing w:after="0" w:line="250"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technological changes, including artificial intelligence (“AI”), wireless equipment changes, satellite technology and an increase in the use of radio access network (“RAN”) sharing among wireless service providers;</w:t>
      </w:r>
    </w:p>
    <w:p>
      <w:pPr>
        <w:ind w:left="720" w:right="440" w:hanging="370"/>
        <w:spacing w:after="0" w:line="250" w:lineRule="auto"/>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zoning, environmental, health, tax or other government regulations or changes in the application and enforcement thereof; and</w:t>
      </w:r>
    </w:p>
    <w:p>
      <w:pPr>
        <w:ind w:left="720" w:hanging="370"/>
        <w:spacing w:after="0"/>
        <w:tabs>
          <w:tab w:leader="none" w:pos="72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governmental licensing of spectrum or restriction or revocation of our customers’ spectrum licenses.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results of operations and financial condition could be negatively impacted by disputes with our customers.</w:t>
      </w:r>
    </w:p>
    <w:p>
      <w:pPr>
        <w:spacing w:after="0" w:line="2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In the ordinary course of our business, we occasionally experience disputes with our customers, generally regarding the interpretation of terms in our leases. Historically, we have resolved these disputes in a manner that did not have a material adverse effect on us or our relationships with our customers. However, it is possible that such disputes could lead to a termination of leases with those customers, a material adverse modification of the terms of those leases or a deterioration in our relationships with those customers that leads to a failure to obtain new business or maintain existing business with them, any of which could have a material adverse effect on our business, results of operations or financial condition. If we are forced to resolve any of these disputes through litigation or arbitration, our relationship with the applicable customer could be terminated or damaged, which could lead to decreased revenue or increased costs, resulting in a corresponding adverse effect on our business, results of operations or financial condition.</w:t>
      </w:r>
    </w:p>
    <w:p>
      <w:pPr>
        <w:spacing w:after="0" w:line="1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231F20"/>
        </w:rPr>
        <w:t>For example, we are currently engaged in a legal dispute (the “Arbitration”) with one of our customers in Mexico, AT&amp;T Comunicaciones Digitales, S. de R.L. de C.V. and related entities (collectively, “AT&amp;T Mexico”). AT&amp;T Mexico, which represented approximately $300 million of tenant revenue in 2025, is challenging the calculation of the monthly lease amount established under our Master Lease Agreement with AT&amp;T Mexico (the “MLA”), as well as certain other provisions of the MLA, seeking rent abatement both retroactively and prospectively, and withheld certain tower rents during 2025. As previously discussed, on September 23, 2025, we and AT&amp;T Mexico reached an agreement pursuant to which AT&amp;T Mexico has remitted payment of the majority of the withheld tower rents and has resumed monthly payments of the majority of its owed tower rents. The remainder of the outstanding receivables and the future monthly unpaid tower rent amounts are being deposited into an irrevocable escrow account, overseen by an independent trustee, to be released in accordance with a final ruling in the Arbitration or by mutual consent of us and AT&amp;T Mexico. We incurred approximately $30 million of reserves during the year ended December 31, 2025 related to this customer. We expect to record future reserves until the Arbitration is settled.</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Additionally, on September 24, 2025, one of our U.S. customers, DISH Wireless L.L.C., a subsidiary of DISH Network Corporation (“DISH”), delivered a notice purporting to be excused from its contractual obligations under our Strategic Collocation Agreement entered into in March 2021 (the “SCA”). DISH has failed to meet its payment obligations, and as of January 2026 is in default under the SCA. We filed a complaint seeking a declaratory judgment that DISH has not been excused from its obligations under the SCA, that the SCA remains in full force and effect, and that DISH remains required to perform all of its obligations under the SCA. This matter is still pending.</w:t>
      </w:r>
    </w:p>
    <w:p>
      <w:pPr>
        <w:spacing w:after="0" w:line="12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outcomes of these matters are uncertain, and there can be no assurance that our positions will be upheld. Adverse rulings in one or both of these disputes could have a material negative impact on our results of operations and financial condition.</w:t>
      </w:r>
    </w:p>
    <w:p>
      <w:pPr>
        <w:sectPr>
          <w:pgSz w:w="11880" w:h="15480" w:orient="portrait"/>
          <w:cols w:equalWidth="0" w:num="1">
            <w:col w:w="10240"/>
          </w:cols>
          <w:pgMar w:left="820" w:top="861" w:right="8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240"/>
          </w:cols>
          <w:pgMar w:left="820" w:top="861" w:right="820" w:bottom="0" w:gutter="0" w:footer="0" w:header="0"/>
          <w:type w:val="continuous"/>
        </w:sectPr>
      </w:pPr>
    </w:p>
    <w:bookmarkStart w:id="24" w:name="page25"/>
    <w:bookmarkEnd w:id="24"/>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A substantial portion of our current and projected future revenue is derived from a small number of customers, and we are sensitive to adverse changes in the creditworthiness and financial strength of our customers.</w:t>
      </w:r>
    </w:p>
    <w:p>
      <w:pPr>
        <w:spacing w:after="0" w:line="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A substantial portion of our total operating revenues is derived from a small number of customers. If any of these customers are unwilling or unable to perform their obligations under their agreements with us, our revenues, results of operations, financial condition and liquidity could be materially and adversely affected. In addition, our growth projections are based on future revenue from a small number of customers, and such projections could be adversely impacted by adverse changes in the creditworthiness and financial strength of our customers.</w:t>
      </w:r>
    </w:p>
    <w:p>
      <w:pPr>
        <w:spacing w:after="0" w:line="12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231F20"/>
        </w:rPr>
        <w:t>The following is a list of significant customers (representing at least 10% of revenue in any of the last three years) and the percentage of our total revenues for the specified time periods received from these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3560" w:type="dxa"/>
            <w:vAlign w:val="bottom"/>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tc>
      </w:tr>
      <w:tr>
        <w:trPr>
          <w:trHeight w:val="44"/>
        </w:trPr>
        <w:tc>
          <w:tcPr>
            <w:tcW w:w="6600" w:type="dxa"/>
            <w:vAlign w:val="bottom"/>
          </w:tcPr>
          <w:p>
            <w:pPr>
              <w:spacing w:after="0"/>
              <w:rPr>
                <w:sz w:val="3"/>
                <w:szCs w:val="3"/>
                <w:color w:val="auto"/>
              </w:rPr>
            </w:pPr>
          </w:p>
        </w:tc>
        <w:tc>
          <w:tcPr>
            <w:tcW w:w="116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160" w:type="dxa"/>
            <w:vAlign w:val="bottom"/>
            <w:tcBorders>
              <w:bottom w:val="single" w:sz="8" w:color="231F20"/>
            </w:tcBorders>
          </w:tcPr>
          <w:p>
            <w:pPr>
              <w:spacing w:after="0"/>
              <w:rPr>
                <w:sz w:val="3"/>
                <w:szCs w:val="3"/>
                <w:color w:val="auto"/>
              </w:rPr>
            </w:pPr>
          </w:p>
        </w:tc>
        <w:tc>
          <w:tcPr>
            <w:tcW w:w="1160" w:type="dxa"/>
            <w:vAlign w:val="bottom"/>
            <w:tcBorders>
              <w:bottom w:val="single" w:sz="8" w:color="231F20"/>
            </w:tcBorders>
          </w:tcPr>
          <w:p>
            <w:pPr>
              <w:spacing w:after="0"/>
              <w:rPr>
                <w:sz w:val="3"/>
                <w:szCs w:val="3"/>
                <w:color w:val="auto"/>
              </w:rPr>
            </w:pPr>
          </w:p>
        </w:tc>
      </w:tr>
      <w:tr>
        <w:trPr>
          <w:trHeight w:val="221"/>
        </w:trPr>
        <w:tc>
          <w:tcPr>
            <w:tcW w:w="6600" w:type="dxa"/>
            <w:vAlign w:val="bottom"/>
          </w:tcPr>
          <w:p>
            <w:pPr>
              <w:spacing w:after="0"/>
              <w:rPr>
                <w:sz w:val="19"/>
                <w:szCs w:val="19"/>
                <w:color w:val="auto"/>
              </w:rPr>
            </w:pPr>
          </w:p>
        </w:tc>
        <w:tc>
          <w:tcPr>
            <w:tcW w:w="116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16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59"/>
        </w:trPr>
        <w:tc>
          <w:tcPr>
            <w:tcW w:w="6600" w:type="dxa"/>
            <w:vAlign w:val="bottom"/>
            <w:tcBorders>
              <w:bottom w:val="single" w:sz="8" w:color="E3E4E5"/>
            </w:tcBorders>
          </w:tcPr>
          <w:p>
            <w:pPr>
              <w:spacing w:after="0"/>
              <w:rPr>
                <w:sz w:val="5"/>
                <w:szCs w:val="5"/>
                <w:color w:val="auto"/>
              </w:rPr>
            </w:pPr>
          </w:p>
        </w:tc>
        <w:tc>
          <w:tcPr>
            <w:tcW w:w="1160" w:type="dxa"/>
            <w:vAlign w:val="bottom"/>
            <w:tcBorders>
              <w:bottom w:val="single" w:sz="8" w:color="231F20"/>
            </w:tcBorders>
          </w:tcPr>
          <w:p>
            <w:pPr>
              <w:spacing w:after="0"/>
              <w:rPr>
                <w:sz w:val="5"/>
                <w:szCs w:val="5"/>
                <w:color w:val="auto"/>
              </w:rPr>
            </w:pPr>
          </w:p>
        </w:tc>
        <w:tc>
          <w:tcPr>
            <w:tcW w:w="80" w:type="dxa"/>
            <w:vAlign w:val="bottom"/>
            <w:tcBorders>
              <w:bottom w:val="single" w:sz="8" w:color="E3E4E5"/>
            </w:tcBorders>
          </w:tcPr>
          <w:p>
            <w:pPr>
              <w:spacing w:after="0"/>
              <w:rPr>
                <w:sz w:val="5"/>
                <w:szCs w:val="5"/>
                <w:color w:val="auto"/>
              </w:rPr>
            </w:pPr>
          </w:p>
        </w:tc>
        <w:tc>
          <w:tcPr>
            <w:tcW w:w="1160" w:type="dxa"/>
            <w:vAlign w:val="bottom"/>
            <w:tcBorders>
              <w:bottom w:val="single" w:sz="8" w:color="231F20"/>
            </w:tcBorders>
          </w:tcPr>
          <w:p>
            <w:pPr>
              <w:spacing w:after="0"/>
              <w:rPr>
                <w:sz w:val="5"/>
                <w:szCs w:val="5"/>
                <w:color w:val="auto"/>
              </w:rPr>
            </w:pPr>
          </w:p>
        </w:tc>
        <w:tc>
          <w:tcPr>
            <w:tcW w:w="1160" w:type="dxa"/>
            <w:vAlign w:val="bottom"/>
            <w:tcBorders>
              <w:bottom w:val="single" w:sz="8" w:color="231F20"/>
            </w:tcBorders>
          </w:tcPr>
          <w:p>
            <w:pPr>
              <w:spacing w:after="0"/>
              <w:rPr>
                <w:sz w:val="5"/>
                <w:szCs w:val="5"/>
                <w:color w:val="auto"/>
              </w:rPr>
            </w:pPr>
          </w:p>
        </w:tc>
      </w:tr>
      <w:tr>
        <w:trPr>
          <w:trHeight w:val="275"/>
        </w:trPr>
        <w:tc>
          <w:tcPr>
            <w:tcW w:w="6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T-Mobile</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18 %</w:t>
            </w:r>
          </w:p>
        </w:tc>
        <w:tc>
          <w:tcPr>
            <w:tcW w:w="124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19 %</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19 %</w:t>
            </w:r>
          </w:p>
        </w:tc>
      </w:tr>
      <w:tr>
        <w:trPr>
          <w:trHeight w:val="279"/>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AT&amp;T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18 %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18 %</w:t>
            </w:r>
          </w:p>
        </w:tc>
      </w:tr>
      <w:tr>
        <w:trPr>
          <w:trHeight w:val="291"/>
        </w:trPr>
        <w:tc>
          <w:tcPr>
            <w:tcW w:w="6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Verizon Wireless</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124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13 %</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14 %</w:t>
            </w:r>
          </w:p>
        </w:tc>
      </w:tr>
      <w:tr>
        <w:trPr>
          <w:trHeight w:val="274"/>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Telefónica</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-728980</wp:posOffset>
            </wp:positionV>
            <wp:extent cx="228282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2825" cy="25400"/>
                    </a:xfrm>
                    <a:prstGeom prst="rect">
                      <a:avLst/>
                    </a:prstGeom>
                    <a:noFill/>
                  </pic:spPr>
                </pic:pic>
              </a:graphicData>
            </a:graphic>
          </wp:anchor>
        </w:drawing>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One or more of our customers, or their parent companies, may experience financial difficulties, file for bankruptcy, reduce or terminate their operations or exit certain markets as a result of a prolonged economic downturn, economic difficulties (such as those from the imposition of taxes, fees (including the cost of, and access to, spectrum), regulations or judicial interpretations of regulations, and any associated penalties or interest, which may be substantial) or otherwise. Impacts on the economic environment, such as inflation or rising interest rates, could materially and adversely affect our customers through disruptions of, among other things, their ability to procure their equipment through their supply chains, their ability to procure power and fuel and their ability to maintain liquidity and deploy network capital, with potential decreases in consumer spending contributing to liquidity risks. Such financial difficulties could result in uncollectible accounts receivable and an impairment of our deferred rent asset, tower asset, network location intangible asset, tenant-related intangible asset or goodwill. The loss of significant customers, or the loss of all or a portion of our anticipated lease revenues from certain customers, could have a material adverse effect on our business, results of operations or financial condition.</w:t>
      </w:r>
    </w:p>
    <w:p>
      <w:pPr>
        <w:spacing w:after="0" w:line="13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20"/>
          <w:szCs w:val="20"/>
          <w:color w:val="231F20"/>
        </w:rPr>
        <w:t>Due to the long-term nature of our customer leases, we depend on the continued financial strength of our customers. Many communications service providers operate with substantial levels of debt. In our international operations, many of our customers are subsidiaries of global telecommunications companies. These subsidiaries may not have the explicit or implied financial support of their parent entities.</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In addition, many of our customers and potential customers rely on capital raising activities to fund their operations and capital expenditures, which may be more difficult or expensive in the event of downturns in the economy or disruptions in the financial and credit markets, including those caused by factors such as inflation, currency devaluations and other foreign currency exchange rate volatility, higher interest rates and supply chain disruptions. If our customers or potential customers are unable to raise adequate capital to fund their business plans or face capital constraints, they may reduce their spending, file for bankruptcy, reduce or terminate their operations or exit certain markets, which could materially and adversely affect demand for our communications infrastructure and our services business. For example, during the second half of 2025, Echostar Corporation, parent company to DISH, announced agreements to sell a material amount of spectrum licenses, and subsequently began to abandon and decommission deployment of portions of its 5G VoNR and broadband network. DISH represented approximately 2% and 4% of our total annual property revenue and total annual U.S. &amp; Canada property revenue, respectively, for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Increasing competition within our industries may materially and adversely affect our revenue.</w:t>
      </w:r>
    </w:p>
    <w:p>
      <w:pPr>
        <w:spacing w:after="0" w:line="1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Our industries are highly competitive and our customers have numerous alternatives in leasing communications infrastructure assets. Competition due to pricing or alternative contractual arrangements from peers could materially and adversely affect our lease rates. We may not be able to renew existing customer leases or enter into new customer leases, or if we are able to renew or enter into new leases, they may be at rates lower than our current rates or on less favorable terms than our current terms, resulting in an adverse impact on our results of operations and growth rate. During the year ended December 31, 2025, churn was approximately 2% of our tenant billings. An increase in our future churn rate resulting from non-renewal, or renegotiations at less favorable terms than our current rates, from one or more of our larger customers could materially and adversely impact our growth rate and revenue.</w:t>
      </w:r>
    </w:p>
    <w:p>
      <w:pPr>
        <w:sectPr>
          <w:pgSz w:w="11880" w:h="15480" w:orient="portrait"/>
          <w:cols w:equalWidth="0" w:num="1">
            <w:col w:w="10260"/>
          </w:cols>
          <w:pgMar w:left="820" w:top="384"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260"/>
          </w:cols>
          <w:pgMar w:left="820" w:top="384" w:right="800" w:bottom="0" w:gutter="0" w:footer="0" w:header="0"/>
          <w:type w:val="continuous"/>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20"/>
          <w:szCs w:val="20"/>
          <w:color w:val="231F20"/>
        </w:rPr>
        <w:t>In addition, some of our data center competitors may have significant advantages over us, including greater name recognition, longer operating histories, lower operating costs, lower levels of leverage, pre-existing relationships with current or potential customers, greater financial, marketing and other resources, access to better networks and access to less expensive power. These advantages could allow our data center competitors to respond more quickly or effectively to strategic opportunities and, as a result, we may lose existing or potential data center customers, incur costs to improve our data centers or be forced to reduce our rental rates. These risks are compounded by the fact that a significant percentage of our data center customer leases expire every year.</w:t>
      </w:r>
    </w:p>
    <w:p>
      <w:pPr>
        <w:spacing w:after="0" w:line="200"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our customers consolidate their operations, exit their businesses or share site infrastructure to a significant degree, our growth and revenue could be materially and adversely affected.</w:t>
      </w:r>
    </w:p>
    <w:p>
      <w:pPr>
        <w:spacing w:after="0" w:line="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Significant consolidation among our customers could reduce demand for our communications infrastructure and may materially and adversely affect our growth and revenues. Certain combined companies have rationalized duplicative parts of their networks or modernized their networks, and these and other customers could determine not to renew, or attempt to cancel, avoid or limit leases or related payments with us. Additionally, some of our international customers may use consolidation and/ or restructuring to address financial or other competitive pressures, which could in turn result in the sale of wireless assets. In the event a customer terminates, consolidates or restructures its business, or separately sells its spectrum or wireless assets, we may experience increased churn as a result. Our ongoing contractual revenues and our future results may be negatively impacted if a significant number of these leases are terminated or not renewed.</w:t>
      </w:r>
    </w:p>
    <w:p>
      <w:pPr>
        <w:spacing w:after="0" w:line="1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231F20"/>
        </w:rPr>
        <w:t>In addition, extensive sharing of site infrastructure through RAN sharing, roaming or resale arrangements among wireless service providers, including due to increases in advanced network technology such as 5G, as an alternative to leasing our communications sites, without compensation to us, may cause new lease activity to slow if carriers utilize shared equipment rather than deploy new equipment, or may result in the decommissioning of equipment on certain existing sites because portions of the customers’ networks may become redundant.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Competition to build or purchase assets could adversely affect our ability to achieve our return on investment criteria.</w:t>
      </w:r>
    </w:p>
    <w:p>
      <w:pPr>
        <w:spacing w:after="0" w:line="17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231F20"/>
        </w:rPr>
        <w:t>We may experience increased competition for contracts to build or acquire communications infrastructure assets, which could cause us to lose such contracts or make them significantly more costly. Some of our competitors are larger and may have greater financial resources than we do, while other competitors may apply less stringent investment criteria or less stringent contractual terms than we have. In addition, we may not anticipate or be able to address increased competition entering a particular market or competing for the build or acquisition of the same assets. Higher prices or less favorable terms for the construction or acquisition of assets or the failure to build or otherwise add new assets to our portfolio could make it more difficult to achieve our anticipated returns on investment or future growth, which could materially and adversely affect our business, results of operations or financial condition.</w:t>
      </w:r>
    </w:p>
    <w:p>
      <w:pPr>
        <w:spacing w:after="0" w:line="204" w:lineRule="exact"/>
        <w:rPr>
          <w:sz w:val="20"/>
          <w:szCs w:val="20"/>
          <w:color w:val="auto"/>
        </w:rPr>
      </w:pPr>
    </w:p>
    <w:p>
      <w:pPr>
        <w:ind w:right="580"/>
        <w:spacing w:after="0" w:line="316" w:lineRule="auto"/>
        <w:rPr>
          <w:sz w:val="20"/>
          <w:szCs w:val="20"/>
          <w:color w:val="auto"/>
        </w:rPr>
      </w:pPr>
      <w:r>
        <w:rPr>
          <w:rFonts w:ascii="Times New Roman" w:cs="Times New Roman" w:eastAsia="Times New Roman" w:hAnsi="Times New Roman"/>
          <w:sz w:val="19"/>
          <w:szCs w:val="19"/>
          <w:b w:val="1"/>
          <w:bCs w:val="1"/>
          <w:i w:val="1"/>
          <w:iCs w:val="1"/>
          <w:color w:val="231F20"/>
        </w:rPr>
        <w:t>New technologies or changes, or lack thereof, in our or a customer’s business model could make our communications infrastructure leasing business less desirable and result in decreasing revenues and operating results.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The development and implementation of new technologies designed to enhance the efficiency of wireless networks or changes in a customer’s business model could reduce the need for tower-based wireless services, decrease demand for tower space or reduce previously obtainable lease rates. In addition, if the industry trends toward deploying increased capital to the development and implementation of new technologies, then customers may allocate less of their budgets to leasing space on our towers. Examples of these technologies include more spectrally efficient technologies, which could relieve a portion of our customers’ network capacity needs and, as a result, could reduce the demand for tower-based antenna space. Additionally, certain small cell complementary network technologies or satellite services could shift a portion of our customers’ network investments away from traditional tower-based networks, which may reduce the need for carriers to add more equipment at certain communications sites.</w:t>
      </w:r>
    </w:p>
    <w:p>
      <w:pPr>
        <w:spacing w:after="0" w:line="1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231F20"/>
        </w:rPr>
        <w:t>Moreover, the emergence of alternative technologies could reduce the need for tower-based broadcast services transmission and reception. Further, a customer may decide to cease outsourcing tower infrastructure or otherwise change its business model, which would result in a decrease in our revenue and operating results. Similarly, our data center site infrastructure may become antiquated or obsolete due to the development of new systems that deliver power to, or eliminate heat from, the servers and other customer equipment that we house or due to the development of new technology, such as AI, which is potentially more power-intensive, that requires levels of power and cooling density that our facilities may not be designed to provide. Our failure to innovate in response to the development and implementation of these or other new technologies or changes in a customer’s business model could have a material adverse effect on the growth of our business, results of operations or financial condition. Conversely, we may invest significant capital in technologies, platform expansion initiatives or new additions to our core</w:t>
      </w:r>
    </w:p>
    <w:p>
      <w:pPr>
        <w:sectPr>
          <w:pgSz w:w="11880" w:h="15480" w:orient="portrait"/>
          <w:cols w:equalWidth="0" w:num="1">
            <w:col w:w="10260"/>
          </w:cols>
          <w:pgMar w:left="82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260"/>
          </w:cols>
          <w:pgMar w:left="820" w:top="393" w:right="800" w:bottom="0" w:gutter="0" w:footer="0" w:header="0"/>
          <w:type w:val="continuous"/>
        </w:sectPr>
      </w:pPr>
    </w:p>
    <w:bookmarkStart w:id="26" w:name="page27"/>
    <w:bookmarkEnd w:id="26"/>
    <w:p>
      <w:pPr>
        <w:ind w:right="240"/>
        <w:spacing w:after="0" w:line="281" w:lineRule="auto"/>
        <w:rPr>
          <w:sz w:val="20"/>
          <w:szCs w:val="20"/>
          <w:color w:val="auto"/>
        </w:rPr>
      </w:pPr>
      <w:r>
        <w:rPr>
          <w:rFonts w:ascii="Times New Roman" w:cs="Times New Roman" w:eastAsia="Times New Roman" w:hAnsi="Times New Roman"/>
          <w:sz w:val="20"/>
          <w:szCs w:val="20"/>
          <w:color w:val="231F20"/>
        </w:rPr>
        <w:t>business that may not provide expected returns or profitability, which could divert management attention and have a material adverse effect on our operating results.</w:t>
      </w:r>
    </w:p>
    <w:p>
      <w:pPr>
        <w:spacing w:after="0" w:line="10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Additionally, our customers may overestimate or overvalue the benefits and use of 5G networks and other new technology that are deployed onto our communications sites that, in turn, could adversely affect our customers' growth, thereby adversely affecting our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Divestitures may materially and adversely affect our financial condition, results of operations or cash flows.</w:t>
      </w:r>
    </w:p>
    <w:p>
      <w:pPr>
        <w:spacing w:after="0" w:line="1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We continually evaluate the performance, capital needs and strategic fit of all of our businesses and, as a result of such evaluation, may sell some or all of the equity interests in a particular business or components of a business. In recent years, we have divested our Mexico fiber and Poland businesses in 2023, our Australia, India and New Zealand businesses in 2024 and our South Africa fiber business in 2025. Divestitures involve risks, including difficulties in the separation of operations, services, products and personnel, requirements to obtain consents from third parties or potential legal claims or regulatory requirements. We cannot assure you that we will be successful in managing these or any other significant risks that we may encounter related to the divestiture of a business. Any divestiture we undertake could materially and adversely affect our business, reputation, financial condition, results of operations and cash flows, and may also result in a diversion of management’s attention, operational difficulties and losses. Divestitures and our evaluation of assets or businesses in connection with potential divestitures may result in asset impairment charges, including those related to goodwill and other intangible assets, or losses realized in connection with a transaction, which could have an impact on our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use of joint ventures and strategic partnerships may expose us to risks associated with jointly owned investments.</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currently operate parts of our business through joint ventures with third party partners that we believe will complement or augment our existing business. For example, we have joint ventures in our Europe property segment, Data Center property segment and Africa &amp; APAC property segment. As we continue to engage in and sustain partnership opportunities, our partners may have business or economic goals that are inconsistent or conflict with ours, be in positions to take action contrary to our interests, policies or objectives, have competing interests in our, or other, markets that could create conflict of interest issues, withhold consents contrary to our requests or become unable or unwilling to fulfill their commitments, any of which could present challenges with multiple partners or expose us to additional liabilities or costs, including requiring us to assume and fulfill the obligations of that partnership or to execute buyouts of our partners’ interests. Additionally, we may not realize any of the anticipated benefits of our joint ventures. Such investments and any future strategic partnerships and/or joint ventures subject us and the companies we manage to risks and uncertainties not otherwise present with other methods of investment.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Performance or General Economic Conditions</w:t>
      </w:r>
    </w:p>
    <w:p>
      <w:pPr>
        <w:spacing w:after="0" w:line="2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leverage, debt service obligations and repurchase activity may materially and adversely affect our ability to raise additional financing to fund capital expenditures, future growth and expansion initiatives and may reduce funds available to satisfy our distribution requirements.</w:t>
      </w:r>
    </w:p>
    <w:p>
      <w:pPr>
        <w:spacing w:after="0" w:line="11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231F20"/>
        </w:rPr>
        <w:t>We have a substantial amount of indebtedness. As of December 31, 2025, we had approximately $37.2 billion of consolidated debt and the ability to borrow additional aggregate amounts of approximately $9.6 billion under our $6.0 billion senior unsecured multicurrency revolving credit facility, as amended and restated in December 2021, as further amended (the “2021 Multicurrency Credit Facility”) and our $4.0 billion senior unsecured revolving credit facility, as amended and restated in December 2021, as further amended (the “2021 Credit Facility”), net of approximately $36.8 million of outstanding undrawn letters of credit.</w:t>
      </w:r>
    </w:p>
    <w:p>
      <w:pPr>
        <w:spacing w:after="0" w:line="12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Our leverage and debt service obligations could have significant negative consequences to our business, results of operations or financial condition, including:</w:t>
      </w:r>
    </w:p>
    <w:p>
      <w:pPr>
        <w:spacing w:after="0" w:line="101" w:lineRule="exact"/>
        <w:rPr>
          <w:sz w:val="20"/>
          <w:szCs w:val="20"/>
          <w:color w:val="auto"/>
        </w:rPr>
      </w:pPr>
    </w:p>
    <w:p>
      <w:pPr>
        <w:ind w:left="720" w:right="80" w:hanging="370"/>
        <w:spacing w:after="0" w:line="274" w:lineRule="auto"/>
        <w:tabs>
          <w:tab w:leader="none" w:pos="72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requiring the dedication of a substantial portion of our cash flow from operations to service our debt, thereby reducing the amount of our cash flow available for other purposes, including capital expenditures and REIT distributions;</w:t>
      </w:r>
    </w:p>
    <w:p>
      <w:pPr>
        <w:spacing w:after="0" w:line="1" w:lineRule="exact"/>
        <w:rPr>
          <w:rFonts w:ascii="Times New Roman" w:cs="Times New Roman" w:eastAsia="Times New Roman" w:hAnsi="Times New Roman"/>
          <w:sz w:val="19"/>
          <w:szCs w:val="19"/>
          <w:color w:val="231F20"/>
        </w:rPr>
      </w:pPr>
    </w:p>
    <w:p>
      <w:pPr>
        <w:ind w:left="720" w:right="100" w:hanging="370"/>
        <w:spacing w:after="0" w:line="250"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impairing our ability to meet one or more of the financial ratio covenants contained in our debt agreements or to generate cash sufficient to pay interest or principal due under those agreements, which could result in an acceleration of some or all of our outstanding debt and the loss of the towers securing such debt, as applicable, if a default remains uncured;</w:t>
      </w:r>
    </w:p>
    <w:p>
      <w:pPr>
        <w:spacing w:after="0" w:line="1" w:lineRule="exact"/>
        <w:rPr>
          <w:rFonts w:ascii="Times New Roman" w:cs="Times New Roman" w:eastAsia="Times New Roman" w:hAnsi="Times New Roman"/>
          <w:sz w:val="20"/>
          <w:szCs w:val="20"/>
          <w:color w:val="231F20"/>
        </w:rPr>
      </w:pPr>
    </w:p>
    <w:p>
      <w:pPr>
        <w:ind w:left="720" w:right="100" w:hanging="370"/>
        <w:spacing w:after="0" w:line="250" w:lineRule="auto"/>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limiting our ability to obtain additional debt or equity financing, thereby placing us at a possible competitive disadvantage to less leveraged competitors and competitors that may have better access to capital resources, including with respect to acquiring or building assets; and</w:t>
      </w:r>
    </w:p>
    <w:p>
      <w:pPr>
        <w:spacing w:after="0" w:line="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limiting our flexibility in planning for, or reacting to, changes in our business and the markets in which we compete.</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240"/>
          </w:cols>
          <w:pgMar w:left="820" w:top="393" w:right="820" w:bottom="0" w:gutter="0" w:footer="0" w:header="0"/>
          <w:type w:val="continuous"/>
        </w:sectPr>
      </w:pPr>
    </w:p>
    <w:bookmarkStart w:id="27" w:name="page28"/>
    <w:bookmarkEnd w:id="27"/>
    <w:p>
      <w:pPr>
        <w:spacing w:after="0" w:line="243" w:lineRule="auto"/>
        <w:rPr>
          <w:sz w:val="20"/>
          <w:szCs w:val="20"/>
          <w:color w:val="auto"/>
        </w:rPr>
      </w:pPr>
      <w:r>
        <w:rPr>
          <w:rFonts w:ascii="Times New Roman" w:cs="Times New Roman" w:eastAsia="Times New Roman" w:hAnsi="Times New Roman"/>
          <w:sz w:val="20"/>
          <w:szCs w:val="20"/>
          <w:color w:val="231F20"/>
        </w:rPr>
        <w:t>We may need to raise additional capital through debt financing activities, asset sales or equity issuances, even if the then-prevailing market conditions are not favorable, to fund capital expenditures, future growth and expansion initiatives, required purchases of our partners’ interests and to satisfy our distribution requirements and debt service obligations and leverage requirements, including financial ratio covenants. An increase in our total leverage could lead to a downgrade of our credit rating below investment grade, which could negatively impact our ability to access credit markets or preclude us from obtaining funds on investment grade terms, rates and conditions or subject us to additional loan covenants, which could accelerate our debt repayment obligations. Further, certain of our current debt instruments limit the amount of indebtedness we and our subsidiaries may incur. Additional financing, therefore, may be unavailable, more expensive or restricted by the terms of our outstanding indebtedness.</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Additionally, our Board has approved a share repurchase program allowing us to repurchase common stock through various methods, including open market purchases. The program does not require any specific amount or number of shares to be repurchased, and management will determine timing and volume based on market conditions and other factors. Repurchases could impact stock price, liquidity and cash reserves, potentially affecting future growth opportunities. While intended to enhance long-term shareholder value, there is no guarantee of success, and short-term price fluctuations could reduce the program’s effectiveness. Additionally, our share repurchase program could diminish our available cash, which may impact our ability to finance future growth and pursue possible future strategic opportunities and acquisitions.</w:t>
      </w:r>
    </w:p>
    <w:p>
      <w:pPr>
        <w:spacing w:after="0" w:line="20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Increased inflation and interest rates may adversely affect us by increasing costs beyond what we can recover through price increases.</w:t>
      </w:r>
    </w:p>
    <w:p>
      <w:pPr>
        <w:spacing w:after="0" w:line="9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The United States and other large global economies experienced historically high inflation in recent years. Future inflationary effects may be driven by, among other things, supply chain disruptions, changes in trade or tariff policies, governmental stimulus or fiscal policies, as well as ongoing global military conflicts. Inflation can materially and adversely affect us by increasing the costs of land, materials, labor and other costs required to manage and grow our business. In addition, should inflation rates exceed our fixed escalator percentages in markets where our leases include fixed escalators, our returns could be adversely affected. In an inflationary environment, depending on the terms of our contracts and other economic conditions, we may be unable to raise prices enough to keep up with the rate of inflation or our customers may be unwilling to pay contractual increases or demand discounts upon renewal, which would reduce our profit margins and returns. If we are unable to increase our prices to offset the effects of inflation, our business, results of operations and financial condition could be materially and adversely affected. Inflation has also contributed to foreign currency exchange rate volatility, including in several of the markets where we operate. Inflation impacts could also create foreign exchange rate instability in our international markets, including in markets such as Africa and Latin America, that could, in turn, depress the value of that market’s currency, thereby adversely impacting our business, results of operations, financial condition or the underlying value of foreign subsidiaries.</w:t>
      </w:r>
    </w:p>
    <w:p>
      <w:pPr>
        <w:spacing w:after="0" w:line="1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In addition, inflation is often accompanied by higher interest rates. The combination of higher interest rates and high inflation could lead to an extended economic downturn, which could reduce our ability to incur debt or access capital and impact our results of operations and financial condition even after these conditions improve. Additionally, higher inflation or higher costs of capital could also impact the risk premiums or market returns on our assets. Changes in costs of capital could adversely impact the underlying value of our assets, which could in turn result in impairment charges.</w:t>
      </w:r>
    </w:p>
    <w:p>
      <w:pPr>
        <w:spacing w:after="0" w:line="1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Further, market volatility and disruption caused by factors such as inflation and fluctuating interest rates may impact our ability to raise additional capital through debt and equity financing activities or our ability to repay or refinance maturing liabilities, or impact the terms of any new obligations, which in turn may have an adverse impact on our credit ratings. Federal fund rates have been elevated for several years and, although there were several rate cuts in recent years, rates could remain at current levels for an extended period of time. An increase in rates can have a corresponding impact to our costs of borrowing and may have an adverse impact on our ability to raise funds through the offering of our securities or through the issuance of debt due to higher debt capital costs, diminished credit availability or less favorable equity markets. The extent to which these factors will impact our business and financial results will depend on future developments, which are highly uncertain and cannot be predicted at this time.</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Restrictive covenants in the agreements related to our securitization transaction, our credit facilities and our debt securities could materially and adversely affect our business by limiting flexibility, and we may be prohibited from paying dividends on our common stock, which may jeopardize our qualification for taxation as a REIT.</w:t>
      </w:r>
    </w:p>
    <w:p>
      <w:pPr>
        <w:spacing w:after="0" w:line="11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231F20"/>
        </w:rPr>
        <w:t>The agreements related to our Trust Securitization (as defined below) include operating covenants and other restrictions customary for loans subject to rated securitizations. Among other things, the borrowers under the agreements are prohibited from incurring other indebtedness for borrowed money or further encumbering their assets. A failure to comply with the covenants in the agreements could prevent the borrowers from taking certain actions with respect to the secured assets and could prevent the borrowers from distributing any excess cash from the operation of such assets to us. If the borrowers were to</w:t>
      </w:r>
    </w:p>
    <w:p>
      <w:pPr>
        <w:sectPr>
          <w:pgSz w:w="11880" w:h="15480" w:orient="portrait"/>
          <w:cols w:equalWidth="0" w:num="1">
            <w:col w:w="10220"/>
          </w:cols>
          <w:pgMar w:left="820" w:top="393" w:right="8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220"/>
          </w:cols>
          <w:pgMar w:left="820" w:top="393" w:right="840" w:bottom="0" w:gutter="0" w:footer="0" w:header="0"/>
          <w:type w:val="continuous"/>
        </w:sectPr>
      </w:pPr>
    </w:p>
    <w:bookmarkStart w:id="28" w:name="page29"/>
    <w:bookmarkEnd w:id="28"/>
    <w:p>
      <w:pPr>
        <w:ind w:right="320"/>
        <w:spacing w:after="0" w:line="281" w:lineRule="auto"/>
        <w:rPr>
          <w:sz w:val="20"/>
          <w:szCs w:val="20"/>
          <w:color w:val="auto"/>
        </w:rPr>
      </w:pPr>
      <w:r>
        <w:rPr>
          <w:rFonts w:ascii="Times New Roman" w:cs="Times New Roman" w:eastAsia="Times New Roman" w:hAnsi="Times New Roman"/>
          <w:sz w:val="20"/>
          <w:szCs w:val="20"/>
          <w:color w:val="231F20"/>
        </w:rPr>
        <w:t>default on any of the loans, the servicer on such loan could seek to foreclose upon or otherwise convert the ownership of the secured assets, in which case we could lose such assets and the cash flow associated with such assets.</w:t>
      </w:r>
    </w:p>
    <w:p>
      <w:pPr>
        <w:spacing w:after="0" w:line="1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The agreements for our credit facilities also contain restrictive covenants and leverage and other financial maintenance tests that could limit our ability to take various actions, including incurring additional debt, guaranteeing indebtedness or making distributions to stockholders, including our required REIT distributions, and engaging in various types of transactions, including mergers, acquisitions and sales of assets. Additionally, our credit facilities restrict our and our subsidiaries’ ability to incur liens securing our or their indebtedness. These covenants could have an adverse effect on our business by limiting our ability to take advantage of financing new tower or other communications infrastructure development, mergers and acquisitions or other opportunities. Our credit agreements also contain cross-default and/or cross-acceleration provisions, which may be triggered if we default on certain indebtedness in excess of certain thresholds. In the event of such a default, the resulting cross-defaults or cross-accelerations could have an adverse effect on our business and financial condition. Further, reporting and information covenants in our credit agreements and indentures require that we provide financial and operating information within certain time periods. If we are unable to provide the required information on a timely basis, we would be in breach of these covenants. For more information regarding the covenants and requirements discussed above, please see Item 7 of this Annual Report under the caption “Management’s Discussion and Analysis of Financial Condition and Results of Operations—Liquidity and Capital Resources—Factors Affecting Sources of Liquidity” and note 8 to our consolidated financial statements included in this Annual Report.</w:t>
      </w:r>
    </w:p>
    <w:p>
      <w:pPr>
        <w:spacing w:after="0" w:line="13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231F20"/>
        </w:rPr>
        <w:t>We also may enter into hedges for certain debt instruments, which may have an adverse impact on our results to the extent that the counterparties do not perform as expected at the inception of each hedge.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Laws and Regulations</w:t>
      </w:r>
    </w:p>
    <w:p>
      <w:pPr>
        <w:spacing w:after="0" w:line="248"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foreign operations are subject to economic, political and other risks that could materially and adversely affect our revenues or financial position, including risks associated with fluctuations in foreign currency exchange rates.</w:t>
      </w:r>
    </w:p>
    <w:p>
      <w:pPr>
        <w:spacing w:after="0" w:line="9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231F20"/>
        </w:rPr>
        <w:t>Our international business operations and our potential expansion into additional new markets in the future expose us to potential adverse financial and operational problems not typically experienced in the United States. Our business is subject to risks associated with doing business internationally, including:</w:t>
      </w:r>
    </w:p>
    <w:p>
      <w:pPr>
        <w:spacing w:after="0" w:line="1" w:lineRule="exact"/>
        <w:rPr>
          <w:sz w:val="20"/>
          <w:szCs w:val="20"/>
          <w:color w:val="auto"/>
        </w:rPr>
      </w:pPr>
    </w:p>
    <w:p>
      <w:pPr>
        <w:ind w:left="720" w:right="120" w:hanging="370"/>
        <w:spacing w:after="0" w:line="25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uncertain, inconsistent or changing laws, regulations, rulings or methodologies impacting our existing and anticipated international operations, fees or other requirements directed specifically at the ownership and operation of communications infrastructure or our international acquisitions, any of which laws, fees or requirements may be applied retroactively or with significant delay;</w:t>
      </w:r>
    </w:p>
    <w:p>
      <w:pPr>
        <w:spacing w:after="0" w:line="1"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or inability to retain our tax status or to obtain an expected tax status for which we have applied;</w:t>
      </w:r>
    </w:p>
    <w:p>
      <w:pPr>
        <w:spacing w:after="0" w:line="10" w:lineRule="exact"/>
        <w:rPr>
          <w:rFonts w:ascii="Times New Roman" w:cs="Times New Roman" w:eastAsia="Times New Roman" w:hAnsi="Times New Roman"/>
          <w:sz w:val="20"/>
          <w:szCs w:val="20"/>
          <w:color w:val="231F20"/>
        </w:rPr>
      </w:pPr>
    </w:p>
    <w:p>
      <w:pPr>
        <w:ind w:left="720" w:right="300" w:hanging="370"/>
        <w:spacing w:after="0" w:line="25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to applicable tax laws or successful challenges to how or where our profits are currently recognized, which could increase our overall taxes;</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expropriation resulting in government takeover of our or our customers’ operations;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governmental regulation restricting foreign ownership or requiring reversion or divestiture;</w:t>
      </w:r>
    </w:p>
    <w:p>
      <w:pPr>
        <w:spacing w:after="0" w:line="10" w:lineRule="exact"/>
        <w:rPr>
          <w:rFonts w:ascii="Times New Roman" w:cs="Times New Roman" w:eastAsia="Times New Roman" w:hAnsi="Times New Roman"/>
          <w:sz w:val="20"/>
          <w:szCs w:val="20"/>
          <w:color w:val="231F20"/>
        </w:rPr>
      </w:pPr>
    </w:p>
    <w:p>
      <w:pPr>
        <w:ind w:left="720" w:right="120" w:hanging="370"/>
        <w:spacing w:after="0" w:line="25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laws or regulations that tax or otherwise restrict repatriation of earnings or other funds or otherwise limit distributions of capital;</w:t>
      </w:r>
    </w:p>
    <w:p>
      <w:pPr>
        <w:ind w:left="720" w:right="100" w:hanging="370"/>
        <w:spacing w:after="0" w:line="234"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a specific country’s or region’s political or economic conditions, including inflation, currency devaluation, coup d’états and other violent and/or unplanned transitions of power;</w:t>
      </w:r>
    </w:p>
    <w:p>
      <w:pPr>
        <w:spacing w:after="0" w:line="1" w:lineRule="exact"/>
        <w:rPr>
          <w:rFonts w:ascii="Times New Roman" w:cs="Times New Roman" w:eastAsia="Times New Roman" w:hAnsi="Times New Roman"/>
          <w:sz w:val="20"/>
          <w:szCs w:val="20"/>
          <w:color w:val="231F20"/>
        </w:rPr>
      </w:pPr>
    </w:p>
    <w:p>
      <w:pPr>
        <w:ind w:left="720" w:right="1260" w:hanging="370"/>
        <w:spacing w:after="0" w:line="249"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to zoning regulations or construction laws, which could be applied retroactively to our existing communications infrastructure;</w:t>
      </w:r>
    </w:p>
    <w:p>
      <w:pPr>
        <w:ind w:left="720" w:right="20" w:hanging="370"/>
        <w:spacing w:after="0" w:line="25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actions restricting or revoking our customers’ spectrum licenses, or alterations or interpretations thereof, or suspending or terminating business under prior licenses;</w:t>
      </w:r>
    </w:p>
    <w:p>
      <w:pPr>
        <w:ind w:left="720" w:right="180" w:hanging="370"/>
        <w:spacing w:after="0" w:line="25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anti-bribery laws such as the FCPA or similar local anti-bribery laws, or the Office of Foreign Assets Control requirements;</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failure to comply with data privacy laws or other protections of employee health and personal information;</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material site issues related to security, fuel availability and reliability of electrical grids;</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significant increases in, or implementation of new, license surcharges and similar fees or taxes on our revenue;</w:t>
      </w:r>
    </w:p>
    <w:p>
      <w:pPr>
        <w:spacing w:after="0" w:line="10" w:lineRule="exact"/>
        <w:rPr>
          <w:rFonts w:ascii="Times New Roman" w:cs="Times New Roman" w:eastAsia="Times New Roman" w:hAnsi="Times New Roman"/>
          <w:sz w:val="20"/>
          <w:szCs w:val="20"/>
          <w:color w:val="231F20"/>
        </w:rPr>
      </w:pPr>
    </w:p>
    <w:p>
      <w:pPr>
        <w:ind w:left="720" w:right="40" w:hanging="370"/>
        <w:spacing w:after="0" w:line="250" w:lineRule="auto"/>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anti-American sentiment or adverse impacts from United States trade or foreign policy, including the impacts of tariffs and retaliatory measures;</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loss of key personnel, including expatriates, in markets where talent is difficult or expensive to acquire; and</w:t>
      </w:r>
    </w:p>
    <w:p>
      <w:pPr>
        <w:spacing w:after="0" w:line="10" w:lineRule="exact"/>
        <w:rPr>
          <w:rFonts w:ascii="Times New Roman" w:cs="Times New Roman" w:eastAsia="Times New Roman" w:hAnsi="Times New Roman"/>
          <w:sz w:val="20"/>
          <w:szCs w:val="20"/>
          <w:color w:val="231F20"/>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price-setting or other similar laws or regulations for the sharing of passive infrastructure.</w:t>
      </w:r>
    </w:p>
    <w:p>
      <w:pPr>
        <w:spacing w:after="0" w:line="15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9"/>
          <w:szCs w:val="19"/>
          <w:color w:val="231F20"/>
        </w:rPr>
        <w:t>We also face risks associated with changes in foreign currency exchange rates, including those arising from the impacts of an inflationary and high interest rate environment on the global or regional economy and markets and on our operations, investments and financing transactions related to our international business. Volatility in foreign currency exchange rates can</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240"/>
          </w:cols>
          <w:pgMar w:left="820" w:top="393" w:right="820" w:bottom="0" w:gutter="0" w:footer="0" w:header="0"/>
          <w:type w:val="continuous"/>
        </w:sectPr>
      </w:pPr>
    </w:p>
    <w:bookmarkStart w:id="29" w:name="page30"/>
    <w:bookmarkEnd w:id="29"/>
    <w:p>
      <w:pPr>
        <w:ind w:right="120"/>
        <w:spacing w:after="0" w:line="260" w:lineRule="auto"/>
        <w:rPr>
          <w:sz w:val="20"/>
          <w:szCs w:val="20"/>
          <w:color w:val="auto"/>
        </w:rPr>
      </w:pPr>
      <w:r>
        <w:rPr>
          <w:rFonts w:ascii="Times New Roman" w:cs="Times New Roman" w:eastAsia="Times New Roman" w:hAnsi="Times New Roman"/>
          <w:sz w:val="20"/>
          <w:szCs w:val="20"/>
          <w:color w:val="231F20"/>
        </w:rPr>
        <w:t>also affect our ability to plan, forecast and budget for our international operations and expansion efforts. Our revenues earned from our international operations are primarily denominated in their respective local currencies. We have not historically engaged in significant currency hedging activities relating to our non-U.S. Dollar operations, and a weakening of these foreign currencies against the U.S. Dollar would negatively impact our reported revenues, operating profits and income.</w:t>
      </w:r>
    </w:p>
    <w:p>
      <w:pPr>
        <w:spacing w:after="0" w:line="194"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business, and that of our customers, is subject to laws, regulations and administrative and judicial decisions, and changes thereto, that could restrict our ability to operate our business as we currently do or impact our competitive landscape.</w:t>
      </w:r>
    </w:p>
    <w:p>
      <w:pPr>
        <w:spacing w:after="0" w:line="1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Our business, and that of our customers, is subject to federal, state, local and foreign laws, treaties and regulations and administrative and judicial decisions. In certain jurisdictions, these regulations, laws and treaties could be applied or be enforced retroactively. Zoning authorities and community organizations are sometimes opposed to the construction of communications sites in their communities, which can delay, prevent or increase the cost of new tower or data center construction, modifications, additions of new antennas to a site or site upgrades, thereby limiting our ability to respond to customer demands. Existing or new regulatory policies, regulations or laws may materially and adversely affect the timing, cost or completion of our communications sites or result in changes in the competitive landscape that may negatively affect our business. Noncompliance could result in the imposition of fines or an award of damages to litigants or result in decreased revenue or the potential loss of our sites. In addition, in certain jurisdictions, we and certain of our customers are required to pay annual licenses, fees or taxes, which may be subject to substantial increases by the government, or new fees may be enacted and applied retroactively. In some instances, government regulation restricting foreign ownership of our customers could result in loss of revenue or penalties. Governmental licenses may also be subject to periodic renewal and additional conditions to receive or maintain such license. Additionally, we have government customers for several of our communications sites and data centers, which subjects us to risks including early termination, audits, investigations, sanctions and penalties.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data centers segment is also subject to various federal, state and local environmental and health and safety laws and regulations in the United States, as set forth in Item 1A of this Annual Report under the caption “Risk Factors— Our data center segment contains certain operational differences from our tower leasing operations resulting in different operational risks. If we do not successfully operate our data center segment or identify or manage the related operational risks, such operations may produce results that are lower than anticipated.”</w:t>
      </w:r>
    </w:p>
    <w:p>
      <w:pPr>
        <w:spacing w:after="0" w:line="12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Furthermore, the tax laws, regulations, applicable license terms and conditions, and interpretations governing our business, and that of our customers, in jurisdictions where we operate, may change at any time, potentially with retroactive effect. The evolving nature of global tax laws and regulations and compliance approaches could have an impact on our financial results. This includes changes in tax laws, transfer pricing regulations, spectrum use terms, administrative compliance guidance or judicial interpretations thereof. In recent years, there have been some legislative proposals regarding tax laws applicable to REITs. Any increases in tax liability could reduce the amount of cash available for other purposes.</w:t>
      </w:r>
    </w:p>
    <w:p>
      <w:pPr>
        <w:spacing w:after="0" w:line="12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In addition, as of January 1, 2024, we and our subsidiaries, in principle, became subject to the Organization for Economic Cooperation and Development (the “OECD”) Global Anti-Base Erosion Rules (the “Pillar 2 Rules”) as promulgated by jurisdictions. The Pillar 2 Rules can potentially lead to additional taxes (“Top-Up Tax”) when the effective tax rate (as defined by the Pillar 2 Rules) in a jurisdiction is below 15%. The Pillar 2 Rules, however, do not apply to “Excluded Entities” and certain subsidiaries of Excluded Entities. We believe we qualify as an Excluded Entity as a “Real Estate Investment Vehicle.” In the event certain subsidiaries do not qualify as Excluded Entities, available “Safe Harbor” rules could apply that would exempt the entities from any Top-Up Tax. For 2025, the Under-Taxed Payments Rule (UTPR) Safe Harbor excludes all US income from the Pillar 2 Rules. In addition, substantially all of our non-excluded, non-U.S. jurisdictions qualify for other Safe Harbors. The remaining jurisdictions that may not qualify would have immaterial Top-Up Taxes. Beginning in fiscal year 2026, the U.S. income of non-excluded entities may result in material Top-Up Taxes; however, on January 5, 2026, the OECD announced a comprehensive Side-by-Side Safe Harbor that, if enacted, would exempt U.S.-parented multinational companies from certain Top-Up Taxes under the Pillar 2 Rules beginning January 1, 2026. The Side-by-Side Safe Harbor is not an exemption from any qualified domestic minimum Top-Up Tax. The Side-by-Side Safe Harbor has yet to be enacted in any jurisdiction where we operate that has already implemented the Pillar 2 Rules. Additionally, the Pillar 2 Rules are still yet to be enacted in many of the jurisdictions in which we operate.</w:t>
      </w:r>
    </w:p>
    <w:p>
      <w:pPr>
        <w:spacing w:after="0" w:line="20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If we fail to remain qualified for taxation as a REIT, we will be subject to tax at corporate income tax rates, which may substantially reduce funds otherwise available, and even if we qualify for taxation as a REIT, we may face tax liabilities that impact earnings and available cash flow.</w:t>
      </w:r>
    </w:p>
    <w:p>
      <w:pPr>
        <w:spacing w:after="0" w:line="11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231F20"/>
        </w:rPr>
        <w:t>Commencing with the taxable year beginning January 1, 2012, we have operated as a REIT for federal income tax purposes. Qualification for taxation as a REIT requires the application of certain highly technical and complex provisions of the Internal Revenue Code of 1986, as amended (the “Code”), which provisions may change from time to time, to our operations as well as</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240"/>
          </w:cols>
          <w:pgMar w:left="820" w:top="393" w:right="820" w:bottom="0" w:gutter="0" w:footer="0" w:header="0"/>
          <w:type w:val="continuous"/>
        </w:sectPr>
      </w:pPr>
    </w:p>
    <w:bookmarkStart w:id="30" w:name="page31"/>
    <w:bookmarkEnd w:id="30"/>
    <w:p>
      <w:pPr>
        <w:ind w:right="360"/>
        <w:spacing w:after="0" w:line="266" w:lineRule="auto"/>
        <w:rPr>
          <w:sz w:val="20"/>
          <w:szCs w:val="20"/>
          <w:color w:val="auto"/>
        </w:rPr>
      </w:pPr>
      <w:r>
        <w:rPr>
          <w:rFonts w:ascii="Times New Roman" w:cs="Times New Roman" w:eastAsia="Times New Roman" w:hAnsi="Times New Roman"/>
          <w:sz w:val="20"/>
          <w:szCs w:val="20"/>
          <w:color w:val="231F20"/>
        </w:rPr>
        <w:t>various factual determinations concerning matters and circumstances not entirely within our control. Further, tax legislation may adversely affect our ability to remain qualified for taxation as a REIT or the benefits or desirability of remaining so qualified. There are few judicial or administrative interpretations of the relevant provisions of the Code.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If, in any taxable year, we fail to qualify for taxation as a REIT and are not entitled to relief under the Code:</w:t>
      </w:r>
    </w:p>
    <w:p>
      <w:pPr>
        <w:spacing w:after="0" w:line="30" w:lineRule="exact"/>
        <w:rPr>
          <w:sz w:val="20"/>
          <w:szCs w:val="20"/>
          <w:color w:val="auto"/>
        </w:rPr>
      </w:pPr>
    </w:p>
    <w:p>
      <w:pPr>
        <w:ind w:left="720" w:hanging="370"/>
        <w:spacing w:after="0" w:line="250"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will not be allowed a deduction for distributions to stockholders and would be subject to federal and state income tax on our taxable income at regular corporate income tax rates, which could be substantial in amount, and may require us to borrow additional funds or liquidate some investments to pay any additional tax liability and, accordingly, may reduce funds available for other purposes; and</w:t>
      </w:r>
    </w:p>
    <w:p>
      <w:pPr>
        <w:spacing w:after="0" w:line="1" w:lineRule="exact"/>
        <w:rPr>
          <w:rFonts w:ascii="Times New Roman" w:cs="Times New Roman" w:eastAsia="Times New Roman" w:hAnsi="Times New Roman"/>
          <w:sz w:val="20"/>
          <w:szCs w:val="20"/>
          <w:color w:val="231F20"/>
        </w:rPr>
      </w:pPr>
    </w:p>
    <w:p>
      <w:pPr>
        <w:ind w:left="720" w:right="480" w:hanging="370"/>
        <w:spacing w:after="0" w:line="260" w:lineRule="auto"/>
        <w:tabs>
          <w:tab w:leader="none" w:pos="72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will be disqualified from REIT tax treatment for the four taxable years immediately following the year during which we were so disqualified.</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We are subject to certain federal, state, local and foreign taxes on our income and assets, including taxes on any undistributed income and state, local or foreign income, franchise, property and transfer taxes. While state and local income tax regimes often parallel the U.S. federal income tax regime for REITs, many of these jurisdictions differ in their treatment of REITs. For example, some state and local jurisdictions currently or in the future may limit or eliminate a REIT’s deduction for dividends paid, which could increase our income tax expense. We are also subject to the continual examination of our income tax returns by the U.S. Internal Revenue Service and state, local and foreign tax authorities. The results of an audit and examination of previously filed tax returns and continuing assessments of our tax exposures may have an adverse effect on our provision for income taxes and cash tax liability.</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Furthermore, we have owned and may from time to time own direct and indirect ownership interests in subsidiary REITs, which must also comply with the same REIT requirements that we must satisfy, together with all other rules applicable to REITs. If the subsidiary REIT is determined to have failed to qualify for taxation as a REIT and certain relief provisions do not apply, then the subsidiary REIT would be subject to federal income tax, which tax we would economically bear along with applicable penalties and interest. In addition, our ownership of shares in such subsidiary REIT would fail to be a qualifying asset for purposes of the asset tests applicable to REITs and any dividend income or gains derived by us from such subsidiary REIT may cease to be treated as income that qualifies for purposes of the 75% gross income test. These consequences could have a material adverse effect on our ability to comply with the REIT income and asset tests, and thus our ability to qualify for taxation as a REIT.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Complying with REIT requirements may limit our flexibility or cause us to forego otherwise attractive opportunities.</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Our use of TRSs enables us to engage in non-REIT qualifying business activities. Under the Code, no more than 20% (25% beginning in 2026) of the value of the assets of a REIT may be represented by securities of one or more TRSs and no more than 25% of the value of the assets of the REIT may be represented by non-qualifying assets (including securities of one or more TRSs). This limitation may hinder our ability to make certain attractive investments or take advantage of acquisition opportunities, including the purchase of non-qualifying assets, the expansion of non-real estate activities and investments in the businesses to be conducted by our TRSs, and to that extent limit our opportunities and our flexibility to change our business strategy. Further, as a REIT, we must distribute to our stockholders an amount equal to at least 90% of our REIT taxable income (determined before the deduction for distributed earnings and excluding any net capital gain). To meet our annual distribution requirements, we may be required to distribute amounts that may otherwise be used for our operations, including amounts that may otherwise be invested in future acquisitions, capital expenditures or repayment of debt. As no more than 25% of our gross income may consist of dividend income from our TRSs and other non-qualifying types of income, our ability to receive distributions from our TRSs may be limited, which may impact our ability to fund distributions to our stockholders or to use income of our TRSs to fund other investments.</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In addition, the majority of our income and cash flows from our TRSs are generated from our international operations. In many cases, there are local withholding taxes and currency controls that may impact our ability or willingness to repatriate funds to the United States to help satisfy REIT distribution requirements. Additionally, to the extent we have excess cash in foreign locations that could be used in, or is needed by, our U.S. or foreign operations, we may incur significant foreign taxes to repatriate these funds, which would reduce the net amount ultimately available for such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could have liability under environmental and occupational safety and health laws.</w:t>
      </w:r>
    </w:p>
    <w:p>
      <w:pPr>
        <w:spacing w:after="0" w:line="17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231F20"/>
        </w:rPr>
        <w:t>Our operations are subject to various federal, state, local and foreign environmental and occupational safety and health laws and regulations, including those relating to the management, use, storage, disposal, emission and remediation of, and exposure to, hazardous and non-hazardous substances, materials and wastes. As the owner, lessee or operator of real property and facilities, including generators, we may be liable for substantial costs of investigation, removal or remediation of soil and groundwater contaminated by hazardous materials, and for damages and costs relating to off-site migration of hazardous materials, without regard to whether we, as the owner, lessee or operator, knew of, or were responsible for, the contamination. We may also be</w:t>
      </w:r>
    </w:p>
    <w:p>
      <w:pPr>
        <w:sectPr>
          <w:pgSz w:w="11880" w:h="15480" w:orient="portrait"/>
          <w:cols w:equalWidth="0" w:num="1">
            <w:col w:w="10240"/>
          </w:cols>
          <w:pgMar w:left="820" w:top="393" w:right="82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240"/>
          </w:cols>
          <w:pgMar w:left="820" w:top="393" w:right="820" w:bottom="0" w:gutter="0" w:footer="0" w:header="0"/>
          <w:type w:val="continuous"/>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20"/>
          <w:szCs w:val="20"/>
          <w:color w:val="231F20"/>
        </w:rPr>
        <w:t>liable for certain costs of remediating contamination at third-party sites to which we sent waste for disposal, even if the original disposal may have complied with all legal requirements at the time. Many of these laws and regulations contain information reporting and record keeping requirements. We may not be at all times in compliance with all environmental requirements. Further, our data center properties are subject to various federal, state and local regulations, such as state and local fire and life safety regulations and ADA federal requirements. We may be subject to potentially significant fines or penalties if we fail to comply with any of these requirements.</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requirements of the environmental and occupational safety and health laws and regulations are complex, change frequently and could become more stringent in the future. In certain jurisdictions, these laws and regulations could be applied retroactively or be broadened to cover situations or persons not currently considered. It is possible that these requirements will change or that liabilities will arise in the future in a manner that could have a material adverse effect on our business, results of operations or financial condition. While we maintain environmental and workers’ compensation insurance, we may not have adequate insurance to cover all costs, fines or penalties.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adversely affected by regulations related to climate change.</w:t>
      </w:r>
    </w:p>
    <w:p>
      <w:pPr>
        <w:spacing w:after="0" w:line="1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Efforts to regulate greenhouse gas emissions, the use of fossil fuels or requirements to use alternative fuel to power energy resources that serve our data centers or the generators we use in our emerging markets to deliver primary power to our customers may have direct or indirect effects on our business by increasing the cost of compliance. Although in the United States, the current administration has taken steps to reconsider many greenhouse gas initiatives (including reporting and disclosure requirements), there is an increased focus by many foreign (including the European Union), state (including California and New York) and local governments, regulators, investors, employees, customers and other stakeholders regarding environmental and energy policies relating to climate change, greenhouse gas emissions and other climate-related matters, including policies related to disclosure requirements. Accordingly, we will need to be prepared to contend with overlapping, yet distinct, climate-related disclosure requirements in multiple jurisdictions. Although a reduction in greenhouse gas emissions standards and reporting obligations in the U.S. may be possible at the federal level in the short-term, foreign and state governmental initiatives are becoming more stringent and may require us and our customers to make capital expenditures, such as investing in internal compliance systems and investments in personnel, which would result in increased costs for us and our customers. Failure to comply with applicable laws and regulations or other requirements imposed on us could also lead to fines and/or lost revenue.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Operation of Our Business</w:t>
      </w:r>
    </w:p>
    <w:p>
      <w:pPr>
        <w:spacing w:after="0" w:line="248" w:lineRule="exact"/>
        <w:rPr>
          <w:sz w:val="20"/>
          <w:szCs w:val="20"/>
          <w:color w:val="auto"/>
        </w:rPr>
      </w:pPr>
    </w:p>
    <w:p>
      <w:pPr>
        <w:jc w:val="both"/>
        <w:ind w:right="44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If we, or third parties on which we rely, experience technology failures, including cybersecurity incidents or the loss of personally identifiable information, we may incur substantial costs and suffer other negative consequences, which may include reputational damage.</w:t>
      </w:r>
    </w:p>
    <w:p>
      <w:pPr>
        <w:spacing w:after="0" w:line="1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As part of our normal business activities, including in our data centers, we rely on energy systems, cooling systems, communication networks, information technology and other computing resources, and collect, store, manage and otherwise process third-party data, including our customers’ data, our vendors’ data and our own data. We are vulnerable to physical or cybersecurity breaches, attacks, computer viruses, ransomware, malware, fraud, worms, adverse impacts of artificial intelligence, social engineering, denial-of-service attacks, malicious software programs, insider threats, unauthorized access and other cybersecurity incidents that could disrupt our, our customers’ or our vendors’ operations, expose us to liability and have a material adverse effect on our financial performance and operating results. These threats may result from human error, equipment failure, fraud or malice on the part of employees or third parties. A party who is able to compromise the security measures on our or our vendors’ networks or the security of our communications infrastructure could misappropriate our proprietary information or the personal information of our customers, our vendors, our employees or management, or cause interruptions or malfunctions in our operations or our customers’ operations. As we provide assurances to our customers that we provide a high level of security, such a compromise could be particularly harmful to our brand and reputation. We may be required to expend significant capital and resources to address any breaches, protect against such threats or to alleviate problems caused by security breaches.</w:t>
      </w:r>
    </w:p>
    <w:p>
      <w:pPr>
        <w:spacing w:after="0" w:line="13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231F20"/>
        </w:rPr>
        <w:t>Globally, the frequency, severity and sophistication of cybersecurity incidents have increased, and these trends will likely continue, especially during times of geopolitical tension or instability among countries from which a number of recent cybersecurity events have been alleged to have originated. Such cyber-attacks could be in the form of espionage, phishing campaigns and otherwise. Additionally, the use of AI technologies has led to increased exposure to cybersecurity threats globally. AI systems may be used by threat actors to exploit vulnerabilities more efficiently or to facilitate increasingly sophisticated cyberattacks, any of which could result in data breaches, operational disruptions or liability. We are continuously evaluating and enhancing our cybersecurity and information security systems and creating new systems and processes. However, there can be no assurance that these measures are or will be effective in preventing or limiting the impact of future</w:t>
      </w:r>
    </w:p>
    <w:p>
      <w:pPr>
        <w:sectPr>
          <w:pgSz w:w="11880" w:h="15480" w:orient="portrait"/>
          <w:cols w:equalWidth="0" w:num="1">
            <w:col w:w="10220"/>
          </w:cols>
          <w:pgMar w:left="820" w:top="393" w:right="84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220"/>
          </w:cols>
          <w:pgMar w:left="820" w:top="393" w:right="840" w:bottom="0" w:gutter="0" w:footer="0" w:header="0"/>
          <w:type w:val="continuous"/>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20"/>
          <w:szCs w:val="20"/>
          <w:color w:val="231F20"/>
        </w:rPr>
        <w:t>cybersecurity incidents. As techniques used to breach security grow in frequency and sophistication, and are generally not recognized until launched against a target, we, or our vendors, may not be able to promptly detect that a cyber breach has occurred or implement security measures in a timely manner. If and when implemented, we, or our vendors, may not be able to determine the extent to which these measures could be circumvented. Any breaches that may occur could expose us to increased risk of lawsuits, regulatory penalties, loss of existing or potential customers, damage relating to loss of proprietary information, harm to our reputation and increases in our security costs or related insurance, which could have a material adverse effect on our financial performance and operating results. We offer managed services in certain of our data centers where we provide “remote hands” services for our customers. The access to our customers’ networks and data, which is gained from these services, creates some risk that our customers’ networks or data will be improperly accessed. If we were held responsible for any such breach, it could result in a significant loss to us, including damage to our customer relationships, harm to our brand and reputation and legal liability. Additionally, while we maintain insurance coverage for cybersecurity incidents, we may not have adequate insurance to cover the associated costs in the event of a breach resulting in loss of data, such as personally identifiable information or other such data protected by data privacy or other laws, and we may be liable for damages, fines and penalties for such losses under applicable regulatory frameworks.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Although we and our vendors have disaster recovery programs and security measures in place, if our computer systems and our backup systems are compromised, degraded, damaged, breached or otherwise cease to function properly, we could suffer interruptions in our operations, including our ability to correctly record, process and report financial information, our customers’ network availability may be impacted or we could unintentionally allow misappropriation of proprietary or confidential information (including information about our customers or landlords, or customer information on our fiber, data center or managed networks businesses), which could result in a loss of revenue, damage to our reputation, damage to our customer and vendor relationships, litigation, regulatory investigations and penalties under existing or future data privacy laws and require us to incur significant costs to remediate or otherwise resolve these issues.</w:t>
      </w:r>
    </w:p>
    <w:p>
      <w:pPr>
        <w:spacing w:after="0" w:line="204"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data center segment contains certain operational differences from our tower leasing operations, resulting in different operational risks. If we do not successfully operate our data center segment or identify or manage the related operational risks, such operations may produce results that are lower than anticipated.</w:t>
      </w:r>
    </w:p>
    <w:p>
      <w:pPr>
        <w:spacing w:after="0" w:line="1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231F20"/>
        </w:rPr>
        <w:t>Over the last five years, we have significantly expanded our data centers business, which is a much less mature business for us than our tower leasing operations. Our data centers segment represented 10% of our total revenues for the year ended December 31, 2025. The business model for our data center business contains certain differences from our business model for our tower leasing operations, including those relating to customer base, competition, contract terms (including requirements for service level agreements regarding data center uptime and network performance), upfront capital requirements, ongoing capital improvements, expenditures required for maintenance of data center power, cooling and network equipment, landlord demographics, deployment and ownership of certain network assets, operational oversight requirements and government regulations. As we continue to invest in our data center segment, we may be required to commit significant operational and financial resources to data center developments, generally 12 to 18 months before securing customer contracts. Additionally, investments in data centers developments require a longer time to achieve stabilization and underwritten development yields than the development of new towers. If customer demand in our markets is insufficient once the data centers are built, we may have difficulty realizing expected or reasonable returns on these investments.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Moreover, we rely on third parties, governmental entities and suppliers to provide sufficient power for our data centers and to support future expansion, which is different than our tower leasing operations. Difficulties in securing contracted energy or obtaining adequate capacity for future data center developments may adversely affect our operations, financial performance and customer relationships. Power constraints, delays, unfavorable contractual terms and increased costs from utility providers could limit our ability to identify suitable sites and expand, particularly as evolving technologies, such as AI, increase power requirements. Our ability to scale remains dependent on reliable energy access amid rising electrification trends and associated infrastructure challenges.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Additionally, we are currently engaging in, or contemplating, data center expansions and new ground-up data center builds in new and existing markets. The construction projects associated with such expansion initiatives expose us to many risks that differ from those for our tower leasing operations, such as delays in site readiness, utility power and power grid constraints, the potential requirement for on-site power generation solutions where utility power is unavailable, lack of availability and delays for data center equipment, unexpected budget changes and unanticipated customer requirements that would necessitate alternative data center design, making our sites less desirable or leading to increased costs in order to make necessary modifications or retrofits. Construction projects are dependent on permitting from public agencies and utility companies. Any delay in permitting could affect our growth. While we do not currently anticipate any material long-term negative impact on our business due to construction delays, these types of delays and stoppages related to permitting from public agencies and utility companies could have an adverse effect on our revenue or growth.</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240"/>
          </w:cols>
          <w:pgMar w:left="820" w:top="393" w:right="820" w:bottom="0" w:gutter="0" w:footer="0" w:header="0"/>
          <w:type w:val="continuous"/>
        </w:sectPr>
      </w:pPr>
    </w:p>
    <w:bookmarkStart w:id="33" w:name="page34"/>
    <w:bookmarkEnd w:id="33"/>
    <w:p>
      <w:pPr>
        <w:spacing w:after="0" w:line="254" w:lineRule="auto"/>
        <w:rPr>
          <w:sz w:val="20"/>
          <w:szCs w:val="20"/>
          <w:color w:val="auto"/>
        </w:rPr>
      </w:pPr>
      <w:r>
        <w:rPr>
          <w:rFonts w:ascii="Times New Roman" w:cs="Times New Roman" w:eastAsia="Times New Roman" w:hAnsi="Times New Roman"/>
          <w:sz w:val="20"/>
          <w:szCs w:val="20"/>
          <w:color w:val="231F20"/>
        </w:rPr>
        <w:t>Furthermore, we also may face pressure from certain stakeholders, such as the communities in which we operate, who are increasingly focused on climate change and shortages of power, land and water resources, which are different pressures than those faced by our tower leasing operations. Such pressure could lead to federal, state or municipal governments imposing more stringent regulations and requirements to control the growth and development of data centers in their communities. New builds and further expansion of data center operations in such markets are increasingly being evaluated and approvals, if required, may only be granted where we are not only able to demonstrate that our operations are efficient in their use of energy and water but also that they have and/or will bring positive and significant environmental, economic and social impact to their local community.</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31F20"/>
        </w:rPr>
        <w:t>We have service level commitments to substantially all of our data center customers, and interruptions, equipment damage or staffing challenges could impair our ability to meet these obligations and lead to potential claims. Because our data centers are critical to many customers’ operations, such failures could result in lost profits or other consequential damages and diminish customer confidence, impacting our ability to retain and attract business. Additionally, we rely on third-party providers for internet, telecommunications and utilities, and any failure by these providers could adversely affect our business, financial condition and results of operations.</w:t>
      </w:r>
    </w:p>
    <w:p>
      <w:pPr>
        <w:spacing w:after="0" w:line="199"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our rights to the land under our towers and buildings in which our data centers are located, it could adversely affect our business and operating results.</w:t>
      </w:r>
    </w:p>
    <w:p>
      <w:pPr>
        <w:spacing w:after="0" w:line="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Our real property interests relating to our towers consist primarily of leasehold and sub-leasehold interests, fee interests, easements, licenses and rights-of-way. A loss of these interests at a particular tower site may interfere with our ability to operate that tower site and generate revenues. For various reasons, we may not always have the ability to access, analyze and verify all information regarding titles and other issues prior to completing an acquisition of communications sites, which can affect our rights to access and operate a site. From time to time, we also experience disputes with landowners regarding the terms of easements or ground agreements for land under towers, which can affect our ability to access and operate tower sites. Further, for various reasons, landowners may not want to renew their ground agreements with us, they may lose their rights to the land, or they may transfer their land interests to third parties, including ground lease aggregators, which could affect our ability to renew ground agreements on commercially viable terms. A significant number of the communications sites in our portfolio are located on land we lease pursuant to long-term operating leases. Further, for various reasons, title to property interests in some of the foreign jurisdictions in which we operate may not be as certain as title to our property interests in the United States. Our inability to protect our rights to the land under our towers may have a material adverse effect on our business, results of operations or financial condition.</w:t>
      </w:r>
    </w:p>
    <w:p>
      <w:pPr>
        <w:spacing w:after="0" w:line="1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We do not own the buildings for all of our data centers and our business could be harmed if we are unable to renew the leases for these data centers at favorable terms or at all, though we generally have the right to extend the terms of our leases when the primary terms of the leases expire. Failure to increase operating revenues to sufficiently offset any potential increase in lease costs, including as a result of the current inflationary environment, would adversely impact our operating income. We could also lose customers due to the disruptions in their operations caused by our inability to renew our data center leases.</w:t>
      </w:r>
    </w:p>
    <w:p>
      <w:pPr>
        <w:spacing w:after="0" w:line="12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231F20"/>
        </w:rPr>
        <w:t>Additionally, we rely on our landlords for basic maintenance of our leased data centers. If such landlords have not maintained our leased properties sufficiently, we may be forced into an early exit from one or more of these data centers, which could be disruptive to our business or cause us to incur additional costs.</w:t>
      </w:r>
    </w:p>
    <w:p>
      <w:pPr>
        <w:spacing w:after="0" w:line="186"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business depends on effective data governance, and failures in our data governance frameworks could adversely affect our operations.</w:t>
      </w:r>
    </w:p>
    <w:p>
      <w:pPr>
        <w:spacing w:after="0" w:line="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Our business depends on our ability to appropriately collect, manage, integrate and use data across our operations. We maintain data governance policies, steering committees and standards and controls designed to promote data quality and appropriate use. However, these frameworks may not operate as intended or keep pace with changes in our business, technology or regulatory environment. Insufficient controls over data access and usage (such as role-based entitlements, segregation of duties and monitoring) increase the likelihood of the perpetration of fraud, unauthorized changes to site inventories or records, data leakage involving sensitive customer, landlord or vendor information and operational disruptions to provisioning, energy management and service-level performance. Any material failure in these areas could negatively impact customers, drive delays and increase operating costs. Additionally, we utilize AI technologies that rely on access to and use of significant amounts of data, which in some cases include sensitive information. Inadequate safeguards over AI training data and model inputs or outputs could result in misuse of such data, algorithmic bias or violations of applicable privacy and data protection requirements. Moreover, errors or limitations in AI systems may unintentionally expose sensitive information, which could subject us to regulatory action, contractual claims or reputational harm. Failures or deficiencies in our data governance practices could result in inaccurate or inconsistent data, impaired decision</w:t>
      </w:r>
      <w:r>
        <w:rPr>
          <w:rFonts w:ascii="Arial" w:cs="Arial" w:eastAsia="Arial" w:hAnsi="Arial"/>
          <w:sz w:val="20"/>
          <w:szCs w:val="20"/>
          <w:color w:val="231F20"/>
        </w:rPr>
        <w:t>-</w:t>
      </w:r>
      <w:r>
        <w:rPr>
          <w:rFonts w:ascii="Times New Roman" w:cs="Times New Roman" w:eastAsia="Times New Roman" w:hAnsi="Times New Roman"/>
          <w:sz w:val="20"/>
          <w:szCs w:val="20"/>
          <w:color w:val="231F20"/>
        </w:rPr>
        <w:t>making, operational disruptions, regulatory noncompliance or reputational harm, which could adversely affect our business.</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240"/>
          </w:cols>
          <w:pgMar w:left="820" w:top="393" w:right="82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231F20"/>
        </w:rPr>
        <w:t>The transformation initiatives we undertake may not deliver the results we expect.</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We continue to seek to drive organizational improvement through a variety of actions, including operational and digital transformation, integration activities, strategic initiatives and business and operating model assessments. These initiatives can be time-consuming, disruptive to operations, and costly in the short-term. Successfully implementing these and other initiatives throughout our operations is critical to our future competitiveness and our ability to achieve long-term profitability. However, we cannot be certain that these initiatives will be successful in creating profit margins sufficient to sustain our current operating structure and business. Additionally, our future success depends upon our ability to recruit and retain the services of, among others, personnel with IT, data centers and telecommunications-related skills. There may be competition in attracting qualified personnel, and we may experience difficulty retaining and motivating existing employees and attracting qualified personnel to fill key positions.</w:t>
      </w:r>
    </w:p>
    <w:p>
      <w:pPr>
        <w:spacing w:after="0" w:line="200"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expansion initiatives involve a number of risks and uncertainties that could adversely affect our operating results, disrupt our operations or expose us to additional risk.</w:t>
      </w:r>
    </w:p>
    <w:p>
      <w:pPr>
        <w:spacing w:after="0" w:line="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During the course of acquiring or building communications sites and other communications infrastructure assets, including data center facilities and related assets, in our existing markets and expansion into new markets, we are subject to a number of risks and uncertainties, including not meeting our return on investment criteria and financial objectives, increased costs, assumed liabilities and the diversion of managerial attention. Achieving the benefits of acquisition and platform expansion initiatives depends in part on timely and efficient integration of operations, data centers and telecommunications infrastructure assets and personnel. Integration may be difficult and unpredictable for many reasons, including, among other things, increased construction costs or supply chain disruptions, portfolios without requisite permits, differing systems, cultural differences, conflicting policies, procedures and operations or with incomplete information.</w:t>
      </w:r>
    </w:p>
    <w:p>
      <w:pPr>
        <w:spacing w:after="0" w:line="1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231F20"/>
        </w:rPr>
        <w:t>Significant acquisition-related integration costs, including certain nonrecurring charges such as costs associated with onboarding employees, integrating information technology systems, acquiring permits and visiting, inspecting, engineering and upgrading tower sites or other communications infrastructure assets, could materially and adversely affect our results of operations in the period in which such charges are recorded or our cash flow in the period in which any related costs are actually paid. Some of our acquired portfolios have included sites that do not meet our structural specifications, including sites that may be overburdened. In these cases, beyond additional capital expenditures, general liability risks associated with such portfolios will exist until such time as those portfolios are upgraded or otherwise remedied. In addition, integration may significantly burden management and internal resources, including through the potential loss or unavailability of key personnel.</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Moreover, we may fail to successfully integrate the assets we acquire or fail to utilize such assets to their full capacity. If we are not able to meet these integration challenges, we may not realize the benefits we expect from our acquired portfolios and businesses, and our business, financial condition and results of operations will be adversely affected. Post-integration, certain operational complexities may remain into the mid- or long-term arising from the acquisition of assets from different sellers until they can be renegotiated, such as the requirement to manage multiple master lease agreements with differing terms with a single client.</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231F20"/>
        </w:rPr>
        <w:t>As a result of our acquisitions, we have a substantial amount of intangible assets and goodwill. In accordance with accounting principles generally accepted in the United States (“GAAP”), we are required to assess our goodwill and other intangible assets annually or more frequently in the event of circumstances indicating potential impairment to determine if they are impaired. If, as a result of the factors noted above, the testing performed indicates that an asset may not be recoverable or the carrying value exceeds the fair value, we would be required to record a non-cash impairment charge in the period the determination is made.</w:t>
      </w:r>
    </w:p>
    <w:p>
      <w:pPr>
        <w:spacing w:after="0" w:line="179"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towers, data centers, other telecommunications assets or computer systems may be affected by natural disasters (including as a result of climate change), public perception of health risks and other unforeseen events for which our insurance may not provide adequate coverage or result in increased insurance premiums.</w:t>
      </w:r>
    </w:p>
    <w:p>
      <w:pPr>
        <w:spacing w:after="0" w:line="1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Our towers, data centers, other telecommunications assets and computer systems are subject to risks associated with natural disasters, such as hurricanes, ice and windstorms, tornadoes, floods, earthquakes and wildfires, as well as other unforeseen events, such as the potential adverse effects of pandemics and acts of terrorism. During the past several years, we have seen an increase in severe weather events and expect this trend to continue due to climate change. Additionally, certain natural disasters or unforeseen events could lead to supply chain delays or shortages, which could impact our operational and financial performance. Moreover, rising incidents of theft, vandalism and fiber cuts targeting our assets could disrupt service and increase costs that we may not be able to fully insure or pass on to customers, which could lead to reputational harm and impact our financial performance. Further, environmental liabilities, such as contamination, asbestos-containing building materials, lead or lead-based paint and mold or other air quality issues at some of our data centers, could arise and have a material adverse effect on our financial condition and performance.</w:t>
      </w:r>
    </w:p>
    <w:p>
      <w:pPr>
        <w:sectPr>
          <w:pgSz w:w="11880" w:h="15480" w:orient="portrait"/>
          <w:cols w:equalWidth="0" w:num="1">
            <w:col w:w="10240"/>
          </w:cols>
          <w:pgMar w:left="820" w:top="624" w:right="820" w:bottom="0"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240"/>
          </w:cols>
          <w:pgMar w:left="820" w:top="624" w:right="820" w:bottom="0" w:gutter="0" w:footer="0" w:header="0"/>
          <w:type w:val="continuous"/>
        </w:sectPr>
      </w:pPr>
    </w:p>
    <w:bookmarkStart w:id="35" w:name="page36"/>
    <w:bookmarkEnd w:id="35"/>
    <w:p>
      <w:pPr>
        <w:ind w:right="40"/>
        <w:spacing w:after="0" w:line="272" w:lineRule="auto"/>
        <w:rPr>
          <w:sz w:val="20"/>
          <w:szCs w:val="20"/>
          <w:color w:val="auto"/>
        </w:rPr>
      </w:pPr>
      <w:r>
        <w:rPr>
          <w:rFonts w:ascii="Times New Roman" w:cs="Times New Roman" w:eastAsia="Times New Roman" w:hAnsi="Times New Roman"/>
          <w:sz w:val="19"/>
          <w:szCs w:val="19"/>
          <w:color w:val="231F20"/>
        </w:rPr>
        <w:t>While we maintain insurance coverage for certain natural disasters, we may not have adequate insurance to cover the associated costs of repair or reconstruction of sites or other telecommunications assets for a major future event, lost revenue, including from new customers that could have been added to our towers, data centers or other telecommunications assets but for the event, or other costs to remediate the impact of a significant event, such as wildfire damage caused by our towers. Further, we may be liable for damage caused by towers that collapse for any number of reasons including structural deficiencies, which could harm our reputation and require us to incur costs for which we may not have adequate insurance coverage.</w:t>
      </w:r>
    </w:p>
    <w:p>
      <w:pPr>
        <w:spacing w:after="0" w:line="11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231F20"/>
        </w:rPr>
        <w:t>Any damage or destruction to, or inability to access, our towers, data centers, other telecommunications assets or computer systems may cause supply chain delays or impact our ability to operate our business or provide services to our customers and lead to customer loss, which could have a material adverse effect on our business, results of operations or financial condition. Additionally, our communications sites could be subject to attacks instigated by claims that the deployment of 5G or similar networks is linked to adverse health effects.</w:t>
      </w:r>
    </w:p>
    <w:p>
      <w:pPr>
        <w:spacing w:after="0" w:line="12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231F20"/>
        </w:rPr>
        <w:t>Additionally, we must safeguard our customers’ infrastructure and equipment located in our data centers and ensure our data centers remain operational at all times. Problems at one or more of our data centers, whether or not within our control, could result in service interruptions or significant infrastructure or equipment damage. These could result from numerous factors, including limited power availability and grid distribution constraints due to high demand, human error, equipment failure, physical, electronic and cybersecurity breaches, fire, earthquake, hurricane, flood, tornado and other natural disasters, extreme temperatures, water damage, fiber cuts, power loss, terrorist acts, sabotage and vandalism, global pandemics or health emergencies and failure of business partners.</w:t>
      </w:r>
    </w:p>
    <w:p>
      <w:pPr>
        <w:spacing w:after="0" w:line="1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Negative public perception or regulations regarding perceived health risks from wireless technologies, including 5G, could slow wireless industry growth and adversely affect our business. Any finding or campaign suggesting radio frequency emissions pose health risks could harm customer relationships, reduce market acceptance and materially impact our operations and financial condition.</w:t>
      </w:r>
    </w:p>
    <w:p>
      <w:pPr>
        <w:spacing w:after="0" w:line="19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or choose not to exercise our rights to purchase towers that are subject to lease and sublease agreements at the end of the applicable period, our cash flows derived from those towers will be eliminated.</w:t>
      </w:r>
    </w:p>
    <w:p>
      <w:pPr>
        <w:spacing w:after="0" w:line="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communications real estate portfolio includes towers that we operate pursuant to lease and sublease agreements that include a purchase option at the end of the lease period. We may not have the required available capital to exercise our right to purchase the towers at the end of the applicable period, or we may choose, for business or other reasons, not to do so. If we do not exercise these purchase rights, and are unable to extend the lease or sublease or otherwise acquire an interest that would allow us to continue to operate these towers after the applicable period, we will lose the cash flows derived from the towers.</w:t>
      </w:r>
    </w:p>
    <w:p>
      <w:pPr>
        <w:spacing w:after="0" w:line="192"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1B.</w:t>
      </w:r>
      <w:r>
        <w:rPr>
          <w:sz w:val="20"/>
          <w:szCs w:val="20"/>
          <w:color w:val="auto"/>
        </w:rPr>
        <w:tab/>
      </w:r>
      <w:r>
        <w:rPr>
          <w:rFonts w:ascii="Times New Roman" w:cs="Times New Roman" w:eastAsia="Times New Roman" w:hAnsi="Times New Roman"/>
          <w:sz w:val="19"/>
          <w:szCs w:val="19"/>
          <w:b w:val="1"/>
          <w:bCs w:val="1"/>
          <w:color w:val="231F20"/>
        </w:rPr>
        <w:t>UNRESOLVED STAFF COMMENTS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318"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1C.</w:t>
      </w:r>
      <w:r>
        <w:rPr>
          <w:sz w:val="20"/>
          <w:szCs w:val="20"/>
          <w:color w:val="auto"/>
        </w:rPr>
        <w:tab/>
      </w:r>
      <w:r>
        <w:rPr>
          <w:rFonts w:ascii="Times New Roman" w:cs="Times New Roman" w:eastAsia="Times New Roman" w:hAnsi="Times New Roman"/>
          <w:sz w:val="19"/>
          <w:szCs w:val="19"/>
          <w:b w:val="1"/>
          <w:bCs w:val="1"/>
          <w:color w:val="231F20"/>
        </w:rPr>
        <w:t>CYBERSECURITY</w:t>
      </w:r>
    </w:p>
    <w:p>
      <w:pPr>
        <w:spacing w:after="0" w:line="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As part of our enterprise risk management, we maintain a comprehensive cybersecurity program that proactively monitors, assesses, identifies, mitigates and responds to cybersecurity threats, including threats relating to disruption of business operations or financial reporting systems, intellectual property theft, fraud, extortion, harm to employees or customers, violation of privacy laws and other litigation and legal and reputational risks, and that emphasizes governance and compliance. Our cybersecurity program and related cybersecurity policies are reviewed annually.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Board of Directors</w:t>
      </w:r>
    </w:p>
    <w:p>
      <w:pPr>
        <w:spacing w:after="0" w:line="1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Our cybersecurity program is overseen by the independent Audit Committee of our Board. Our Chief Information Security Officer (“CISO”) presents a quarterly report of cybersecurity updates to the Audit Committee. Each quarter, the Board receives a report from the Audit Committee chair on items covered during that quarter’s meeting. In 2025, the topics included, among other items, our focus on cybersecurity resilience, new cybersecurity initiatives, third-party risk and our approach to responsible use of artificial intelligence. Our Board's and Audit Committee’s inputs are key components in the development of our long-term cybersecurity strategy, aligning the program’s goals within our risk tolerance. Our Board is responsible for the oversight of our AI strategy and the Audit Committee has oversight over AI-related risk exposure and receives regular AI updates from management. Our Board, Audit Committee and management have overseen the development and launch of our AI governance program.</w:t>
      </w:r>
    </w:p>
    <w:p>
      <w:pPr>
        <w:sectPr>
          <w:pgSz w:w="11880" w:h="15480" w:orient="portrait"/>
          <w:cols w:equalWidth="0" w:num="1">
            <w:col w:w="10260"/>
          </w:cols>
          <w:pgMar w:left="82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260"/>
          </w:cols>
          <w:pgMar w:left="820" w:top="393" w:right="800" w:bottom="0" w:gutter="0" w:footer="0" w:header="0"/>
          <w:type w:val="continuous"/>
        </w:sectPr>
      </w:pPr>
    </w:p>
    <w:bookmarkStart w:id="36" w:name="page37"/>
    <w:bookmarkEnd w:id="36"/>
    <w:p>
      <w:pPr>
        <w:ind w:left="10"/>
        <w:spacing w:after="0" w:line="258" w:lineRule="auto"/>
        <w:rPr>
          <w:sz w:val="20"/>
          <w:szCs w:val="20"/>
          <w:color w:val="auto"/>
        </w:rPr>
      </w:pPr>
      <w:r>
        <w:rPr>
          <w:rFonts w:ascii="Times New Roman" w:cs="Times New Roman" w:eastAsia="Times New Roman" w:hAnsi="Times New Roman"/>
          <w:sz w:val="20"/>
          <w:szCs w:val="20"/>
          <w:color w:val="231F20"/>
        </w:rPr>
        <w:t>In addition, a periodic cybersecurity risk assessment is completed with an external third party to provide us with a more complete view of our cybersecurity risk. We retain a prominent cybersecurity consulting firm to assist with, and advise on, our cybersecurity and incident response program. We engage on a quarterly basis with our internal auditors on matters regarding cybersecurity and maintain a robust control environment, in compliance with the Sarbanes-Oxley Act of 2002, as amended, that includes controls to protect the confidentiality, integrity and availability our data.</w:t>
      </w:r>
    </w:p>
    <w:p>
      <w:pPr>
        <w:spacing w:after="0" w:line="1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Management</w:t>
      </w:r>
    </w:p>
    <w:p>
      <w:pPr>
        <w:spacing w:after="0" w:line="179"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231F20"/>
        </w:rPr>
        <w:t>We, along with CoreSite, our data centers operations subsidiary, each maintain a management information security steering committee. We maintain two steering committees because of the distinct nature of CoreSite’s business. Each committee works in collaboration with the other, including through the overlap of certain key steering committee members. Each committee meets quarterly. These committees provide direction and support for our and CoreSite’s security initiatives and review operational metrics.</w:t>
      </w:r>
    </w:p>
    <w:p>
      <w:pPr>
        <w:spacing w:after="0" w:line="124" w:lineRule="exact"/>
        <w:rPr>
          <w:sz w:val="20"/>
          <w:szCs w:val="20"/>
          <w:color w:val="auto"/>
        </w:rPr>
      </w:pPr>
    </w:p>
    <w:p>
      <w:pPr>
        <w:ind w:left="10" w:right="80"/>
        <w:spacing w:after="0" w:line="274" w:lineRule="auto"/>
        <w:rPr>
          <w:sz w:val="20"/>
          <w:szCs w:val="20"/>
          <w:color w:val="auto"/>
        </w:rPr>
      </w:pPr>
      <w:r>
        <w:rPr>
          <w:rFonts w:ascii="Times New Roman" w:cs="Times New Roman" w:eastAsia="Times New Roman" w:hAnsi="Times New Roman"/>
          <w:sz w:val="19"/>
          <w:szCs w:val="19"/>
          <w:color w:val="231F20"/>
        </w:rPr>
        <w:t>Our steering committee includes our CISO, our Chief Information Officer, our Senior Vice President and Chief Security Officer, our Senior Vice President, Internal Audit, our Vice President, Corporate Legal, CoreSite’s Senior Vice President of IT</w:t>
      </w:r>
    </w:p>
    <w:p>
      <w:pPr>
        <w:spacing w:after="0" w:line="1" w:lineRule="exact"/>
        <w:rPr>
          <w:sz w:val="20"/>
          <w:szCs w:val="20"/>
          <w:color w:val="auto"/>
        </w:rPr>
      </w:pPr>
    </w:p>
    <w:p>
      <w:pPr>
        <w:ind w:left="10" w:right="100" w:hanging="10"/>
        <w:spacing w:after="0" w:line="251" w:lineRule="auto"/>
        <w:tabs>
          <w:tab w:leader="none" w:pos="215"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Digitization and CoreSite’s Vice President of Information Security and IT Infrastructure. Our CISO has held information security and IT leadership positions across large organizations for nine years, which included overseeing governance and compliance programs. Our Chief Information Officer has held IT leadership positions across large, multi-national companies for nearly three decades, where he has overseen cybersecurity programs. Our Chief Security Officer heads our converged physical and information security team and has over 25 years of experience in the corporate security, crisis management, and security consulting industries, including as head of global security for a major mining company and through leadership positions in several international risk consultancies. Our Senior Vice President, Internal Audit, has over 30 years of international finance leadership experience and heads our Internal Audit function, including the evaluation of risk and vulnerabilities for both physical and system assets and the testing of related controls. Our Vice President, Corporate Legal also serves as our lead Privacy Officer and is a lawyer who has led our privacy program since its inception. CoreSite’s Senior Vice President of IT &amp; Digitization has led CoreSite’s IT function for over 5 years, including having responsibility for securing the business’s cybersecurity environment. CoreSite’s Vice President of Information Security and IT Infrastructure has over 25 years of experience building secure IT solutions across large network and data center environments and has been responsible for the day-to-day operation of CoreSite’s business-critical IT environment since 2015.</w:t>
      </w:r>
    </w:p>
    <w:p>
      <w:pPr>
        <w:spacing w:after="0" w:line="133"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231F20"/>
        </w:rPr>
        <w:t>CoreSite’s steering committee includes CoreSite’s Chief Executive Officer, its Chief Accounting Officer, its Chief Revenue Officer, its Senior Vice President of IT &amp; Digitization, its Vice President of Legal, its Senior Vice President of Development &amp; Product Engineering, its Senior Vice President of Data Center Operations, its Senior Vice President of Human Resources, its Senior Vice President of Finance &amp; Corporate Development, its Vice President of Information Security and IT Infrastructure, its Director of Compliance &amp; Internal Controls, and American Tower’s CISO. Each of CoreSite’s steering committee members has been chosen based on their understanding of, and participation in, maintaining the rigorous control environment necessary to achieve the list of certifications detailed below.</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As part of our risk management strategy, we maintain an insurance policy to cover cybersecurity incidents.</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CoreSite maintains several certifications related to cybersecurity processes for nearly all of its data center facilities, including:</w:t>
      </w:r>
    </w:p>
    <w:p>
      <w:pPr>
        <w:spacing w:after="0" w:line="30" w:lineRule="exact"/>
        <w:rPr>
          <w:sz w:val="20"/>
          <w:szCs w:val="20"/>
          <w:color w:val="auto"/>
        </w:rPr>
      </w:pPr>
    </w:p>
    <w:p>
      <w:pPr>
        <w:ind w:left="10" w:right="440" w:hanging="10"/>
        <w:spacing w:after="0" w:line="263" w:lineRule="auto"/>
        <w:tabs>
          <w:tab w:leader="none" w:pos="249"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System and Organization Controls (SOC) 1 Type 2 examination; (ii) SOC 2 Type 2 examination; (iii) International Organization for Standardization (ISO/IEC 27001); (iv) National Institute of Standards and Technology Publication Series</w:t>
      </w:r>
    </w:p>
    <w:p>
      <w:pPr>
        <w:spacing w:after="0" w:line="1" w:lineRule="exact"/>
        <w:rPr>
          <w:rFonts w:ascii="Times New Roman" w:cs="Times New Roman" w:eastAsia="Times New Roman" w:hAnsi="Times New Roman"/>
          <w:sz w:val="19"/>
          <w:szCs w:val="19"/>
          <w:color w:val="231F20"/>
        </w:rPr>
      </w:pPr>
    </w:p>
    <w:p>
      <w:pPr>
        <w:ind w:left="10" w:right="60"/>
        <w:spacing w:after="0" w:line="253"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20"/>
          <w:szCs w:val="20"/>
          <w:color w:val="231F20"/>
        </w:rPr>
        <w:t>800-53 (NIST 800-53) attestation based on the high-impact baseline controls and additional Federal Risk and Authorization Management Program (FedRAMP) requirements for a subset of control families applicable to colocation services; (v) Payment Card Industry Data Security Standard (PCI DSS) validation; and (vi) Health Insurance Portability and Accountability Act (HIPAA) attestation for the HIPAA Security Rule and the Health Information Technology for Economic and Clinical Health Act (HITECH) Breach Notification requirements.</w:t>
      </w:r>
    </w:p>
    <w:p>
      <w:pPr>
        <w:spacing w:after="0" w:line="128" w:lineRule="exact"/>
        <w:rPr>
          <w:sz w:val="20"/>
          <w:szCs w:val="20"/>
          <w:color w:val="auto"/>
        </w:rPr>
      </w:pPr>
    </w:p>
    <w:p>
      <w:pPr>
        <w:jc w:val="both"/>
        <w:ind w:left="10" w:right="280"/>
        <w:spacing w:after="0" w:line="258" w:lineRule="auto"/>
        <w:rPr>
          <w:sz w:val="20"/>
          <w:szCs w:val="20"/>
          <w:color w:val="auto"/>
        </w:rPr>
      </w:pPr>
      <w:r>
        <w:rPr>
          <w:rFonts w:ascii="Times New Roman" w:cs="Times New Roman" w:eastAsia="Times New Roman" w:hAnsi="Times New Roman"/>
          <w:sz w:val="20"/>
          <w:szCs w:val="20"/>
          <w:color w:val="231F20"/>
        </w:rPr>
        <w:t>Our cybersecurity awareness program provides training for all global employees at onboarding and subsequently three times every year. In 2025, across our organization, employees completed over 16,000 training classes related to cybersecurity and responsible AI use. Additionally, in 2025, to elevate cybersecurity awareness, we also conducted live trainings as part of our Employee Development program, sent monthly phishing tips to all employees and provided weekly communications during October, which is cybersecurity awareness month.</w:t>
      </w:r>
    </w:p>
    <w:p>
      <w:pPr>
        <w:spacing w:after="0" w:line="124" w:lineRule="exact"/>
        <w:rPr>
          <w:sz w:val="20"/>
          <w:szCs w:val="20"/>
          <w:color w:val="auto"/>
        </w:rPr>
      </w:pPr>
    </w:p>
    <w:p>
      <w:pPr>
        <w:ind w:left="10" w:right="200"/>
        <w:spacing w:after="0" w:line="261" w:lineRule="auto"/>
        <w:rPr>
          <w:sz w:val="20"/>
          <w:szCs w:val="20"/>
          <w:color w:val="auto"/>
        </w:rPr>
      </w:pPr>
      <w:r>
        <w:rPr>
          <w:rFonts w:ascii="Times New Roman" w:cs="Times New Roman" w:eastAsia="Times New Roman" w:hAnsi="Times New Roman"/>
          <w:sz w:val="19"/>
          <w:szCs w:val="19"/>
          <w:color w:val="231F20"/>
        </w:rPr>
        <w:t>Operationally, we, along with CoreSite, each perform periodic penetration testing to identify weaknesses in systems and networks so that they can be addressed appropriately. At least once every other year, we also engage an outside cybersecurity firm to perform independent testing or a risk assessment. Our vulnerability management program is in place to adequately identify, classify, prioritize and remediate vulnerabilities affecting assets. Our security operations program monitors our</w:t>
      </w:r>
    </w:p>
    <w:p>
      <w:pPr>
        <w:sectPr>
          <w:pgSz w:w="11880" w:h="15480" w:orient="portrait"/>
          <w:cols w:equalWidth="0" w:num="1">
            <w:col w:w="10230"/>
          </w:cols>
          <w:pgMar w:left="810" w:top="393" w:right="840" w:bottom="0" w:gutter="0" w:footer="0" w:header="0"/>
        </w:sectPr>
      </w:pPr>
    </w:p>
    <w:p>
      <w:pPr>
        <w:spacing w:after="0" w:line="38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230"/>
          </w:cols>
          <w:pgMar w:left="810" w:top="393" w:right="840" w:bottom="0" w:gutter="0" w:footer="0" w:header="0"/>
          <w:type w:val="continuous"/>
        </w:sectPr>
      </w:pPr>
    </w:p>
    <w:bookmarkStart w:id="37" w:name="page38"/>
    <w:bookmarkEnd w:id="37"/>
    <w:p>
      <w:pPr>
        <w:spacing w:after="0" w:line="239" w:lineRule="auto"/>
        <w:rPr>
          <w:sz w:val="20"/>
          <w:szCs w:val="20"/>
          <w:color w:val="auto"/>
        </w:rPr>
      </w:pPr>
      <w:r>
        <w:rPr>
          <w:rFonts w:ascii="Times New Roman" w:cs="Times New Roman" w:eastAsia="Times New Roman" w:hAnsi="Times New Roman"/>
          <w:sz w:val="20"/>
          <w:szCs w:val="20"/>
          <w:color w:val="231F20"/>
        </w:rPr>
        <w:t>systems and networks, and is responsible for investigating, responding to, and reporting any potential security incidents in a timely manner. Our Incident Response Plan includes steps to determine materiality of any such incident and escalate matters to the Board and our employees are regularly trained on the plan. We conduct an incident response exercise at least annually to ensure a timely, consistent and compliant response. In 2025, we performed a cybersecurity-focused tabletop exercise which simulated multiple types of cybersecurity incidents, including (a) compromised credentials, (b) brute force attack, (c) uncleaned malware and (d) ransomware to validate and update our internal processes. This tabletop exercise was facilitated by a third-party.</w:t>
      </w:r>
    </w:p>
    <w:p>
      <w:pPr>
        <w:spacing w:after="0" w:line="12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Our cybersecurity risk management processes extend to the oversight and identification of threats associated with our use of third-party vendors and service providers. We have in place a Third-Party Cybersecurity Risk Management program to assess the cybersecurity practices of third-party vendors and service providers with access to our and CoreSite’s systems or information.</w:t>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At the core of our AI governance program is our Global Artificial Intelligence Use and Development Policy, launched in 2025, which establishes the benefits, restrictions and preconditions for AI use and empowers a permanent, cross</w:t>
      </w:r>
      <w:r>
        <w:rPr>
          <w:rFonts w:ascii="Arial" w:cs="Arial" w:eastAsia="Arial" w:hAnsi="Arial"/>
          <w:sz w:val="20"/>
          <w:szCs w:val="20"/>
          <w:color w:val="231F20"/>
        </w:rPr>
        <w:t>-</w:t>
      </w:r>
      <w:r>
        <w:rPr>
          <w:rFonts w:ascii="Times New Roman" w:cs="Times New Roman" w:eastAsia="Times New Roman" w:hAnsi="Times New Roman"/>
          <w:sz w:val="20"/>
          <w:szCs w:val="20"/>
          <w:color w:val="231F20"/>
        </w:rPr>
        <w:t>functional AI steering committee to review and approve AI use cases, implement mandatory employee training and ensure that AI is used responsibly and with a balanced assessment of risks and benefits.</w:t>
      </w:r>
    </w:p>
    <w:p>
      <w:pPr>
        <w:spacing w:after="0" w:line="12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We have not been materially impacted by any cybersecurity threats or prior cybersecurity incidents, including with respect to our business strategy, results of operations or financial condition. However, we cannot provide assurance that we will not be materially affected in the future by such risks, threats or any future material incidents. See “Risk Factors” in Item 1A of this Annual Report on Form 10-K for more information on our cybersecurity-related risks.</w:t>
      </w:r>
    </w:p>
    <w:p>
      <w:pPr>
        <w:spacing w:after="0" w:line="191"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2.</w:t>
      </w:r>
      <w:r>
        <w:rPr>
          <w:sz w:val="20"/>
          <w:szCs w:val="20"/>
          <w:color w:val="auto"/>
        </w:rPr>
        <w:tab/>
      </w:r>
      <w:r>
        <w:rPr>
          <w:rFonts w:ascii="Times New Roman" w:cs="Times New Roman" w:eastAsia="Times New Roman" w:hAnsi="Times New Roman"/>
          <w:sz w:val="20"/>
          <w:szCs w:val="20"/>
          <w:b w:val="1"/>
          <w:bCs w:val="1"/>
          <w:color w:val="231F20"/>
        </w:rPr>
        <w:t>PROPERTIES</w:t>
      </w:r>
    </w:p>
    <w:p>
      <w:pPr>
        <w:spacing w:after="0" w:line="2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As of December 31, 2025, we owned and operated a portfolio of 149,686 communications sites, including 862 DAS networks. See the table in Item 7 of this Annual Report, under the caption “Management’s Discussion and Analysis of Financial Condition and Results of Operations—Executive Overview” for more detailed information on the geographic locations of our communications sites. In addition, we own property interests that we lease to communications service providers and third-party tower operators in Canada and the United States, which are included in our U.S. &amp; Canada property segment, and also own and operate data center facilities and related assets in the United States, which are included in our Data Centers segment.</w:t>
      </w:r>
    </w:p>
    <w:p>
      <w:pPr>
        <w:spacing w:after="0" w:line="12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231F20"/>
        </w:rPr>
        <w:t>Our interests in our communications sites consist of a variety of ownership interests, including leases created by long-term ground lease agreements, easements, licenses or rights-of-way granted by government entities.</w:t>
      </w:r>
    </w:p>
    <w:p>
      <w:pPr>
        <w:spacing w:after="0" w:line="1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A typical tower site consists of a compound enclosing the tower site, a tower structure and, in some cases, one or more equipment shelters that house a variety of transmitting, receiving and switching equipment. In addition, many of our international sites typically include power generators and batteries, which are often used for primary power in lieu of an electric grid connection in select markets. The principal types of our towers are guyed, self-supporting lattice and monopole, and rooftop towers in our international markets.</w:t>
      </w:r>
    </w:p>
    <w:p>
      <w:pPr>
        <w:spacing w:after="0" w:line="124" w:lineRule="exact"/>
        <w:rPr>
          <w:sz w:val="20"/>
          <w:szCs w:val="20"/>
          <w:color w:val="auto"/>
        </w:rPr>
      </w:pPr>
    </w:p>
    <w:p>
      <w:pPr>
        <w:ind w:left="720" w:right="40" w:hanging="370"/>
        <w:spacing w:after="0" w:line="257"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guyed tower includes a series of cables attaching separate levels of the tower to anchor foundations in the ground and can reach heights of up to 2,000 feet. A typical guyed broadcast tower can be located on a tract of land of up to 20 acres.</w:t>
      </w:r>
    </w:p>
    <w:p>
      <w:pPr>
        <w:spacing w:after="0" w:line="1" w:lineRule="exact"/>
        <w:rPr>
          <w:rFonts w:ascii="Times New Roman" w:cs="Times New Roman" w:eastAsia="Times New Roman" w:hAnsi="Times New Roman"/>
          <w:sz w:val="20"/>
          <w:szCs w:val="20"/>
          <w:color w:val="231F20"/>
        </w:rPr>
      </w:pPr>
    </w:p>
    <w:p>
      <w:pPr>
        <w:ind w:left="720" w:right="80" w:hanging="370"/>
        <w:spacing w:after="0" w:line="250"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self-supporting lattice tower typically tapers from the bottom up and usually has three or four legs. A lattice tower can reach heights of up to 1,000 feet, although most lattice structures are between 200 and 400 feet. Depending on the height of the tower, a lattice tower site can be located on a tract of land of 10,000 square feet for a rural site or fewer than 2,500 square feet for a metropolitan site.</w:t>
      </w:r>
    </w:p>
    <w:p>
      <w:pPr>
        <w:spacing w:after="0" w:line="1" w:lineRule="exact"/>
        <w:rPr>
          <w:rFonts w:ascii="Times New Roman" w:cs="Times New Roman" w:eastAsia="Times New Roman" w:hAnsi="Times New Roman"/>
          <w:sz w:val="20"/>
          <w:szCs w:val="20"/>
          <w:color w:val="231F20"/>
        </w:rPr>
      </w:pPr>
    </w:p>
    <w:p>
      <w:pPr>
        <w:ind w:left="720" w:right="60" w:hanging="370"/>
        <w:spacing w:after="0" w:line="250"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monopole tower is a tubular structure that is used primarily to address space constraints or aesthetic concerns. Monopoles typically have heights ranging from 50 to 200 feet. A monopole tower site used in metropolitan areas for a typical wireless communications tower can be located on a tract of land of fewer than 2,500 square feet.</w:t>
      </w:r>
    </w:p>
    <w:p>
      <w:pPr>
        <w:spacing w:after="0" w:line="1" w:lineRule="exact"/>
        <w:rPr>
          <w:rFonts w:ascii="Times New Roman" w:cs="Times New Roman" w:eastAsia="Times New Roman" w:hAnsi="Times New Roman"/>
          <w:sz w:val="20"/>
          <w:szCs w:val="20"/>
          <w:color w:val="231F20"/>
        </w:rPr>
      </w:pPr>
    </w:p>
    <w:p>
      <w:pPr>
        <w:ind w:left="720" w:hanging="370"/>
        <w:spacing w:after="0" w:line="255" w:lineRule="auto"/>
        <w:tabs>
          <w:tab w:leader="none" w:pos="72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Rooftop towers are primarily used in metropolitan areas in our Africa &amp; APAC, Europe and Latin America markets, where locations for traditional tower structures are unavailable. Rooftop towers typically have heights ranging from 10 to 100 feet.</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i w:val="1"/>
          <w:iCs w:val="1"/>
          <w:color w:val="231F20"/>
        </w:rPr>
        <w:t>U.S. &amp; Canada Property Segment Encumbered Sites</w:t>
      </w:r>
      <w:r>
        <w:rPr>
          <w:rFonts w:ascii="Times New Roman" w:cs="Times New Roman" w:eastAsia="Times New Roman" w:hAnsi="Times New Roman"/>
          <w:sz w:val="20"/>
          <w:szCs w:val="20"/>
          <w:color w:val="231F20"/>
        </w:rPr>
        <w:t>. As of December 31, 2025, the loan underlying the securitization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transactions completed in March 2018 and March 2023 (the “2018 Securitization” and the “2023 Securitization”, respectively, and together, the “Trust Securitization”) is secured by mortgages, deeds of trust and deeds to secure the loan on substantially all of the 5,023 broadcast and wireless communications towers and related assets owned by the borrowers (the “Trust Sites”).</w:t>
      </w:r>
    </w:p>
    <w:p>
      <w:pPr>
        <w:spacing w:after="0" w:line="12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231F20"/>
        </w:rPr>
        <w:t>There are no encumbered sites in our Africa &amp; APAC, Europe or Latin America property segments or in our Data Centers segment.</w:t>
      </w:r>
    </w:p>
    <w:p>
      <w:pPr>
        <w:sectPr>
          <w:pgSz w:w="11880" w:h="15480" w:orient="portrait"/>
          <w:cols w:equalWidth="0" w:num="1">
            <w:col w:w="10220"/>
          </w:cols>
          <w:pgMar w:left="820" w:top="393" w:right="840" w:bottom="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220"/>
          </w:cols>
          <w:pgMar w:left="820" w:top="393" w:right="840" w:bottom="0" w:gutter="0" w:footer="0" w:header="0"/>
          <w:type w:val="continuous"/>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20"/>
          <w:szCs w:val="20"/>
          <w:i w:val="1"/>
          <w:iCs w:val="1"/>
          <w:color w:val="231F20"/>
        </w:rPr>
        <w:t xml:space="preserve">Ground Leases. </w:t>
      </w:r>
      <w:r>
        <w:rPr>
          <w:rFonts w:ascii="Times New Roman" w:cs="Times New Roman" w:eastAsia="Times New Roman" w:hAnsi="Times New Roman"/>
          <w:sz w:val="20"/>
          <w:szCs w:val="20"/>
          <w:color w:val="231F20"/>
        </w:rPr>
        <w:t>Of the 148,824 towers in our portfolio as of December 31, 2025, approximately 80% were located on land we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lease. Typically, we seek to enter long-term ground leases, which have initial terms of approximately five to ten years with one or more automatic or exercisable renewal periods. As a result, 56% of the ground leases for our sites have a final expiration date of 2035 and beyond.</w:t>
      </w:r>
    </w:p>
    <w:p>
      <w:pPr>
        <w:spacing w:after="0" w:line="15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20"/>
          <w:szCs w:val="20"/>
          <w:i w:val="1"/>
          <w:iCs w:val="1"/>
          <w:color w:val="231F20"/>
        </w:rPr>
        <w:t>Customers</w:t>
      </w:r>
      <w:r>
        <w:rPr>
          <w:rFonts w:ascii="Times New Roman" w:cs="Times New Roman" w:eastAsia="Times New Roman" w:hAnsi="Times New Roman"/>
          <w:sz w:val="20"/>
          <w:szCs w:val="20"/>
          <w:color w:val="231F20"/>
        </w:rPr>
        <w:t>. Our customers are primarily wireless service providers, broadcasters and other companies in a variety of industries.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 the year ended December 31, 2025, our top four customers by total revenue were T-Mobile (18%), AT&amp;T (17%), Verizon Wireless (14%) and Telefónica (10%).</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Across most of our markets, our tenant leases for our communications sites with wireless carriers have initial non-cancellable terms of five to ten years with multiple renewal terms. As a result, approximately 48% of our current tenant leases have a renewal date of 2031 or beyond.</w:t>
      </w:r>
    </w:p>
    <w:p>
      <w:pPr>
        <w:spacing w:after="0" w:line="15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20"/>
          <w:szCs w:val="20"/>
          <w:i w:val="1"/>
          <w:iCs w:val="1"/>
          <w:color w:val="231F20"/>
        </w:rPr>
        <w:t xml:space="preserve">Data Centers. </w:t>
      </w:r>
      <w:r>
        <w:rPr>
          <w:rFonts w:ascii="Times New Roman" w:cs="Times New Roman" w:eastAsia="Times New Roman" w:hAnsi="Times New Roman"/>
          <w:sz w:val="20"/>
          <w:szCs w:val="20"/>
          <w:color w:val="231F20"/>
        </w:rPr>
        <w:t>We own and operate data center facilities and related assets, and as of December 31, 2025, our data center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portfolio consisted of 30 operating data center facilities across eleven United States markets, across 3.7 million net rentable square feet (“NRSF”).</w:t>
      </w:r>
    </w:p>
    <w:p>
      <w:pPr>
        <w:spacing w:after="0" w:line="15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i w:val="1"/>
          <w:iCs w:val="1"/>
          <w:color w:val="231F20"/>
        </w:rPr>
        <w:t xml:space="preserve">Offices. </w:t>
      </w:r>
      <w:r>
        <w:rPr>
          <w:rFonts w:ascii="Times New Roman" w:cs="Times New Roman" w:eastAsia="Times New Roman" w:hAnsi="Times New Roman"/>
          <w:sz w:val="20"/>
          <w:szCs w:val="20"/>
          <w:color w:val="231F20"/>
        </w:rPr>
        <w:t>Our principal corporate headquarters is leased and located in Boston, Massachusetts, where we currently lease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approximately 61,000 square feet of office space. We also own or have entered into long-term leases for the majority of our facilities in international and regional locations for the management and operation of our property and services businesses, including offices in each of our U.S. &amp; Canada, Africa &amp; APAC, Europe, Latin America and Data Centers segments. Our international headquarters is leased and located in Amsterdam, Netherlands. We believe that our owned and leased facilities are suitable and adequate to meet our anticipated needs.</w:t>
      </w:r>
    </w:p>
    <w:p>
      <w:pPr>
        <w:spacing w:after="0" w:line="274"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231F20"/>
        </w:rPr>
        <w:t>ITEM 3.</w:t>
      </w:r>
      <w:r>
        <w:rPr>
          <w:sz w:val="20"/>
          <w:szCs w:val="20"/>
          <w:color w:val="auto"/>
        </w:rPr>
        <w:tab/>
      </w:r>
      <w:r>
        <w:rPr>
          <w:rFonts w:ascii="Times New Roman" w:cs="Times New Roman" w:eastAsia="Times New Roman" w:hAnsi="Times New Roman"/>
          <w:sz w:val="20"/>
          <w:szCs w:val="20"/>
          <w:b w:val="1"/>
          <w:bCs w:val="1"/>
          <w:color w:val="231F20"/>
        </w:rPr>
        <w:t>LEGAL PROCEEDINGS</w:t>
      </w:r>
    </w:p>
    <w:p>
      <w:pPr>
        <w:spacing w:after="0" w:line="24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color w:val="231F20"/>
        </w:rPr>
        <w:t>We periodically become involved in various claims and lawsuits that are incidental to our business. While our management, after consultation with counsel, currently believes the ultimate outcome of these legal proceedings, individually and in the aggregate, will not have a material adverse impact on our consolidated financial position, results of operations or liquidity, litigation is subject to inherent uncertainties. Were an unfavorable ruling to occur, there exists the possibility of a material adverse impact on our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AT&amp;T Mexico Dispute</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are currently engaged in an Arbitration with AT&amp;T Mexico. AT&amp;T Mexico, which represented approximately $300 million of tenant revenue in 2025, is challenging the calculation of the monthly lease amount established under the MLA, as well as certain other provisions of the MLA, seeking rent abatement both retroactively and prospectively, and had been withholding tower rents since the start of 2025. We incurred approximately $30 million of reserves during the year ended December 31, 2025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is scheduled for a hearing in August 2026.</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DISH Dispute</w:t>
      </w:r>
    </w:p>
    <w:p>
      <w:pPr>
        <w:spacing w:after="0" w:line="17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On September 24, 2025, DISH delivered a notice purporting to be excused from its contractual obligations under the SCA. DISH has failed to meet its payment obligations, and as of January 2026 is in default under the SCA. We remain confident that DISH has not been excused from its obligations under the SCA, and that the SCA remains in full force and effect. On October 20, 2025, we filed a complaint in the U.S. District Court for the District of Colorado seeking a declaratory judgment that DISH has not been excused from its obligations under the SCA, that the SCA remains in full force and effect, and that DISH remains required to perform all of its obligations under the SCA. DISH represented approximately 2% and 4% of our total annual property revenue and total annual U.S. &amp; Canada property revenue, respectively, for 2025.</w:t>
      </w:r>
    </w:p>
    <w:p>
      <w:pPr>
        <w:sectPr>
          <w:pgSz w:w="11880" w:h="15480" w:orient="portrait"/>
          <w:cols w:equalWidth="0" w:num="1">
            <w:col w:w="10240"/>
          </w:cols>
          <w:pgMar w:left="820" w:top="38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240"/>
          </w:cols>
          <w:pgMar w:left="820" w:top="389" w:right="820" w:bottom="0" w:gutter="0" w:footer="0" w:header="0"/>
          <w:type w:val="continuous"/>
        </w:sectPr>
      </w:pPr>
    </w:p>
    <w:bookmarkStart w:id="39" w:name="page40"/>
    <w:bookmarkEnd w:id="39"/>
    <w:p>
      <w:pPr>
        <w:ind w:left="4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231F20"/>
        </w:rPr>
        <w:t>ITEM 4.</w:t>
      </w:r>
      <w:r>
        <w:rPr>
          <w:sz w:val="20"/>
          <w:szCs w:val="20"/>
          <w:color w:val="auto"/>
        </w:rPr>
        <w:tab/>
      </w:r>
      <w:r>
        <w:rPr>
          <w:rFonts w:ascii="Times New Roman" w:cs="Times New Roman" w:eastAsia="Times New Roman" w:hAnsi="Times New Roman"/>
          <w:sz w:val="20"/>
          <w:szCs w:val="20"/>
          <w:b w:val="1"/>
          <w:bCs w:val="1"/>
          <w:color w:val="231F20"/>
        </w:rPr>
        <w:t>MINE SAFETY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N/A.</w:t>
      </w:r>
    </w:p>
    <w:p>
      <w:pPr>
        <w:sectPr>
          <w:pgSz w:w="11880" w:h="15480" w:orient="portrait"/>
          <w:cols w:equalWidth="0" w:num="1">
            <w:col w:w="9620"/>
          </w:cols>
          <w:pgMar w:left="820" w:top="4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620"/>
          </w:cols>
          <w:pgMar w:left="820" w:top="461" w:right="1440" w:bottom="0" w:gutter="0" w:footer="0" w:header="0"/>
          <w:type w:val="continuous"/>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85" w:lineRule="exact"/>
        <w:rPr>
          <w:sz w:val="20"/>
          <w:szCs w:val="20"/>
          <w:color w:val="auto"/>
        </w:rPr>
      </w:pPr>
    </w:p>
    <w:p>
      <w:pPr>
        <w:ind w:left="1160" w:right="20" w:hanging="1124"/>
        <w:spacing w:after="0" w:line="244" w:lineRule="auto"/>
        <w:tabs>
          <w:tab w:leader="none" w:pos="1140" w:val="left"/>
        </w:tabs>
        <w:rPr>
          <w:sz w:val="20"/>
          <w:szCs w:val="20"/>
          <w:color w:val="auto"/>
        </w:rPr>
      </w:pPr>
      <w:r>
        <w:rPr>
          <w:rFonts w:ascii="Times New Roman" w:cs="Times New Roman" w:eastAsia="Times New Roman" w:hAnsi="Times New Roman"/>
          <w:sz w:val="20"/>
          <w:szCs w:val="20"/>
          <w:b w:val="1"/>
          <w:bCs w:val="1"/>
          <w:color w:val="231F20"/>
        </w:rPr>
        <w:t>ITEM 5.</w:t>
      </w:r>
      <w:r>
        <w:rPr>
          <w:sz w:val="20"/>
          <w:szCs w:val="20"/>
          <w:color w:val="auto"/>
        </w:rPr>
        <w:tab/>
      </w:r>
      <w:r>
        <w:rPr>
          <w:rFonts w:ascii="Times New Roman" w:cs="Times New Roman" w:eastAsia="Times New Roman" w:hAnsi="Times New Roman"/>
          <w:sz w:val="20"/>
          <w:szCs w:val="20"/>
          <w:b w:val="1"/>
          <w:bCs w:val="1"/>
          <w:color w:val="231F20"/>
        </w:rPr>
        <w:t>MARKET FOR REGISTRANT’S COMMON EQUITY, RELATED STOCKHOLDER MATTERS AND ISSUER PURCHASES OF EQUITY SECURITIES</w:t>
      </w:r>
    </w:p>
    <w:p>
      <w:pPr>
        <w:spacing w:after="0" w:line="20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231F20"/>
        </w:rPr>
        <w:t>Our common stock is listed on the NYSE under the ticker symbol AMT. As of February 17, 2026, we had 466,084,820 outstanding shares of common stock and 121 holders of record.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Dividends</w:t>
      </w:r>
    </w:p>
    <w:p>
      <w:pPr>
        <w:spacing w:after="0" w:line="17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231F20"/>
        </w:rPr>
        <w:t>As a REIT, we must annually distribute to our stockholders an amount equal to at least 90% of our REIT taxable income (determined before the deduction for distributed earnings and excluding any net capital gain). Generally, we have distributed and expect to continue to distribute all or substantially all of our REIT taxable income after taking into consideration our utilization of net operating losses (</w:t>
      </w:r>
      <w:r>
        <w:rPr>
          <w:rFonts w:ascii="Times New Roman" w:cs="Times New Roman" w:eastAsia="Times New Roman" w:hAnsi="Times New Roman"/>
          <w:sz w:val="22"/>
          <w:szCs w:val="22"/>
          <w:color w:val="231F20"/>
        </w:rPr>
        <w:t>“</w:t>
      </w:r>
      <w:r>
        <w:rPr>
          <w:rFonts w:ascii="Times New Roman" w:cs="Times New Roman" w:eastAsia="Times New Roman" w:hAnsi="Times New Roman"/>
          <w:sz w:val="20"/>
          <w:szCs w:val="20"/>
          <w:color w:val="231F20"/>
        </w:rPr>
        <w:t>NOLs</w:t>
      </w:r>
      <w:r>
        <w:rPr>
          <w:rFonts w:ascii="Times New Roman" w:cs="Times New Roman" w:eastAsia="Times New Roman" w:hAnsi="Times New Roman"/>
          <w:sz w:val="22"/>
          <w:szCs w:val="22"/>
          <w:color w:val="231F20"/>
        </w:rPr>
        <w:t>”</w:t>
      </w:r>
      <w:r>
        <w:rPr>
          <w:rFonts w:ascii="Times New Roman" w:cs="Times New Roman" w:eastAsia="Times New Roman" w:hAnsi="Times New Roman"/>
          <w:sz w:val="20"/>
          <w:szCs w:val="20"/>
          <w:color w:val="231F20"/>
        </w:rPr>
        <w:t>).</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The amount, timing and frequency of future distributions will be at the sole discretion of our Board and will depend upon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TRSs and other factors that our Board may deem relevant.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173"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9"/>
          <w:szCs w:val="19"/>
          <w:i w:val="1"/>
          <w:iCs w:val="1"/>
          <w:color w:val="231F20"/>
        </w:rPr>
        <w:t>This performance graph is furnished and shall not be deemed ‘‘filed’’ with the SEC or subject to Section 18 of the Exchange Act, nor shall it be deemed incorporated by reference in any of our filings under the Securities Act of 1933, as amended.</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following graph compares the cumulative total stockholder return on our common stock with the cumulative total return of the S&amp;P 500 Index, the Dow Jones U.S. Telecommunications Equipment Index and the FTSE Nareit All Equity REITs Index. The performance graph assumes that on December 31, 2020, $100 was invested in each of our common stock, the S&amp;P 500 Index, the Dow Jones U.S. Telecommunications Equipment Index and the FTSE Nareit All Equity REITs Index. The cumulative return shown in the graph assumes reinvestment of all dividends. The performance of our common stock reflected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146050</wp:posOffset>
            </wp:positionV>
            <wp:extent cx="5212080" cy="3477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3477260"/>
                    </a:xfrm>
                    <a:prstGeom prst="rect">
                      <a:avLst/>
                    </a:prstGeom>
                    <a:noFill/>
                  </pic:spPr>
                </pic:pic>
              </a:graphicData>
            </a:graphic>
          </wp:anchor>
        </w:drawing>
      </w:r>
    </w:p>
    <w:p>
      <w:pPr>
        <w:sectPr>
          <w:pgSz w:w="11880" w:h="15480" w:orient="portrait"/>
          <w:cols w:equalWidth="0" w:num="1">
            <w:col w:w="10180"/>
          </w:cols>
          <w:pgMar w:left="820" w:top="62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180"/>
          </w:cols>
          <w:pgMar w:left="820" w:top="626" w:right="880" w:bottom="0" w:gutter="0" w:footer="0" w:header="0"/>
          <w:type w:val="continuous"/>
        </w:sectPr>
      </w:pPr>
    </w:p>
    <w:bookmarkStart w:id="41" w:name="page42"/>
    <w:bookmarkEnd w:id="41"/>
    <w:tbl>
      <w:tblPr>
        <w:tblLayout w:type="fixed"/>
        <w:tblInd w:w="3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1800" w:type="dxa"/>
            <w:vAlign w:val="bottom"/>
            <w:tcBorders>
              <w:bottom w:val="single" w:sz="8" w:color="231F20"/>
            </w:tcBorders>
            <w:gridSpan w:val="5"/>
          </w:tcPr>
          <w:p>
            <w:pPr>
              <w:spacing w:after="0"/>
              <w:rPr>
                <w:sz w:val="20"/>
                <w:szCs w:val="20"/>
                <w:color w:val="auto"/>
              </w:rPr>
            </w:pPr>
            <w:r>
              <w:rPr>
                <w:rFonts w:ascii="Times New Roman" w:cs="Times New Roman" w:eastAsia="Times New Roman" w:hAnsi="Times New Roman"/>
                <w:sz w:val="16"/>
                <w:szCs w:val="16"/>
                <w:b w:val="1"/>
                <w:bCs w:val="1"/>
                <w:color w:val="231F20"/>
                <w:w w:val="99"/>
              </w:rPr>
              <w:t>Cumulative Total Returns</w:t>
            </w:r>
          </w:p>
        </w:tc>
        <w:tc>
          <w:tcPr>
            <w:tcW w:w="8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r>
      <w:tr>
        <w:trPr>
          <w:trHeight w:val="235"/>
        </w:trPr>
        <w:tc>
          <w:tcPr>
            <w:tcW w:w="5040" w:type="dxa"/>
            <w:vAlign w:val="bottom"/>
            <w:tcBorders>
              <w:bottom w:val="single" w:sz="8" w:color="E3E4E5"/>
            </w:tcBorders>
          </w:tcPr>
          <w:p>
            <w:pPr>
              <w:spacing w:after="0"/>
              <w:rPr>
                <w:sz w:val="20"/>
                <w:szCs w:val="20"/>
                <w:color w:val="auto"/>
              </w:rPr>
            </w:pPr>
          </w:p>
        </w:tc>
        <w:tc>
          <w:tcPr>
            <w:tcW w:w="800" w:type="dxa"/>
            <w:vAlign w:val="bottom"/>
            <w:tcBorders>
              <w:bottom w:val="single" w:sz="8" w:color="231F20"/>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12/20</w:t>
            </w:r>
          </w:p>
        </w:tc>
        <w:tc>
          <w:tcPr>
            <w:tcW w:w="80" w:type="dxa"/>
            <w:vAlign w:val="bottom"/>
            <w:tcBorders>
              <w:bottom w:val="single" w:sz="8" w:color="E3E4E5"/>
            </w:tcBorders>
          </w:tcPr>
          <w:p>
            <w:pPr>
              <w:spacing w:after="0"/>
              <w:rPr>
                <w:sz w:val="20"/>
                <w:szCs w:val="20"/>
                <w:color w:val="auto"/>
              </w:rPr>
            </w:pPr>
          </w:p>
        </w:tc>
        <w:tc>
          <w:tcPr>
            <w:tcW w:w="80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12/21</w:t>
            </w:r>
          </w:p>
        </w:tc>
        <w:tc>
          <w:tcPr>
            <w:tcW w:w="60" w:type="dxa"/>
            <w:vAlign w:val="bottom"/>
            <w:tcBorders>
              <w:bottom w:val="single" w:sz="8" w:color="E3E4E5"/>
            </w:tcBorders>
          </w:tcPr>
          <w:p>
            <w:pPr>
              <w:spacing w:after="0"/>
              <w:rPr>
                <w:sz w:val="20"/>
                <w:szCs w:val="20"/>
                <w:color w:val="auto"/>
              </w:rPr>
            </w:pPr>
          </w:p>
        </w:tc>
        <w:tc>
          <w:tcPr>
            <w:tcW w:w="80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12/22</w:t>
            </w:r>
          </w:p>
        </w:tc>
        <w:tc>
          <w:tcPr>
            <w:tcW w:w="80" w:type="dxa"/>
            <w:vAlign w:val="bottom"/>
            <w:tcBorders>
              <w:bottom w:val="single" w:sz="8" w:color="E3E4E5"/>
            </w:tcBorders>
          </w:tcPr>
          <w:p>
            <w:pPr>
              <w:spacing w:after="0"/>
              <w:rPr>
                <w:sz w:val="20"/>
                <w:szCs w:val="20"/>
                <w:color w:val="auto"/>
              </w:rPr>
            </w:pPr>
          </w:p>
        </w:tc>
        <w:tc>
          <w:tcPr>
            <w:tcW w:w="80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12/23</w:t>
            </w:r>
          </w:p>
        </w:tc>
        <w:tc>
          <w:tcPr>
            <w:tcW w:w="60" w:type="dxa"/>
            <w:vAlign w:val="bottom"/>
            <w:tcBorders>
              <w:bottom w:val="single" w:sz="8" w:color="E3E4E5"/>
            </w:tcBorders>
          </w:tcPr>
          <w:p>
            <w:pPr>
              <w:spacing w:after="0"/>
              <w:rPr>
                <w:sz w:val="20"/>
                <w:szCs w:val="20"/>
                <w:color w:val="auto"/>
              </w:rPr>
            </w:pPr>
          </w:p>
        </w:tc>
        <w:tc>
          <w:tcPr>
            <w:tcW w:w="800" w:type="dxa"/>
            <w:vAlign w:val="bottom"/>
            <w:tcBorders>
              <w:bottom w:val="single" w:sz="8" w:color="231F20"/>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231F20"/>
              </w:rPr>
              <w:t>12/24</w:t>
            </w:r>
          </w:p>
        </w:tc>
        <w:tc>
          <w:tcPr>
            <w:tcW w:w="80" w:type="dxa"/>
            <w:vAlign w:val="bottom"/>
            <w:tcBorders>
              <w:bottom w:val="single" w:sz="8" w:color="E3E4E5"/>
            </w:tcBorders>
          </w:tcPr>
          <w:p>
            <w:pPr>
              <w:spacing w:after="0"/>
              <w:rPr>
                <w:sz w:val="20"/>
                <w:szCs w:val="20"/>
                <w:color w:val="auto"/>
              </w:rPr>
            </w:pPr>
          </w:p>
        </w:tc>
        <w:tc>
          <w:tcPr>
            <w:tcW w:w="80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12/25</w:t>
            </w:r>
          </w:p>
        </w:tc>
      </w:tr>
      <w:tr>
        <w:trPr>
          <w:trHeight w:val="290"/>
        </w:trPr>
        <w:tc>
          <w:tcPr>
            <w:tcW w:w="50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 xml:space="preserve">American Tower Corporation </w:t>
            </w:r>
            <w:r>
              <w:rPr>
                <w:rFonts w:ascii="Times New Roman" w:cs="Times New Roman" w:eastAsia="Times New Roman" w:hAnsi="Times New Roman"/>
                <w:sz w:val="20"/>
                <w:szCs w:val="20"/>
                <w:color w:val="BABCBE"/>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$132.89</w:t>
            </w:r>
          </w:p>
        </w:tc>
        <w:tc>
          <w:tcPr>
            <w:tcW w:w="8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$ 98.83</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$104.12</w:t>
            </w:r>
          </w:p>
        </w:tc>
        <w:tc>
          <w:tcPr>
            <w:tcW w:w="60" w:type="dxa"/>
            <w:vAlign w:val="bottom"/>
            <w:shd w:val="clear" w:color="auto" w:fill="E3E4E5"/>
          </w:tcPr>
          <w:p>
            <w:pPr>
              <w:spacing w:after="0"/>
              <w:rPr>
                <w:sz w:val="24"/>
                <w:szCs w:val="24"/>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$ 91.47</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$ 90.61</w:t>
            </w:r>
          </w:p>
        </w:tc>
      </w:tr>
      <w:tr>
        <w:trPr>
          <w:trHeight w:val="294"/>
        </w:trPr>
        <w:tc>
          <w:tcPr>
            <w:tcW w:w="5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S&amp;P 500 Index </w:t>
            </w:r>
            <w:r>
              <w:rPr>
                <w:rFonts w:ascii="Times New Roman" w:cs="Times New Roman" w:eastAsia="Times New Roman" w:hAnsi="Times New Roman"/>
                <w:sz w:val="20"/>
                <w:szCs w:val="20"/>
                <w:color w:val="BABCB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128.71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105.40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133.10</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196.16</w:t>
            </w:r>
          </w:p>
        </w:tc>
      </w:tr>
      <w:tr>
        <w:trPr>
          <w:trHeight w:val="306"/>
        </w:trPr>
        <w:tc>
          <w:tcPr>
            <w:tcW w:w="50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Dow Jones U.S. Telecommunications Equipment Index</w:t>
            </w:r>
            <w:r>
              <w:rPr>
                <w:rFonts w:ascii="Times New Roman" w:cs="Times New Roman" w:eastAsia="Times New Roman" w:hAnsi="Times New Roman"/>
                <w:sz w:val="20"/>
                <w:szCs w:val="20"/>
                <w:color w:val="BABCBE"/>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145.86</w:t>
            </w:r>
          </w:p>
        </w:tc>
        <w:tc>
          <w:tcPr>
            <w:tcW w:w="8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112.85</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132.91</w:t>
            </w:r>
          </w:p>
        </w:tc>
        <w:tc>
          <w:tcPr>
            <w:tcW w:w="60" w:type="dxa"/>
            <w:vAlign w:val="bottom"/>
            <w:shd w:val="clear" w:color="auto" w:fill="E3E4E5"/>
          </w:tcPr>
          <w:p>
            <w:pPr>
              <w:spacing w:after="0"/>
              <w:rPr>
                <w:sz w:val="24"/>
                <w:szCs w:val="24"/>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185.36</w:t>
            </w:r>
          </w:p>
        </w:tc>
        <w:tc>
          <w:tcPr>
            <w:tcW w:w="8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235.24</w:t>
            </w:r>
          </w:p>
        </w:tc>
      </w:tr>
      <w:tr>
        <w:trPr>
          <w:trHeight w:val="287"/>
        </w:trPr>
        <w:tc>
          <w:tcPr>
            <w:tcW w:w="50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FTSE Nareit All Equity REITs Index </w:t>
            </w:r>
            <w:r>
              <w:rPr>
                <w:rFonts w:ascii="Times New Roman" w:cs="Times New Roman" w:eastAsia="Times New Roman" w:hAnsi="Times New Roman"/>
                <w:sz w:val="20"/>
                <w:szCs w:val="20"/>
                <w:color w:val="BABCBE"/>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141.30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106.05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118.09</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-765810</wp:posOffset>
            </wp:positionV>
            <wp:extent cx="32924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2475" cy="25400"/>
                    </a:xfrm>
                    <a:prstGeom prst="rect">
                      <a:avLst/>
                    </a:prstGeom>
                    <a:noFill/>
                  </pic:spPr>
                </pic:pic>
              </a:graphicData>
            </a:graphic>
          </wp:anchor>
        </w:drawing>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77"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231F20"/>
        </w:rPr>
        <w:t>In March 2011, our Board approved a stock repurchase program, pursuant to which we are authorized to repurchase up to $1.5 billion of our common stock (the “2011 Buyback”). In December 2017, our Board approved an additional stock repurchase program, pursuant to which we are authorized to repurchase up to $2.0 billion of our common stock (the “2017 Buyback,” and together with the 2011 Buyback the “Buyback Programs”).</w:t>
      </w:r>
    </w:p>
    <w:p>
      <w:pPr>
        <w:spacing w:after="0" w:line="123" w:lineRule="exact"/>
        <w:rPr>
          <w:sz w:val="20"/>
          <w:szCs w:val="20"/>
          <w:color w:val="auto"/>
        </w:rPr>
      </w:pPr>
    </w:p>
    <w:p>
      <w:pPr>
        <w:ind w:left="10" w:right="380"/>
        <w:spacing w:after="0" w:line="260" w:lineRule="auto"/>
        <w:rPr>
          <w:sz w:val="20"/>
          <w:szCs w:val="20"/>
          <w:color w:val="auto"/>
        </w:rPr>
      </w:pPr>
      <w:r>
        <w:rPr>
          <w:rFonts w:ascii="Times New Roman" w:cs="Times New Roman" w:eastAsia="Times New Roman" w:hAnsi="Times New Roman"/>
          <w:sz w:val="20"/>
          <w:szCs w:val="20"/>
          <w:color w:val="231F20"/>
        </w:rPr>
        <w:t>During the three months ended December 31, 2025, we repurchased a total of 2,036,100 shares of our common stock for an aggregate of $364.6 million, including commissions and fees, pursuant to the 2011 Buyback and the 2017 Buyback. As of December 31, 2025, we have no amounts remaining under the 2011 Buyback. The table below sets forth details of our repurchases under the Buyback Programs during the three months ended December 31, 2025.</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Total Number of Shares</w:t>
            </w:r>
          </w:p>
        </w:tc>
        <w:tc>
          <w:tcPr>
            <w:tcW w:w="6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Approximate Dollar Value</w:t>
            </w:r>
          </w:p>
        </w:tc>
        <w:tc>
          <w:tcPr>
            <w:tcW w:w="0" w:type="dxa"/>
            <w:vAlign w:val="bottom"/>
          </w:tcPr>
          <w:p>
            <w:pPr>
              <w:spacing w:after="0"/>
              <w:rPr>
                <w:sz w:val="1"/>
                <w:szCs w:val="1"/>
                <w:color w:val="auto"/>
              </w:rPr>
            </w:pPr>
          </w:p>
        </w:tc>
      </w:tr>
      <w:tr>
        <w:trPr>
          <w:trHeight w:val="160"/>
        </w:trPr>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231F20"/>
              </w:rPr>
              <w:t>Total Number of 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vMerge w:val="restart"/>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Average Price Paid per</w:t>
            </w:r>
          </w:p>
        </w:tc>
        <w:tc>
          <w:tcPr>
            <w:tcW w:w="60" w:type="dxa"/>
            <w:vAlign w:val="bottom"/>
          </w:tcPr>
          <w:p>
            <w:pPr>
              <w:spacing w:after="0"/>
              <w:rPr>
                <w:sz w:val="13"/>
                <w:szCs w:val="13"/>
                <w:color w:val="auto"/>
              </w:rPr>
            </w:pPr>
          </w:p>
        </w:tc>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Purchased as Part of</w:t>
            </w:r>
          </w:p>
        </w:tc>
        <w:tc>
          <w:tcPr>
            <w:tcW w:w="60" w:type="dxa"/>
            <w:vAlign w:val="bottom"/>
          </w:tcPr>
          <w:p>
            <w:pPr>
              <w:spacing w:after="0"/>
              <w:rPr>
                <w:sz w:val="13"/>
                <w:szCs w:val="13"/>
                <w:color w:val="auto"/>
              </w:rPr>
            </w:pPr>
          </w:p>
        </w:tc>
        <w:tc>
          <w:tcPr>
            <w:tcW w:w="1980" w:type="dxa"/>
            <w:vAlign w:val="bottom"/>
            <w:gridSpan w:val="2"/>
          </w:tcPr>
          <w:p>
            <w:pPr>
              <w:jc w:val="right"/>
              <w:ind w:right="7"/>
              <w:spacing w:after="0" w:line="160" w:lineRule="exact"/>
              <w:rPr>
                <w:sz w:val="20"/>
                <w:szCs w:val="20"/>
                <w:color w:val="auto"/>
              </w:rPr>
            </w:pPr>
            <w:r>
              <w:rPr>
                <w:rFonts w:ascii="Times New Roman" w:cs="Times New Roman" w:eastAsia="Times New Roman" w:hAnsi="Times New Roman"/>
                <w:sz w:val="16"/>
                <w:szCs w:val="16"/>
                <w:b w:val="1"/>
                <w:bCs w:val="1"/>
                <w:color w:val="231F20"/>
              </w:rPr>
              <w:t>of Shares that May Yet be</w:t>
            </w:r>
          </w:p>
        </w:tc>
        <w:tc>
          <w:tcPr>
            <w:tcW w:w="0" w:type="dxa"/>
            <w:vAlign w:val="bottom"/>
          </w:tcPr>
          <w:p>
            <w:pPr>
              <w:spacing w:after="0"/>
              <w:rPr>
                <w:sz w:val="1"/>
                <w:szCs w:val="1"/>
                <w:color w:val="auto"/>
              </w:rPr>
            </w:pPr>
          </w:p>
        </w:tc>
      </w:tr>
      <w:tr>
        <w:trPr>
          <w:trHeight w:val="160"/>
        </w:trPr>
        <w:tc>
          <w:tcPr>
            <w:tcW w:w="1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Publicly Announced Plans</w:t>
            </w:r>
          </w:p>
        </w:tc>
        <w:tc>
          <w:tcPr>
            <w:tcW w:w="60" w:type="dxa"/>
            <w:vAlign w:val="bottom"/>
          </w:tcPr>
          <w:p>
            <w:pPr>
              <w:spacing w:after="0"/>
              <w:rPr>
                <w:sz w:val="13"/>
                <w:szCs w:val="13"/>
                <w:color w:val="auto"/>
              </w:rPr>
            </w:pPr>
          </w:p>
        </w:tc>
        <w:tc>
          <w:tcPr>
            <w:tcW w:w="19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Purchased Under the Plans</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Borders>
              <w:bottom w:val="single" w:sz="8" w:color="231F20"/>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231F20"/>
              </w:rPr>
              <w:t>Purchased (1)</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820" w:type="dxa"/>
            <w:vAlign w:val="bottom"/>
            <w:tcBorders>
              <w:bottom w:val="single" w:sz="8" w:color="231F20"/>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231F20"/>
              </w:rPr>
              <w:t>Share (2)</w:t>
            </w:r>
          </w:p>
        </w:tc>
        <w:tc>
          <w:tcPr>
            <w:tcW w:w="60" w:type="dxa"/>
            <w:vAlign w:val="bottom"/>
          </w:tcPr>
          <w:p>
            <w:pPr>
              <w:spacing w:after="0"/>
              <w:rPr>
                <w:sz w:val="18"/>
                <w:szCs w:val="18"/>
                <w:color w:val="auto"/>
              </w:rPr>
            </w:pPr>
          </w:p>
        </w:tc>
        <w:tc>
          <w:tcPr>
            <w:tcW w:w="2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or Programs</w:t>
            </w:r>
          </w:p>
        </w:tc>
        <w:tc>
          <w:tcPr>
            <w:tcW w:w="6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680" w:type="dxa"/>
            <w:vAlign w:val="bottom"/>
            <w:tcBorders>
              <w:bottom w:val="single" w:sz="8" w:color="231F20"/>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231F20"/>
              </w:rPr>
              <w:t>or Programs (3)</w:t>
            </w:r>
          </w:p>
        </w:tc>
        <w:tc>
          <w:tcPr>
            <w:tcW w:w="0" w:type="dxa"/>
            <w:vAlign w:val="bottom"/>
          </w:tcPr>
          <w:p>
            <w:pPr>
              <w:spacing w:after="0"/>
              <w:rPr>
                <w:sz w:val="1"/>
                <w:szCs w:val="1"/>
                <w:color w:val="auto"/>
              </w:rPr>
            </w:pPr>
          </w:p>
        </w:tc>
      </w:tr>
      <w:tr>
        <w:trPr>
          <w:trHeight w:val="297"/>
        </w:trPr>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ind w:right="487"/>
              <w:spacing w:after="0"/>
              <w:rPr>
                <w:sz w:val="20"/>
                <w:szCs w:val="20"/>
                <w:color w:val="auto"/>
              </w:rPr>
            </w:pPr>
            <w:r>
              <w:rPr>
                <w:rFonts w:ascii="Times New Roman" w:cs="Times New Roman" w:eastAsia="Times New Roman" w:hAnsi="Times New Roman"/>
                <w:sz w:val="16"/>
                <w:szCs w:val="16"/>
                <w:b w:val="1"/>
                <w:bCs w:val="1"/>
                <w:color w:val="231F20"/>
              </w:rPr>
              <w:t>(in millions)</w:t>
            </w:r>
          </w:p>
        </w:tc>
        <w:tc>
          <w:tcPr>
            <w:tcW w:w="0" w:type="dxa"/>
            <w:vAlign w:val="bottom"/>
          </w:tcPr>
          <w:p>
            <w:pPr>
              <w:spacing w:after="0"/>
              <w:rPr>
                <w:sz w:val="1"/>
                <w:szCs w:val="1"/>
                <w:color w:val="auto"/>
              </w:rPr>
            </w:pPr>
          </w:p>
        </w:tc>
      </w:tr>
      <w:tr>
        <w:trPr>
          <w:trHeight w:val="230"/>
        </w:trPr>
        <w:tc>
          <w:tcPr>
            <w:tcW w:w="1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October 1, 2025 -</w:t>
            </w:r>
          </w:p>
        </w:tc>
        <w:tc>
          <w:tcPr>
            <w:tcW w:w="2060" w:type="dxa"/>
            <w:vAlign w:val="bottom"/>
            <w:gridSpan w:val="2"/>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240,568</w:t>
            </w:r>
          </w:p>
        </w:tc>
        <w:tc>
          <w:tcPr>
            <w:tcW w:w="240" w:type="dxa"/>
            <w:vAlign w:val="bottom"/>
            <w:gridSpan w:val="2"/>
            <w:vMerge w:val="restart"/>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183.85</w:t>
            </w:r>
          </w:p>
        </w:tc>
        <w:tc>
          <w:tcPr>
            <w:tcW w:w="2060" w:type="dxa"/>
            <w:vAlign w:val="bottom"/>
            <w:gridSpan w:val="2"/>
            <w:vMerge w:val="restart"/>
            <w:shd w:val="clear" w:color="auto" w:fill="E3E4E5"/>
          </w:tcPr>
          <w:p>
            <w:pPr>
              <w:jc w:val="right"/>
              <w:ind w:right="16"/>
              <w:spacing w:after="0"/>
              <w:rPr>
                <w:sz w:val="20"/>
                <w:szCs w:val="20"/>
                <w:color w:val="auto"/>
              </w:rPr>
            </w:pPr>
            <w:r>
              <w:rPr>
                <w:rFonts w:ascii="Times New Roman" w:cs="Times New Roman" w:eastAsia="Times New Roman" w:hAnsi="Times New Roman"/>
                <w:sz w:val="20"/>
                <w:szCs w:val="20"/>
                <w:color w:val="231F20"/>
              </w:rPr>
              <w:t>240,568</w:t>
            </w:r>
          </w:p>
        </w:tc>
        <w:tc>
          <w:tcPr>
            <w:tcW w:w="360" w:type="dxa"/>
            <w:vAlign w:val="bottom"/>
            <w:gridSpan w:val="2"/>
            <w:vMerge w:val="restart"/>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1,973.4</w:t>
            </w:r>
          </w:p>
        </w:tc>
        <w:tc>
          <w:tcPr>
            <w:tcW w:w="0" w:type="dxa"/>
            <w:vAlign w:val="bottom"/>
          </w:tcPr>
          <w:p>
            <w:pPr>
              <w:spacing w:after="0"/>
              <w:rPr>
                <w:sz w:val="1"/>
                <w:szCs w:val="1"/>
                <w:color w:val="auto"/>
              </w:rPr>
            </w:pPr>
          </w:p>
        </w:tc>
      </w:tr>
      <w:tr>
        <w:trPr>
          <w:trHeight w:val="273"/>
        </w:trPr>
        <w:tc>
          <w:tcPr>
            <w:tcW w:w="19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October 31, 2025</w:t>
            </w:r>
          </w:p>
        </w:tc>
        <w:tc>
          <w:tcPr>
            <w:tcW w:w="2060" w:type="dxa"/>
            <w:vAlign w:val="bottom"/>
            <w:gridSpan w:val="2"/>
            <w:vMerge w:val="continue"/>
            <w:shd w:val="clear" w:color="auto" w:fill="E3E4E5"/>
          </w:tcPr>
          <w:p>
            <w:pPr>
              <w:spacing w:after="0"/>
              <w:rPr>
                <w:sz w:val="23"/>
                <w:szCs w:val="23"/>
                <w:color w:val="auto"/>
              </w:rPr>
            </w:pPr>
          </w:p>
        </w:tc>
        <w:tc>
          <w:tcPr>
            <w:tcW w:w="240" w:type="dxa"/>
            <w:vAlign w:val="bottom"/>
            <w:gridSpan w:val="2"/>
            <w:vMerge w:val="continue"/>
            <w:shd w:val="clear" w:color="auto" w:fill="E3E4E5"/>
          </w:tcPr>
          <w:p>
            <w:pPr>
              <w:spacing w:after="0"/>
              <w:rPr>
                <w:sz w:val="23"/>
                <w:szCs w:val="23"/>
                <w:color w:val="auto"/>
              </w:rPr>
            </w:pPr>
          </w:p>
        </w:tc>
        <w:tc>
          <w:tcPr>
            <w:tcW w:w="1820" w:type="dxa"/>
            <w:vAlign w:val="bottom"/>
            <w:vMerge w:val="continue"/>
            <w:shd w:val="clear" w:color="auto" w:fill="E3E4E5"/>
          </w:tcPr>
          <w:p>
            <w:pPr>
              <w:spacing w:after="0"/>
              <w:rPr>
                <w:sz w:val="23"/>
                <w:szCs w:val="23"/>
                <w:color w:val="auto"/>
              </w:rPr>
            </w:pPr>
          </w:p>
        </w:tc>
        <w:tc>
          <w:tcPr>
            <w:tcW w:w="2060" w:type="dxa"/>
            <w:vAlign w:val="bottom"/>
            <w:gridSpan w:val="2"/>
            <w:vMerge w:val="continue"/>
            <w:shd w:val="clear" w:color="auto" w:fill="E3E4E5"/>
          </w:tcPr>
          <w:p>
            <w:pPr>
              <w:spacing w:after="0"/>
              <w:rPr>
                <w:sz w:val="23"/>
                <w:szCs w:val="23"/>
                <w:color w:val="auto"/>
              </w:rPr>
            </w:pPr>
          </w:p>
        </w:tc>
        <w:tc>
          <w:tcPr>
            <w:tcW w:w="360" w:type="dxa"/>
            <w:vAlign w:val="bottom"/>
            <w:gridSpan w:val="2"/>
            <w:vMerge w:val="continue"/>
            <w:shd w:val="clear" w:color="auto" w:fill="E3E4E5"/>
          </w:tcPr>
          <w:p>
            <w:pPr>
              <w:spacing w:after="0"/>
              <w:rPr>
                <w:sz w:val="23"/>
                <w:szCs w:val="23"/>
                <w:color w:val="auto"/>
              </w:rPr>
            </w:pPr>
          </w:p>
        </w:tc>
        <w:tc>
          <w:tcPr>
            <w:tcW w:w="168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980" w:type="dxa"/>
            <w:vAlign w:val="bottom"/>
          </w:tcPr>
          <w:p>
            <w:pPr>
              <w:ind w:left="40"/>
              <w:spacing w:after="0" w:line="222" w:lineRule="exact"/>
              <w:rPr>
                <w:sz w:val="20"/>
                <w:szCs w:val="20"/>
                <w:color w:val="auto"/>
              </w:rPr>
            </w:pPr>
            <w:r>
              <w:rPr>
                <w:rFonts w:ascii="Times New Roman" w:cs="Times New Roman" w:eastAsia="Times New Roman" w:hAnsi="Times New Roman"/>
                <w:sz w:val="20"/>
                <w:szCs w:val="20"/>
                <w:color w:val="231F20"/>
              </w:rPr>
              <w:t>November 1, 2025 -</w:t>
            </w:r>
          </w:p>
        </w:tc>
        <w:tc>
          <w:tcPr>
            <w:tcW w:w="2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705,989</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180.50</w:t>
            </w:r>
          </w:p>
        </w:tc>
        <w:tc>
          <w:tcPr>
            <w:tcW w:w="20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20"/>
                <w:szCs w:val="20"/>
                <w:color w:val="231F20"/>
              </w:rPr>
              <w:t>705,989</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1,845.9</w:t>
            </w:r>
          </w:p>
        </w:tc>
        <w:tc>
          <w:tcPr>
            <w:tcW w:w="0" w:type="dxa"/>
            <w:vAlign w:val="bottom"/>
          </w:tcPr>
          <w:p>
            <w:pPr>
              <w:spacing w:after="0"/>
              <w:rPr>
                <w:sz w:val="1"/>
                <w:szCs w:val="1"/>
                <w:color w:val="auto"/>
              </w:rPr>
            </w:pPr>
          </w:p>
        </w:tc>
      </w:tr>
      <w:tr>
        <w:trPr>
          <w:trHeight w:val="267"/>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November 30, 2025</w:t>
            </w:r>
          </w:p>
        </w:tc>
        <w:tc>
          <w:tcPr>
            <w:tcW w:w="2060" w:type="dxa"/>
            <w:vAlign w:val="bottom"/>
            <w:gridSpan w:val="2"/>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1820" w:type="dxa"/>
            <w:vAlign w:val="bottom"/>
            <w:vMerge w:val="continue"/>
          </w:tcPr>
          <w:p>
            <w:pPr>
              <w:spacing w:after="0"/>
              <w:rPr>
                <w:sz w:val="23"/>
                <w:szCs w:val="23"/>
                <w:color w:val="auto"/>
              </w:rPr>
            </w:pPr>
          </w:p>
        </w:tc>
        <w:tc>
          <w:tcPr>
            <w:tcW w:w="2060" w:type="dxa"/>
            <w:vAlign w:val="bottom"/>
            <w:gridSpan w:val="2"/>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1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980" w:type="dxa"/>
            <w:vAlign w:val="bottom"/>
            <w:shd w:val="clear" w:color="auto" w:fill="E3E4E5"/>
          </w:tcPr>
          <w:p>
            <w:pPr>
              <w:ind w:left="40"/>
              <w:spacing w:after="0" w:line="229" w:lineRule="exact"/>
              <w:rPr>
                <w:sz w:val="20"/>
                <w:szCs w:val="20"/>
                <w:color w:val="auto"/>
              </w:rPr>
            </w:pPr>
            <w:r>
              <w:rPr>
                <w:rFonts w:ascii="Times New Roman" w:cs="Times New Roman" w:eastAsia="Times New Roman" w:hAnsi="Times New Roman"/>
                <w:sz w:val="20"/>
                <w:szCs w:val="20"/>
                <w:color w:val="231F20"/>
              </w:rPr>
              <w:t>December 1, 2025 -</w:t>
            </w:r>
          </w:p>
        </w:tc>
        <w:tc>
          <w:tcPr>
            <w:tcW w:w="60" w:type="dxa"/>
            <w:vAlign w:val="bottom"/>
            <w:vMerge w:val="restart"/>
            <w:shd w:val="clear" w:color="auto" w:fill="E3E4E5"/>
          </w:tcPr>
          <w:p>
            <w:pPr>
              <w:spacing w:after="0"/>
              <w:rPr>
                <w:sz w:val="19"/>
                <w:szCs w:val="19"/>
                <w:color w:val="auto"/>
              </w:rPr>
            </w:pPr>
          </w:p>
        </w:tc>
        <w:tc>
          <w:tcPr>
            <w:tcW w:w="20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1,089,543</w:t>
            </w:r>
          </w:p>
        </w:tc>
        <w:tc>
          <w:tcPr>
            <w:tcW w:w="240" w:type="dxa"/>
            <w:vAlign w:val="bottom"/>
            <w:gridSpan w:val="2"/>
            <w:vMerge w:val="restart"/>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177.08</w:t>
            </w:r>
          </w:p>
        </w:tc>
        <w:tc>
          <w:tcPr>
            <w:tcW w:w="60" w:type="dxa"/>
            <w:vAlign w:val="bottom"/>
            <w:vMerge w:val="restart"/>
            <w:shd w:val="clear" w:color="auto" w:fill="E3E4E5"/>
          </w:tcPr>
          <w:p>
            <w:pPr>
              <w:spacing w:after="0"/>
              <w:rPr>
                <w:sz w:val="19"/>
                <w:szCs w:val="19"/>
                <w:color w:val="auto"/>
              </w:rPr>
            </w:pPr>
          </w:p>
        </w:tc>
        <w:tc>
          <w:tcPr>
            <w:tcW w:w="2000" w:type="dxa"/>
            <w:vAlign w:val="bottom"/>
            <w:vMerge w:val="restart"/>
            <w:shd w:val="clear" w:color="auto" w:fill="E3E4E5"/>
          </w:tcPr>
          <w:p>
            <w:pPr>
              <w:jc w:val="right"/>
              <w:ind w:right="16"/>
              <w:spacing w:after="0"/>
              <w:rPr>
                <w:sz w:val="20"/>
                <w:szCs w:val="20"/>
                <w:color w:val="auto"/>
              </w:rPr>
            </w:pPr>
            <w:r>
              <w:rPr>
                <w:rFonts w:ascii="Times New Roman" w:cs="Times New Roman" w:eastAsia="Times New Roman" w:hAnsi="Times New Roman"/>
                <w:sz w:val="20"/>
                <w:szCs w:val="20"/>
                <w:color w:val="231F20"/>
              </w:rPr>
              <w:t>1,089,543</w:t>
            </w:r>
          </w:p>
        </w:tc>
        <w:tc>
          <w:tcPr>
            <w:tcW w:w="360" w:type="dxa"/>
            <w:vAlign w:val="bottom"/>
            <w:gridSpan w:val="2"/>
            <w:vMerge w:val="restart"/>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1,653.0</w:t>
            </w:r>
          </w:p>
        </w:tc>
        <w:tc>
          <w:tcPr>
            <w:tcW w:w="0" w:type="dxa"/>
            <w:vAlign w:val="bottom"/>
          </w:tcPr>
          <w:p>
            <w:pPr>
              <w:spacing w:after="0"/>
              <w:rPr>
                <w:sz w:val="1"/>
                <w:szCs w:val="1"/>
                <w:color w:val="auto"/>
              </w:rPr>
            </w:pPr>
          </w:p>
        </w:tc>
      </w:tr>
      <w:tr>
        <w:trPr>
          <w:trHeight w:val="263"/>
        </w:trPr>
        <w:tc>
          <w:tcPr>
            <w:tcW w:w="19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December 31, 2025</w:t>
            </w:r>
          </w:p>
        </w:tc>
        <w:tc>
          <w:tcPr>
            <w:tcW w:w="60" w:type="dxa"/>
            <w:vAlign w:val="bottom"/>
            <w:tcBorders>
              <w:bottom w:val="single" w:sz="8" w:color="E3E4E5"/>
            </w:tcBorders>
            <w:vMerge w:val="continue"/>
            <w:shd w:val="clear" w:color="auto" w:fill="E3E4E5"/>
          </w:tcPr>
          <w:p>
            <w:pPr>
              <w:spacing w:after="0"/>
              <w:rPr>
                <w:sz w:val="22"/>
                <w:szCs w:val="22"/>
                <w:color w:val="auto"/>
              </w:rPr>
            </w:pPr>
          </w:p>
        </w:tc>
        <w:tc>
          <w:tcPr>
            <w:tcW w:w="2000" w:type="dxa"/>
            <w:vAlign w:val="bottom"/>
            <w:tcBorders>
              <w:bottom w:val="single" w:sz="8" w:color="231F20"/>
            </w:tcBorders>
            <w:vMerge w:val="continue"/>
            <w:shd w:val="clear" w:color="auto" w:fill="E3E4E5"/>
          </w:tcPr>
          <w:p>
            <w:pPr>
              <w:spacing w:after="0"/>
              <w:rPr>
                <w:sz w:val="22"/>
                <w:szCs w:val="22"/>
                <w:color w:val="auto"/>
              </w:rPr>
            </w:pPr>
          </w:p>
        </w:tc>
        <w:tc>
          <w:tcPr>
            <w:tcW w:w="240" w:type="dxa"/>
            <w:vAlign w:val="bottom"/>
            <w:tcBorders>
              <w:bottom w:val="single" w:sz="8" w:color="E3E4E5"/>
            </w:tcBorders>
            <w:gridSpan w:val="2"/>
            <w:vMerge w:val="continue"/>
            <w:shd w:val="clear" w:color="auto" w:fill="E3E4E5"/>
          </w:tcPr>
          <w:p>
            <w:pPr>
              <w:spacing w:after="0"/>
              <w:rPr>
                <w:sz w:val="22"/>
                <w:szCs w:val="22"/>
                <w:color w:val="auto"/>
              </w:rPr>
            </w:pPr>
          </w:p>
        </w:tc>
        <w:tc>
          <w:tcPr>
            <w:tcW w:w="1820" w:type="dxa"/>
            <w:vAlign w:val="bottom"/>
            <w:tcBorders>
              <w:bottom w:val="single" w:sz="8" w:color="E3E4E5"/>
            </w:tcBorders>
            <w:vMerge w:val="continue"/>
            <w:shd w:val="clear" w:color="auto" w:fill="E3E4E5"/>
          </w:tcPr>
          <w:p>
            <w:pPr>
              <w:spacing w:after="0"/>
              <w:rPr>
                <w:sz w:val="22"/>
                <w:szCs w:val="22"/>
                <w:color w:val="auto"/>
              </w:rPr>
            </w:pPr>
          </w:p>
        </w:tc>
        <w:tc>
          <w:tcPr>
            <w:tcW w:w="60" w:type="dxa"/>
            <w:vAlign w:val="bottom"/>
            <w:tcBorders>
              <w:bottom w:val="single" w:sz="8" w:color="E3E4E5"/>
            </w:tcBorders>
            <w:vMerge w:val="continue"/>
            <w:shd w:val="clear" w:color="auto" w:fill="E3E4E5"/>
          </w:tcPr>
          <w:p>
            <w:pPr>
              <w:spacing w:after="0"/>
              <w:rPr>
                <w:sz w:val="22"/>
                <w:szCs w:val="22"/>
                <w:color w:val="auto"/>
              </w:rPr>
            </w:pPr>
          </w:p>
        </w:tc>
        <w:tc>
          <w:tcPr>
            <w:tcW w:w="2000" w:type="dxa"/>
            <w:vAlign w:val="bottom"/>
            <w:tcBorders>
              <w:bottom w:val="single" w:sz="8" w:color="231F20"/>
            </w:tcBorders>
            <w:vMerge w:val="continue"/>
            <w:shd w:val="clear" w:color="auto" w:fill="E3E4E5"/>
          </w:tcPr>
          <w:p>
            <w:pPr>
              <w:spacing w:after="0"/>
              <w:rPr>
                <w:sz w:val="22"/>
                <w:szCs w:val="22"/>
                <w:color w:val="auto"/>
              </w:rPr>
            </w:pPr>
          </w:p>
        </w:tc>
        <w:tc>
          <w:tcPr>
            <w:tcW w:w="360" w:type="dxa"/>
            <w:vAlign w:val="bottom"/>
            <w:tcBorders>
              <w:bottom w:val="single" w:sz="8" w:color="E3E4E5"/>
            </w:tcBorders>
            <w:gridSpan w:val="2"/>
            <w:vMerge w:val="continue"/>
            <w:shd w:val="clear" w:color="auto" w:fill="E3E4E5"/>
          </w:tcPr>
          <w:p>
            <w:pPr>
              <w:spacing w:after="0"/>
              <w:rPr>
                <w:sz w:val="22"/>
                <w:szCs w:val="22"/>
                <w:color w:val="auto"/>
              </w:rPr>
            </w:pPr>
          </w:p>
        </w:tc>
        <w:tc>
          <w:tcPr>
            <w:tcW w:w="1680" w:type="dxa"/>
            <w:vAlign w:val="bottom"/>
            <w:tcBorders>
              <w:bottom w:val="single" w:sz="8" w:color="E3E4E5"/>
            </w:tcBorders>
            <w:vMerge w:val="continue"/>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9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Total Fourth Quarter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2,036,100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179.07</w:t>
            </w:r>
          </w:p>
        </w:tc>
        <w:tc>
          <w:tcPr>
            <w:tcW w:w="20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231F20"/>
              </w:rPr>
              <w:t>2,036,100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1,653.0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-221615</wp:posOffset>
            </wp:positionV>
            <wp:extent cx="129222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2225" cy="254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-221615</wp:posOffset>
            </wp:positionV>
            <wp:extent cx="129222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2225" cy="25400"/>
                    </a:xfrm>
                    <a:prstGeom prst="rect">
                      <a:avLst/>
                    </a:prstGeom>
                    <a:noFill/>
                  </pic:spPr>
                </pic:pic>
              </a:graphicData>
            </a:graphic>
          </wp:anchor>
        </w:drawing>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Repurchases made pursuant to the Buyback Programs.</w:t>
      </w:r>
    </w:p>
    <w:p>
      <w:pPr>
        <w:spacing w:after="0" w:line="6"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Average price paid per share is a weighted average calculation using the aggregate price, excluding commissions and fees.</w:t>
      </w:r>
    </w:p>
    <w:p>
      <w:pPr>
        <w:spacing w:after="0" w:line="8"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Remaining under the 2017 Buyback.</w:t>
      </w:r>
    </w:p>
    <w:p>
      <w:pPr>
        <w:spacing w:after="0" w:line="172" w:lineRule="exact"/>
        <w:rPr>
          <w:sz w:val="20"/>
          <w:szCs w:val="20"/>
          <w:color w:val="auto"/>
        </w:rPr>
      </w:pPr>
    </w:p>
    <w:p>
      <w:pPr>
        <w:ind w:left="10" w:right="380"/>
        <w:spacing w:after="0" w:line="281" w:lineRule="auto"/>
        <w:rPr>
          <w:sz w:val="20"/>
          <w:szCs w:val="20"/>
          <w:color w:val="auto"/>
        </w:rPr>
      </w:pPr>
      <w:r>
        <w:rPr>
          <w:rFonts w:ascii="Times New Roman" w:cs="Times New Roman" w:eastAsia="Times New Roman" w:hAnsi="Times New Roman"/>
          <w:sz w:val="20"/>
          <w:szCs w:val="20"/>
          <w:color w:val="231F20"/>
        </w:rPr>
        <w:t>Subsequent to December 31, 2025, through February 17, 2026, we repurchased 312,352 shares of our common stock for an aggregate of approximately $53.0 million, including commissions and fees, under the 2017 Buyback.</w:t>
      </w:r>
    </w:p>
    <w:p>
      <w:pPr>
        <w:spacing w:after="0" w:line="101" w:lineRule="exact"/>
        <w:rPr>
          <w:sz w:val="20"/>
          <w:szCs w:val="20"/>
          <w:color w:val="auto"/>
        </w:rPr>
      </w:pPr>
    </w:p>
    <w:p>
      <w:pPr>
        <w:jc w:val="both"/>
        <w:ind w:left="10" w:right="40"/>
        <w:spacing w:after="0" w:line="275" w:lineRule="auto"/>
        <w:rPr>
          <w:sz w:val="20"/>
          <w:szCs w:val="20"/>
          <w:color w:val="auto"/>
        </w:rPr>
      </w:pPr>
      <w:r>
        <w:rPr>
          <w:rFonts w:ascii="Times New Roman" w:cs="Times New Roman" w:eastAsia="Times New Roman" w:hAnsi="Times New Roman"/>
          <w:sz w:val="19"/>
          <w:szCs w:val="19"/>
          <w:color w:val="231F20"/>
        </w:rPr>
        <w:t>Through February 17, 2026, we have repurchased a total of 2,253,664 shares of our common stock under the 2017 Buyback for an aggregate of $400.0 million, including commissions and fees. We expect to continue to manage the pacing of the remaining $1.6 billion under the 2017 Buyback in response to general market conditions and other relevant factors. We expect to fund any further repurchases of our common stock through a combination of cash on hand, cash generated by operations and borrowings under our credit facilities. Purchases under the 2017 Buyback are subject to our having available cash to fund repurchases.</w:t>
      </w:r>
    </w:p>
    <w:p>
      <w:pPr>
        <w:spacing w:after="0" w:line="108"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231F20"/>
        </w:rPr>
        <w:t>Under the 2017 Buyback, our management is authorized to purchase shares from time to time through open market purchases or in privately negotiated transactions not to exceed market prices and subject to market conditions and other factors. With respect to open market purchases, we may use plans adopted in accordance with Rule 10b5-1 under the Exchange Act in accordance with securities laws and other legal requirements, which allows us to repurchase shares during periods when we otherwise might be prevented from doing so under insider trading laws or because of self-imposed trading blackout periods. These programs may be discontinued at any time.</w:t>
      </w:r>
    </w:p>
    <w:p>
      <w:pPr>
        <w:spacing w:after="0" w:line="196" w:lineRule="exact"/>
        <w:rPr>
          <w:sz w:val="20"/>
          <w:szCs w:val="20"/>
          <w:color w:val="auto"/>
        </w:rPr>
      </w:pPr>
    </w:p>
    <w:p>
      <w:pPr>
        <w:ind w:left="50"/>
        <w:spacing w:after="0"/>
        <w:tabs>
          <w:tab w:leader="none" w:pos="1150" w:val="left"/>
        </w:tabs>
        <w:rPr>
          <w:sz w:val="20"/>
          <w:szCs w:val="20"/>
          <w:color w:val="auto"/>
        </w:rPr>
      </w:pPr>
      <w:r>
        <w:rPr>
          <w:rFonts w:ascii="Times New Roman" w:cs="Times New Roman" w:eastAsia="Times New Roman" w:hAnsi="Times New Roman"/>
          <w:sz w:val="20"/>
          <w:szCs w:val="20"/>
          <w:b w:val="1"/>
          <w:bCs w:val="1"/>
          <w:color w:val="231F20"/>
        </w:rPr>
        <w:t>ITEM 6.</w:t>
      </w:r>
      <w:r>
        <w:rPr>
          <w:sz w:val="20"/>
          <w:szCs w:val="20"/>
          <w:color w:val="auto"/>
        </w:rPr>
        <w:tab/>
      </w:r>
      <w:r>
        <w:rPr>
          <w:rFonts w:ascii="Times New Roman" w:cs="Times New Roman" w:eastAsia="Times New Roman" w:hAnsi="Times New Roman"/>
          <w:sz w:val="19"/>
          <w:szCs w:val="19"/>
          <w:b w:val="1"/>
          <w:bCs w:val="1"/>
          <w:color w:val="231F20"/>
        </w:rPr>
        <w:t>[RESERVED]</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N/A.</w:t>
      </w:r>
    </w:p>
    <w:p>
      <w:pPr>
        <w:sectPr>
          <w:pgSz w:w="11880" w:h="15480" w:orient="portrait"/>
          <w:cols w:equalWidth="0" w:num="1">
            <w:col w:w="10250"/>
          </w:cols>
          <w:pgMar w:left="810" w:top="48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250"/>
          </w:cols>
          <w:pgMar w:left="810" w:top="483" w:right="820" w:bottom="0" w:gutter="0" w:footer="0" w:header="0"/>
          <w:type w:val="continuous"/>
        </w:sectPr>
      </w:pPr>
    </w:p>
    <w:bookmarkStart w:id="42" w:name="page43"/>
    <w:bookmarkEnd w:id="42"/>
    <w:p>
      <w:pPr>
        <w:ind w:left="1160" w:right="60" w:hanging="1124"/>
        <w:spacing w:after="0" w:line="244" w:lineRule="auto"/>
        <w:tabs>
          <w:tab w:leader="none" w:pos="1140" w:val="left"/>
        </w:tabs>
        <w:rPr>
          <w:sz w:val="20"/>
          <w:szCs w:val="20"/>
          <w:color w:val="auto"/>
        </w:rPr>
      </w:pPr>
      <w:r>
        <w:rPr>
          <w:rFonts w:ascii="Times New Roman" w:cs="Times New Roman" w:eastAsia="Times New Roman" w:hAnsi="Times New Roman"/>
          <w:sz w:val="20"/>
          <w:szCs w:val="20"/>
          <w:b w:val="1"/>
          <w:bCs w:val="1"/>
          <w:color w:val="231F20"/>
        </w:rPr>
        <w:t>ITEM 7.</w:t>
      </w:r>
      <w:r>
        <w:rPr>
          <w:sz w:val="20"/>
          <w:szCs w:val="20"/>
          <w:color w:val="auto"/>
        </w:rPr>
        <w:tab/>
      </w:r>
      <w:r>
        <w:rPr>
          <w:rFonts w:ascii="Times New Roman" w:cs="Times New Roman" w:eastAsia="Times New Roman" w:hAnsi="Times New Roman"/>
          <w:sz w:val="20"/>
          <w:szCs w:val="20"/>
          <w:b w:val="1"/>
          <w:bCs w:val="1"/>
          <w:color w:val="231F20"/>
        </w:rPr>
        <w:t>MANAGEMENT’S DISCUSSION AND ANALYSIS OF FINANCIAL CONDITION AND RESULTS OF OPERATIONS</w:t>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The discussion and analysis of our financial condition and results of operations that follow are based upon our consolidated financial statements, which have been prepared in accordance with GAAP. The preparation of our financial statements requires us to make estimates and assumptions that affect the reported amounts of assets and liabilities, revenues and expenses, and the related disclosure of contingent assets and liabilities at the date of our financial statements. Actual results may differ from these estimates and such differences could be material to the financial statements. This discussion should be read in conjunction with our consolidated financial statements included in this Annual Report and the accompanying notes, and the information set forth under the caption “Critical Accounting Policies and Estimates”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During the year ended December 31, 2025, we completed the sale of our fiber assets in South Africa (“South Africa Fiber”).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Prior to the divestiture, the operating results of South Africa Fiber were included within the Africa &amp; APAC property segment.</w:t>
      </w:r>
    </w:p>
    <w:p>
      <w:pPr>
        <w:spacing w:after="0" w:line="1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2024, we completed the sale of ATC TIPL (as defined below). The divestiture qualified for presentation as discontinued operations. See Note 21 for further discussion. Prior to the divestiture and classification as discontinued operations, ATC TIPL’s operating results were included within the Africa &amp; APAC property segment. Historical financial information included in Management’s Discussion and Analysis of Financial Condition and Results of Operations has been adjusted to reflect the operating results of ATC TIPL as discontinued operations for all periods presented.</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We report our results in six segments: U.S. &amp; Canada property (which includes all assets in the United States and Canada, other than our data center facilities and related assets), Africa &amp; APAC property, Europe property, Latin America property, Data Centers and Services. In evaluating financial performance in each business segment, management uses, among other factors, segment gross margin and segment operating profit (see note 19 to our consolidated financial statements included in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Overview</w:t>
      </w:r>
    </w:p>
    <w:p>
      <w:pPr>
        <w:spacing w:after="0" w:line="17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231F20"/>
        </w:rPr>
        <w:t>We are one of the largest global REITs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In addition to the communications sites in our portfolio, we manage rooftop and tower sites for property owners under various contractual arrangements. We also hold other telecommunications infrastructure and property interests that we lease primarily to communications service providers and third-party tower operators, and, as discussed further below, we hold a portfolio of highly interconnected data center facilities and related assets in the United States. Our customers include our tenants, licensees and other payers. We refer to the business encompassing the above as our property operations, which accounted for 97% of our total revenues for the year ended December 31, 2025 and includes our U.S. &amp; Canada property, Africa &amp; APAC property, Europe property and Latin America property segments and Data Centers segment.</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We also offer tower-related services in the United States, including site application, zoning and permitting, structural and mount analyses, and construction management, together with program management offerings that support customer deployment needs from project scoping through construction. Our services operations primarily support our site leasing business, including the addition of new tenants and equipment on our sites.</w:t>
      </w:r>
    </w:p>
    <w:p>
      <w:pPr>
        <w:sectPr>
          <w:pgSz w:w="11880" w:h="15480" w:orient="portrait"/>
          <w:cols w:equalWidth="0" w:num="1">
            <w:col w:w="10240"/>
          </w:cols>
          <w:pgMar w:left="820" w:top="86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240"/>
          </w:cols>
          <w:pgMar w:left="820" w:top="861" w:right="820" w:bottom="0" w:gutter="0" w:footer="0" w:header="0"/>
          <w:type w:val="continuous"/>
        </w:sectPr>
      </w:pPr>
    </w:p>
    <w:bookmarkStart w:id="43" w:name="page44"/>
    <w:bookmarkEnd w:id="43"/>
    <w:p>
      <w:pPr>
        <w:ind w:left="10"/>
        <w:spacing w:after="0"/>
        <w:rPr>
          <w:sz w:val="20"/>
          <w:szCs w:val="20"/>
          <w:color w:val="auto"/>
        </w:rPr>
      </w:pPr>
      <w:r>
        <w:rPr>
          <w:rFonts w:ascii="Times New Roman" w:cs="Times New Roman" w:eastAsia="Times New Roman" w:hAnsi="Times New Roman"/>
          <w:sz w:val="20"/>
          <w:szCs w:val="20"/>
          <w:color w:val="231F20"/>
        </w:rPr>
        <w:t>The following table details the number of communications sites, excluding managed sites, that we owned or operated as of</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December 31, 2025:</w:t>
      </w:r>
    </w:p>
    <w:tbl>
      <w:tblPr>
        <w:tblLayout w:type="fixed"/>
        <w:tblInd w:w="5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6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231F20"/>
                <w:w w:val="99"/>
              </w:rPr>
              <w:t>Number of</w:t>
            </w:r>
          </w:p>
        </w:tc>
        <w:tc>
          <w:tcPr>
            <w:tcW w:w="8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231F20"/>
                <w:w w:val="99"/>
              </w:rPr>
              <w:t>Number of</w:t>
            </w:r>
          </w:p>
        </w:tc>
        <w:tc>
          <w:tcPr>
            <w:tcW w:w="0" w:type="dxa"/>
            <w:vAlign w:val="bottom"/>
          </w:tcPr>
          <w:p>
            <w:pPr>
              <w:spacing w:after="0"/>
              <w:rPr>
                <w:sz w:val="1"/>
                <w:szCs w:val="1"/>
                <w:color w:val="auto"/>
              </w:rPr>
            </w:pPr>
          </w:p>
        </w:tc>
      </w:tr>
      <w:tr>
        <w:trPr>
          <w:trHeight w:val="160"/>
        </w:trPr>
        <w:tc>
          <w:tcPr>
            <w:tcW w:w="66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Operated</w:t>
            </w:r>
          </w:p>
        </w:tc>
        <w:tc>
          <w:tcPr>
            <w:tcW w:w="8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Owned DAS</w:t>
            </w:r>
          </w:p>
        </w:tc>
        <w:tc>
          <w:tcPr>
            <w:tcW w:w="0" w:type="dxa"/>
            <w:vAlign w:val="bottom"/>
          </w:tcPr>
          <w:p>
            <w:pPr>
              <w:spacing w:after="0"/>
              <w:rPr>
                <w:sz w:val="1"/>
                <w:szCs w:val="1"/>
                <w:color w:val="auto"/>
              </w:rPr>
            </w:pPr>
          </w:p>
        </w:tc>
      </w:tr>
      <w:tr>
        <w:trPr>
          <w:trHeight w:val="214"/>
        </w:trPr>
        <w:tc>
          <w:tcPr>
            <w:tcW w:w="6600" w:type="dxa"/>
            <w:vAlign w:val="bottom"/>
            <w:tcBorders>
              <w:bottom w:val="single" w:sz="8" w:color="DBDCDE"/>
            </w:tcBorders>
          </w:tcPr>
          <w:p>
            <w:pPr>
              <w:spacing w:after="0"/>
              <w:rPr>
                <w:sz w:val="18"/>
                <w:szCs w:val="18"/>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Owned Towers</w:t>
            </w:r>
          </w:p>
        </w:tc>
        <w:tc>
          <w:tcPr>
            <w:tcW w:w="60" w:type="dxa"/>
            <w:vAlign w:val="bottom"/>
            <w:tcBorders>
              <w:bottom w:val="single" w:sz="8" w:color="DBDCDE"/>
            </w:tcBorders>
          </w:tcPr>
          <w:p>
            <w:pPr>
              <w:spacing w:after="0"/>
              <w:rPr>
                <w:sz w:val="18"/>
                <w:szCs w:val="18"/>
                <w:color w:val="auto"/>
              </w:rPr>
            </w:pPr>
          </w:p>
        </w:tc>
        <w:tc>
          <w:tcPr>
            <w:tcW w:w="1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Towers (1)</w:t>
            </w:r>
          </w:p>
        </w:tc>
        <w:tc>
          <w:tcPr>
            <w:tcW w:w="80" w:type="dxa"/>
            <w:vAlign w:val="bottom"/>
            <w:tcBorders>
              <w:bottom w:val="single" w:sz="8" w:color="DBDCDE"/>
            </w:tcBorders>
          </w:tcPr>
          <w:p>
            <w:pPr>
              <w:spacing w:after="0"/>
              <w:rPr>
                <w:sz w:val="18"/>
                <w:szCs w:val="18"/>
                <w:color w:val="auto"/>
              </w:rPr>
            </w:pPr>
          </w:p>
        </w:tc>
        <w:tc>
          <w:tcPr>
            <w:tcW w:w="1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Sites</w:t>
            </w:r>
          </w:p>
        </w:tc>
        <w:tc>
          <w:tcPr>
            <w:tcW w:w="0" w:type="dxa"/>
            <w:vAlign w:val="bottom"/>
          </w:tcPr>
          <w:p>
            <w:pPr>
              <w:spacing w:after="0"/>
              <w:rPr>
                <w:sz w:val="1"/>
                <w:szCs w:val="1"/>
                <w:color w:val="auto"/>
              </w:rPr>
            </w:pPr>
          </w:p>
        </w:tc>
      </w:tr>
      <w:tr>
        <w:trPr>
          <w:trHeight w:val="230"/>
        </w:trPr>
        <w:tc>
          <w:tcPr>
            <w:tcW w:w="66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U.S. &amp; Canada:</w:t>
            </w:r>
          </w:p>
        </w:tc>
        <w:tc>
          <w:tcPr>
            <w:tcW w:w="1160" w:type="dxa"/>
            <w:vAlign w:val="bottom"/>
            <w:shd w:val="clear" w:color="auto" w:fill="DBDCDE"/>
          </w:tcPr>
          <w:p>
            <w:pPr>
              <w:spacing w:after="0"/>
              <w:rPr>
                <w:sz w:val="20"/>
                <w:szCs w:val="20"/>
                <w:color w:val="auto"/>
              </w:rPr>
            </w:pP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spacing w:after="0"/>
              <w:rPr>
                <w:sz w:val="20"/>
                <w:szCs w:val="20"/>
                <w:color w:val="auto"/>
              </w:rPr>
            </w:pPr>
          </w:p>
        </w:tc>
        <w:tc>
          <w:tcPr>
            <w:tcW w:w="80" w:type="dxa"/>
            <w:vAlign w:val="bottom"/>
            <w:shd w:val="clear" w:color="auto" w:fill="DBDCDE"/>
          </w:tcPr>
          <w:p>
            <w:pPr>
              <w:spacing w:after="0"/>
              <w:rPr>
                <w:sz w:val="20"/>
                <w:szCs w:val="20"/>
                <w:color w:val="auto"/>
              </w:rPr>
            </w:pPr>
          </w:p>
        </w:tc>
        <w:tc>
          <w:tcPr>
            <w:tcW w:w="1160" w:type="dxa"/>
            <w:vAlign w:val="bottom"/>
            <w:shd w:val="clear" w:color="auto" w:fill="DBDCD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Canada</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226</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United States </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26,714</w:t>
            </w:r>
          </w:p>
        </w:tc>
        <w:tc>
          <w:tcPr>
            <w:tcW w:w="1220" w:type="dxa"/>
            <w:vAlign w:val="bottom"/>
            <w:gridSpan w:val="2"/>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14,855</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429</w:t>
            </w:r>
          </w:p>
        </w:tc>
        <w:tc>
          <w:tcPr>
            <w:tcW w:w="0" w:type="dxa"/>
            <w:vAlign w:val="bottom"/>
          </w:tcPr>
          <w:p>
            <w:pPr>
              <w:spacing w:after="0"/>
              <w:rPr>
                <w:sz w:val="1"/>
                <w:szCs w:val="1"/>
                <w:color w:val="auto"/>
              </w:rPr>
            </w:pPr>
          </w:p>
        </w:tc>
      </w:tr>
      <w:tr>
        <w:trPr>
          <w:trHeight w:val="210"/>
        </w:trPr>
        <w:tc>
          <w:tcPr>
            <w:tcW w:w="6600" w:type="dxa"/>
            <w:vAlign w:val="bottom"/>
            <w:tcBorders>
              <w:top w:val="single" w:sz="8" w:color="DBDCDE"/>
            </w:tcBorders>
          </w:tcPr>
          <w:p>
            <w:pPr>
              <w:jc w:val="right"/>
              <w:ind w:right="40"/>
              <w:spacing w:after="0" w:line="210" w:lineRule="exact"/>
              <w:rPr>
                <w:sz w:val="20"/>
                <w:szCs w:val="20"/>
                <w:color w:val="auto"/>
              </w:rPr>
            </w:pPr>
            <w:r>
              <w:rPr>
                <w:rFonts w:ascii="Times New Roman" w:cs="Times New Roman" w:eastAsia="Times New Roman" w:hAnsi="Times New Roman"/>
                <w:sz w:val="20"/>
                <w:szCs w:val="20"/>
                <w:color w:val="231F20"/>
              </w:rPr>
              <w:t>U.S. &amp; Canada total</w:t>
            </w:r>
            <w:r>
              <w:rPr>
                <w:rFonts w:ascii="Times New Roman" w:cs="Times New Roman" w:eastAsia="Times New Roman" w:hAnsi="Times New Roman"/>
                <w:sz w:val="20"/>
                <w:szCs w:val="20"/>
                <w:color w:val="BABCBE"/>
              </w:rPr>
              <w:t>................................................................................................</w:t>
            </w:r>
          </w:p>
        </w:tc>
        <w:tc>
          <w:tcPr>
            <w:tcW w:w="1160" w:type="dxa"/>
            <w:vAlign w:val="bottom"/>
            <w:tcBorders>
              <w:top w:val="single" w:sz="8" w:color="231F20"/>
            </w:tcBorders>
          </w:tcPr>
          <w:p>
            <w:pPr>
              <w:jc w:val="right"/>
              <w:ind w:right="1"/>
              <w:spacing w:after="0" w:line="210" w:lineRule="exact"/>
              <w:rPr>
                <w:sz w:val="20"/>
                <w:szCs w:val="20"/>
                <w:color w:val="auto"/>
              </w:rPr>
            </w:pPr>
            <w:r>
              <w:rPr>
                <w:rFonts w:ascii="Times New Roman" w:cs="Times New Roman" w:eastAsia="Times New Roman" w:hAnsi="Times New Roman"/>
                <w:sz w:val="20"/>
                <w:szCs w:val="20"/>
                <w:color w:val="231F20"/>
              </w:rPr>
              <w:t>26,940</w:t>
            </w:r>
          </w:p>
        </w:tc>
        <w:tc>
          <w:tcPr>
            <w:tcW w:w="60" w:type="dxa"/>
            <w:vAlign w:val="bottom"/>
            <w:tcBorders>
              <w:top w:val="single" w:sz="8" w:color="DBDCDE"/>
            </w:tcBorders>
          </w:tcPr>
          <w:p>
            <w:pPr>
              <w:spacing w:after="0"/>
              <w:rPr>
                <w:sz w:val="18"/>
                <w:szCs w:val="18"/>
                <w:color w:val="auto"/>
              </w:rPr>
            </w:pPr>
          </w:p>
        </w:tc>
        <w:tc>
          <w:tcPr>
            <w:tcW w:w="1160" w:type="dxa"/>
            <w:vAlign w:val="bottom"/>
            <w:tcBorders>
              <w:top w:val="single" w:sz="8" w:color="231F20"/>
            </w:tcBorders>
          </w:tcPr>
          <w:p>
            <w:pPr>
              <w:jc w:val="right"/>
              <w:spacing w:after="0" w:line="210" w:lineRule="exact"/>
              <w:rPr>
                <w:sz w:val="20"/>
                <w:szCs w:val="20"/>
                <w:color w:val="auto"/>
              </w:rPr>
            </w:pPr>
            <w:r>
              <w:rPr>
                <w:rFonts w:ascii="Times New Roman" w:cs="Times New Roman" w:eastAsia="Times New Roman" w:hAnsi="Times New Roman"/>
                <w:sz w:val="20"/>
                <w:szCs w:val="20"/>
                <w:color w:val="231F20"/>
              </w:rPr>
              <w:t>14,855</w:t>
            </w:r>
          </w:p>
        </w:tc>
        <w:tc>
          <w:tcPr>
            <w:tcW w:w="80" w:type="dxa"/>
            <w:vAlign w:val="bottom"/>
            <w:tcBorders>
              <w:top w:val="single" w:sz="8" w:color="DBDCDE"/>
            </w:tcBorders>
          </w:tcPr>
          <w:p>
            <w:pPr>
              <w:spacing w:after="0"/>
              <w:rPr>
                <w:sz w:val="18"/>
                <w:szCs w:val="18"/>
                <w:color w:val="auto"/>
              </w:rPr>
            </w:pPr>
          </w:p>
        </w:tc>
        <w:tc>
          <w:tcPr>
            <w:tcW w:w="1160" w:type="dxa"/>
            <w:vAlign w:val="bottom"/>
            <w:tcBorders>
              <w:top w:val="single" w:sz="8" w:color="231F20"/>
            </w:tcBorders>
          </w:tcPr>
          <w:p>
            <w:pPr>
              <w:jc w:val="right"/>
              <w:ind w:right="4"/>
              <w:spacing w:after="0" w:line="210" w:lineRule="exact"/>
              <w:rPr>
                <w:sz w:val="20"/>
                <w:szCs w:val="20"/>
                <w:color w:val="auto"/>
              </w:rPr>
            </w:pPr>
            <w:r>
              <w:rPr>
                <w:rFonts w:ascii="Times New Roman" w:cs="Times New Roman" w:eastAsia="Times New Roman" w:hAnsi="Times New Roman"/>
                <w:sz w:val="20"/>
                <w:szCs w:val="20"/>
                <w:color w:val="231F20"/>
              </w:rPr>
              <w:t>429</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Africa &amp; APAC:</w:t>
            </w:r>
          </w:p>
        </w:tc>
        <w:tc>
          <w:tcPr>
            <w:tcW w:w="1160" w:type="dxa"/>
            <w:vAlign w:val="bottom"/>
            <w:shd w:val="clear" w:color="auto" w:fill="DBDCDE"/>
          </w:tcPr>
          <w:p>
            <w:pPr>
              <w:spacing w:after="0"/>
              <w:rPr>
                <w:sz w:val="20"/>
                <w:szCs w:val="20"/>
                <w:color w:val="auto"/>
              </w:rPr>
            </w:pP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spacing w:after="0"/>
              <w:rPr>
                <w:sz w:val="20"/>
                <w:szCs w:val="20"/>
                <w:color w:val="auto"/>
              </w:rPr>
            </w:pPr>
          </w:p>
        </w:tc>
        <w:tc>
          <w:tcPr>
            <w:tcW w:w="80" w:type="dxa"/>
            <w:vAlign w:val="bottom"/>
            <w:shd w:val="clear" w:color="auto" w:fill="DBDCDE"/>
          </w:tcPr>
          <w:p>
            <w:pPr>
              <w:spacing w:after="0"/>
              <w:rPr>
                <w:sz w:val="20"/>
                <w:szCs w:val="20"/>
                <w:color w:val="auto"/>
              </w:rPr>
            </w:pPr>
          </w:p>
        </w:tc>
        <w:tc>
          <w:tcPr>
            <w:tcW w:w="1160" w:type="dxa"/>
            <w:vAlign w:val="bottom"/>
            <w:shd w:val="clear" w:color="auto" w:fill="DBDCD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Bangladesh </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1,040</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Burkina Faso </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733</w:t>
            </w: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BDCDE"/>
          </w:tcPr>
          <w:p>
            <w:pPr>
              <w:spacing w:after="0"/>
              <w:rPr>
                <w:sz w:val="20"/>
                <w:szCs w:val="20"/>
                <w:color w:val="auto"/>
              </w:rPr>
            </w:pPr>
          </w:p>
        </w:tc>
        <w:tc>
          <w:tcPr>
            <w:tcW w:w="1160" w:type="dxa"/>
            <w:vAlign w:val="bottom"/>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Ghana </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3,438</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Kenya </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4,500</w:t>
            </w: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Niger</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931</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Nigeria</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9,706</w:t>
            </w: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BDCDE"/>
          </w:tcPr>
          <w:p>
            <w:pPr>
              <w:spacing w:after="0"/>
              <w:rPr>
                <w:sz w:val="20"/>
                <w:szCs w:val="20"/>
                <w:color w:val="auto"/>
              </w:rPr>
            </w:pPr>
          </w:p>
        </w:tc>
        <w:tc>
          <w:tcPr>
            <w:tcW w:w="1160" w:type="dxa"/>
            <w:vAlign w:val="bottom"/>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Philippines</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384</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South Africa </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2,483</w:t>
            </w: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DBDCDE"/>
          </w:tcPr>
          <w:p>
            <w:pPr>
              <w:spacing w:after="0"/>
              <w:rPr>
                <w:sz w:val="20"/>
                <w:szCs w:val="20"/>
                <w:color w:val="auto"/>
              </w:rPr>
            </w:pPr>
          </w:p>
        </w:tc>
        <w:tc>
          <w:tcPr>
            <w:tcW w:w="1160" w:type="dxa"/>
            <w:vAlign w:val="bottom"/>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Uganda </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4,547</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30"/>
        </w:trPr>
        <w:tc>
          <w:tcPr>
            <w:tcW w:w="6600" w:type="dxa"/>
            <w:vAlign w:val="bottom"/>
            <w:tcBorders>
              <w:top w:val="single" w:sz="8" w:color="DBDCDE"/>
            </w:tcBorders>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Africa &amp; APAC total</w:t>
            </w:r>
            <w:r>
              <w:rPr>
                <w:rFonts w:ascii="Times New Roman" w:cs="Times New Roman" w:eastAsia="Times New Roman" w:hAnsi="Times New Roman"/>
                <w:sz w:val="20"/>
                <w:szCs w:val="20"/>
                <w:b w:val="1"/>
                <w:bCs w:val="1"/>
                <w:color w:val="BABCBE"/>
              </w:rPr>
              <w:t>..............................................................................................</w:t>
            </w:r>
          </w:p>
        </w:tc>
        <w:tc>
          <w:tcPr>
            <w:tcW w:w="1160" w:type="dxa"/>
            <w:vAlign w:val="bottom"/>
            <w:tcBorders>
              <w:top w:val="single" w:sz="8" w:color="231F20"/>
            </w:tcBorders>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27,762</w:t>
            </w:r>
          </w:p>
        </w:tc>
        <w:tc>
          <w:tcPr>
            <w:tcW w:w="60" w:type="dxa"/>
            <w:vAlign w:val="bottom"/>
            <w:tcBorders>
              <w:top w:val="single" w:sz="8" w:color="DBDCDE"/>
            </w:tcBorders>
            <w:shd w:val="clear" w:color="auto" w:fill="DBDCDE"/>
          </w:tcPr>
          <w:p>
            <w:pPr>
              <w:spacing w:after="0"/>
              <w:rPr>
                <w:sz w:val="20"/>
                <w:szCs w:val="20"/>
                <w:color w:val="auto"/>
              </w:rPr>
            </w:pPr>
          </w:p>
        </w:tc>
        <w:tc>
          <w:tcPr>
            <w:tcW w:w="1160" w:type="dxa"/>
            <w:vAlign w:val="bottom"/>
            <w:tcBorders>
              <w:top w:val="single" w:sz="8" w:color="231F20"/>
            </w:tcBorders>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DBDCDE"/>
            </w:tcBorders>
            <w:shd w:val="clear" w:color="auto" w:fill="DBDCDE"/>
          </w:tcPr>
          <w:p>
            <w:pPr>
              <w:spacing w:after="0"/>
              <w:rPr>
                <w:sz w:val="20"/>
                <w:szCs w:val="20"/>
                <w:color w:val="auto"/>
              </w:rPr>
            </w:pPr>
          </w:p>
        </w:tc>
        <w:tc>
          <w:tcPr>
            <w:tcW w:w="1160" w:type="dxa"/>
            <w:vAlign w:val="bottom"/>
            <w:tcBorders>
              <w:top w:val="single" w:sz="8" w:color="231F20"/>
            </w:tcBorders>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95</w:t>
            </w:r>
          </w:p>
        </w:tc>
        <w:tc>
          <w:tcPr>
            <w:tcW w:w="0" w:type="dxa"/>
            <w:vAlign w:val="bottom"/>
          </w:tcPr>
          <w:p>
            <w:pPr>
              <w:spacing w:after="0"/>
              <w:rPr>
                <w:sz w:val="1"/>
                <w:szCs w:val="1"/>
                <w:color w:val="auto"/>
              </w:rPr>
            </w:pPr>
          </w:p>
        </w:tc>
      </w:tr>
      <w:tr>
        <w:trPr>
          <w:trHeight w:val="240"/>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Europe:</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France</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4,279</w:t>
            </w:r>
          </w:p>
        </w:tc>
        <w:tc>
          <w:tcPr>
            <w:tcW w:w="1220" w:type="dxa"/>
            <w:vAlign w:val="bottom"/>
            <w:gridSpan w:val="2"/>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303</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Germany</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15,501</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5"/>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Spain</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12,431</w:t>
            </w:r>
          </w:p>
        </w:tc>
        <w:tc>
          <w:tcPr>
            <w:tcW w:w="60" w:type="dxa"/>
            <w:vAlign w:val="bottom"/>
            <w:shd w:val="clear" w:color="auto" w:fill="DBDCDE"/>
          </w:tcPr>
          <w:p>
            <w:pPr>
              <w:spacing w:after="0"/>
              <w:rPr>
                <w:sz w:val="23"/>
                <w:szCs w:val="23"/>
                <w:color w:val="auto"/>
              </w:rPr>
            </w:pPr>
          </w:p>
        </w:tc>
        <w:tc>
          <w:tcPr>
            <w:tcW w:w="116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10"/>
        </w:trPr>
        <w:tc>
          <w:tcPr>
            <w:tcW w:w="6600" w:type="dxa"/>
            <w:vAlign w:val="bottom"/>
            <w:tcBorders>
              <w:top w:val="single" w:sz="8" w:color="DBDCDE"/>
            </w:tcBorders>
          </w:tcPr>
          <w:p>
            <w:pPr>
              <w:jc w:val="right"/>
              <w:ind w:right="40"/>
              <w:spacing w:after="0" w:line="210" w:lineRule="exact"/>
              <w:rPr>
                <w:sz w:val="20"/>
                <w:szCs w:val="20"/>
                <w:color w:val="auto"/>
              </w:rPr>
            </w:pPr>
            <w:r>
              <w:rPr>
                <w:rFonts w:ascii="Times New Roman" w:cs="Times New Roman" w:eastAsia="Times New Roman" w:hAnsi="Times New Roman"/>
                <w:sz w:val="20"/>
                <w:szCs w:val="20"/>
                <w:color w:val="231F20"/>
              </w:rPr>
              <w:t xml:space="preserve">Europe total </w:t>
            </w:r>
            <w:r>
              <w:rPr>
                <w:rFonts w:ascii="Times New Roman" w:cs="Times New Roman" w:eastAsia="Times New Roman" w:hAnsi="Times New Roman"/>
                <w:sz w:val="20"/>
                <w:szCs w:val="20"/>
                <w:color w:val="BABCBE"/>
              </w:rPr>
              <w:t>............................................................................................................</w:t>
            </w:r>
          </w:p>
        </w:tc>
        <w:tc>
          <w:tcPr>
            <w:tcW w:w="1160" w:type="dxa"/>
            <w:vAlign w:val="bottom"/>
            <w:tcBorders>
              <w:top w:val="single" w:sz="8" w:color="231F20"/>
            </w:tcBorders>
          </w:tcPr>
          <w:p>
            <w:pPr>
              <w:jc w:val="right"/>
              <w:ind w:right="1"/>
              <w:spacing w:after="0" w:line="210" w:lineRule="exact"/>
              <w:rPr>
                <w:sz w:val="20"/>
                <w:szCs w:val="20"/>
                <w:color w:val="auto"/>
              </w:rPr>
            </w:pPr>
            <w:r>
              <w:rPr>
                <w:rFonts w:ascii="Times New Roman" w:cs="Times New Roman" w:eastAsia="Times New Roman" w:hAnsi="Times New Roman"/>
                <w:sz w:val="20"/>
                <w:szCs w:val="20"/>
                <w:color w:val="231F20"/>
              </w:rPr>
              <w:t>32,211</w:t>
            </w:r>
          </w:p>
        </w:tc>
        <w:tc>
          <w:tcPr>
            <w:tcW w:w="60" w:type="dxa"/>
            <w:vAlign w:val="bottom"/>
            <w:tcBorders>
              <w:top w:val="single" w:sz="8" w:color="DBDCDE"/>
            </w:tcBorders>
          </w:tcPr>
          <w:p>
            <w:pPr>
              <w:spacing w:after="0"/>
              <w:rPr>
                <w:sz w:val="18"/>
                <w:szCs w:val="18"/>
                <w:color w:val="auto"/>
              </w:rPr>
            </w:pPr>
          </w:p>
        </w:tc>
        <w:tc>
          <w:tcPr>
            <w:tcW w:w="1160" w:type="dxa"/>
            <w:vAlign w:val="bottom"/>
            <w:tcBorders>
              <w:top w:val="single" w:sz="8" w:color="231F20"/>
            </w:tcBorders>
          </w:tcPr>
          <w:p>
            <w:pPr>
              <w:jc w:val="right"/>
              <w:spacing w:after="0" w:line="210" w:lineRule="exact"/>
              <w:rPr>
                <w:sz w:val="20"/>
                <w:szCs w:val="20"/>
                <w:color w:val="auto"/>
              </w:rPr>
            </w:pPr>
            <w:r>
              <w:rPr>
                <w:rFonts w:ascii="Times New Roman" w:cs="Times New Roman" w:eastAsia="Times New Roman" w:hAnsi="Times New Roman"/>
                <w:sz w:val="20"/>
                <w:szCs w:val="20"/>
                <w:color w:val="231F20"/>
              </w:rPr>
              <w:t>303</w:t>
            </w:r>
          </w:p>
        </w:tc>
        <w:tc>
          <w:tcPr>
            <w:tcW w:w="80" w:type="dxa"/>
            <w:vAlign w:val="bottom"/>
            <w:tcBorders>
              <w:top w:val="single" w:sz="8" w:color="DBDCDE"/>
            </w:tcBorders>
          </w:tcPr>
          <w:p>
            <w:pPr>
              <w:spacing w:after="0"/>
              <w:rPr>
                <w:sz w:val="18"/>
                <w:szCs w:val="18"/>
                <w:color w:val="auto"/>
              </w:rPr>
            </w:pPr>
          </w:p>
        </w:tc>
        <w:tc>
          <w:tcPr>
            <w:tcW w:w="1160" w:type="dxa"/>
            <w:vAlign w:val="bottom"/>
            <w:tcBorders>
              <w:top w:val="single" w:sz="8" w:color="231F20"/>
            </w:tcBorders>
          </w:tcPr>
          <w:p>
            <w:pPr>
              <w:jc w:val="right"/>
              <w:ind w:right="4"/>
              <w:spacing w:after="0" w:line="210" w:lineRule="exact"/>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Latin America:</w:t>
            </w:r>
          </w:p>
        </w:tc>
        <w:tc>
          <w:tcPr>
            <w:tcW w:w="1160" w:type="dxa"/>
            <w:vAlign w:val="bottom"/>
            <w:shd w:val="clear" w:color="auto" w:fill="DBDCDE"/>
          </w:tcPr>
          <w:p>
            <w:pPr>
              <w:spacing w:after="0"/>
              <w:rPr>
                <w:sz w:val="20"/>
                <w:szCs w:val="20"/>
                <w:color w:val="auto"/>
              </w:rPr>
            </w:pP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spacing w:after="0"/>
              <w:rPr>
                <w:sz w:val="20"/>
                <w:szCs w:val="20"/>
                <w:color w:val="auto"/>
              </w:rPr>
            </w:pPr>
          </w:p>
        </w:tc>
        <w:tc>
          <w:tcPr>
            <w:tcW w:w="80" w:type="dxa"/>
            <w:vAlign w:val="bottom"/>
            <w:shd w:val="clear" w:color="auto" w:fill="DBDCDE"/>
          </w:tcPr>
          <w:p>
            <w:pPr>
              <w:spacing w:after="0"/>
              <w:rPr>
                <w:sz w:val="20"/>
                <w:szCs w:val="20"/>
                <w:color w:val="auto"/>
              </w:rPr>
            </w:pPr>
          </w:p>
        </w:tc>
        <w:tc>
          <w:tcPr>
            <w:tcW w:w="1160" w:type="dxa"/>
            <w:vAlign w:val="bottom"/>
            <w:shd w:val="clear" w:color="auto" w:fill="DBDCD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Argentina</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497</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Brazil</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20,829</w:t>
            </w:r>
          </w:p>
        </w:tc>
        <w:tc>
          <w:tcPr>
            <w:tcW w:w="1220" w:type="dxa"/>
            <w:vAlign w:val="bottom"/>
            <w:gridSpan w:val="2"/>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1,434</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126</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Chile </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3,681</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20"/>
                <w:szCs w:val="20"/>
                <w:color w:val="231F20"/>
              </w:rPr>
              <w:t>107</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Colombia</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4,858</w:t>
            </w:r>
          </w:p>
        </w:tc>
        <w:tc>
          <w:tcPr>
            <w:tcW w:w="60" w:type="dxa"/>
            <w:vAlign w:val="bottom"/>
            <w:shd w:val="clear" w:color="auto" w:fill="DBDCDE"/>
          </w:tcPr>
          <w:p>
            <w:pPr>
              <w:spacing w:after="0"/>
              <w:rPr>
                <w:sz w:val="20"/>
                <w:szCs w:val="20"/>
                <w:color w:val="auto"/>
              </w:rPr>
            </w:pPr>
          </w:p>
        </w:tc>
        <w:tc>
          <w:tcPr>
            <w:tcW w:w="116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Costa Rica </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712</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2"/>
          </w:tcPr>
          <w:p>
            <w:pPr>
              <w:jc w:val="right"/>
              <w:ind w:right="4"/>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4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Mexico </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8,689</w:t>
            </w:r>
          </w:p>
        </w:tc>
        <w:tc>
          <w:tcPr>
            <w:tcW w:w="1220" w:type="dxa"/>
            <w:vAlign w:val="bottom"/>
            <w:gridSpan w:val="2"/>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240"/>
        </w:trPr>
        <w:tc>
          <w:tcPr>
            <w:tcW w:w="6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Paraguay</w:t>
            </w:r>
            <w:r>
              <w:rPr>
                <w:rFonts w:ascii="Times New Roman" w:cs="Times New Roman" w:eastAsia="Times New Roman" w:hAnsi="Times New Roman"/>
                <w:sz w:val="20"/>
                <w:szCs w:val="20"/>
                <w:color w:val="BABCBE"/>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1,450</w:t>
            </w: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0"/>
        </w:trPr>
        <w:tc>
          <w:tcPr>
            <w:tcW w:w="6600" w:type="dxa"/>
            <w:vAlign w:val="bottom"/>
            <w:shd w:val="clear" w:color="auto" w:fill="DBDCDE"/>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Peru </w:t>
            </w:r>
            <w:r>
              <w:rPr>
                <w:rFonts w:ascii="Times New Roman" w:cs="Times New Roman" w:eastAsia="Times New Roman" w:hAnsi="Times New Roman"/>
                <w:sz w:val="20"/>
                <w:szCs w:val="20"/>
                <w:color w:val="BABCBE"/>
              </w:rPr>
              <w:t>.................................................................................................................</w:t>
            </w:r>
          </w:p>
        </w:tc>
        <w:tc>
          <w:tcPr>
            <w:tcW w:w="1160" w:type="dxa"/>
            <w:vAlign w:val="bottom"/>
            <w:shd w:val="clear" w:color="auto" w:fill="DBDCDE"/>
          </w:tcPr>
          <w:p>
            <w:pPr>
              <w:jc w:val="right"/>
              <w:ind w:right="1"/>
              <w:spacing w:after="0"/>
              <w:rPr>
                <w:sz w:val="20"/>
                <w:szCs w:val="20"/>
                <w:color w:val="auto"/>
              </w:rPr>
            </w:pPr>
            <w:r>
              <w:rPr>
                <w:rFonts w:ascii="Times New Roman" w:cs="Times New Roman" w:eastAsia="Times New Roman" w:hAnsi="Times New Roman"/>
                <w:sz w:val="20"/>
                <w:szCs w:val="20"/>
                <w:color w:val="231F20"/>
              </w:rPr>
              <w:t>3,968</w:t>
            </w:r>
          </w:p>
        </w:tc>
        <w:tc>
          <w:tcPr>
            <w:tcW w:w="1220" w:type="dxa"/>
            <w:vAlign w:val="bottom"/>
            <w:gridSpan w:val="2"/>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450</w:t>
            </w:r>
          </w:p>
        </w:tc>
        <w:tc>
          <w:tcPr>
            <w:tcW w:w="1240" w:type="dxa"/>
            <w:vAlign w:val="bottom"/>
            <w:gridSpan w:val="2"/>
            <w:shd w:val="clear" w:color="auto" w:fill="DBDCDE"/>
          </w:tcPr>
          <w:p>
            <w:pPr>
              <w:jc w:val="right"/>
              <w:ind w:right="4"/>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00"/>
        </w:trPr>
        <w:tc>
          <w:tcPr>
            <w:tcW w:w="6600" w:type="dxa"/>
            <w:vAlign w:val="bottom"/>
            <w:tcBorders>
              <w:top w:val="single" w:sz="8" w:color="DBDCDE"/>
              <w:bottom w:val="single" w:sz="8" w:color="DBDCDE"/>
            </w:tcBorders>
          </w:tcPr>
          <w:p>
            <w:pPr>
              <w:jc w:val="right"/>
              <w:ind w:right="40"/>
              <w:spacing w:after="0" w:line="200" w:lineRule="exact"/>
              <w:rPr>
                <w:sz w:val="20"/>
                <w:szCs w:val="20"/>
                <w:color w:val="auto"/>
              </w:rPr>
            </w:pPr>
            <w:r>
              <w:rPr>
                <w:rFonts w:ascii="Times New Roman" w:cs="Times New Roman" w:eastAsia="Times New Roman" w:hAnsi="Times New Roman"/>
                <w:sz w:val="20"/>
                <w:szCs w:val="20"/>
                <w:color w:val="231F20"/>
              </w:rPr>
              <w:t>Latin America total</w:t>
            </w:r>
            <w:r>
              <w:rPr>
                <w:rFonts w:ascii="Times New Roman" w:cs="Times New Roman" w:eastAsia="Times New Roman" w:hAnsi="Times New Roman"/>
                <w:sz w:val="20"/>
                <w:szCs w:val="20"/>
                <w:color w:val="BABCBE"/>
              </w:rPr>
              <w:t>.................................................................................................</w:t>
            </w:r>
          </w:p>
        </w:tc>
        <w:tc>
          <w:tcPr>
            <w:tcW w:w="1160" w:type="dxa"/>
            <w:vAlign w:val="bottom"/>
            <w:tcBorders>
              <w:top w:val="single" w:sz="8" w:color="231F20"/>
              <w:bottom w:val="single" w:sz="8" w:color="231F20"/>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231F20"/>
              </w:rPr>
              <w:t>44,684</w:t>
            </w:r>
          </w:p>
        </w:tc>
        <w:tc>
          <w:tcPr>
            <w:tcW w:w="60" w:type="dxa"/>
            <w:vAlign w:val="bottom"/>
            <w:tcBorders>
              <w:top w:val="single" w:sz="8" w:color="DBDCDE"/>
              <w:bottom w:val="single" w:sz="8" w:color="DBDCDE"/>
            </w:tcBorders>
          </w:tcPr>
          <w:p>
            <w:pPr>
              <w:spacing w:after="0"/>
              <w:rPr>
                <w:sz w:val="17"/>
                <w:szCs w:val="17"/>
                <w:color w:val="auto"/>
              </w:rPr>
            </w:pPr>
          </w:p>
        </w:tc>
        <w:tc>
          <w:tcPr>
            <w:tcW w:w="1160" w:type="dxa"/>
            <w:vAlign w:val="bottom"/>
            <w:tcBorders>
              <w:top w:val="single" w:sz="8" w:color="231F20"/>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2,069</w:t>
            </w:r>
          </w:p>
        </w:tc>
        <w:tc>
          <w:tcPr>
            <w:tcW w:w="80" w:type="dxa"/>
            <w:vAlign w:val="bottom"/>
            <w:tcBorders>
              <w:top w:val="single" w:sz="8" w:color="DBDCDE"/>
              <w:bottom w:val="single" w:sz="8" w:color="DBDCDE"/>
            </w:tcBorders>
          </w:tcPr>
          <w:p>
            <w:pPr>
              <w:spacing w:after="0"/>
              <w:rPr>
                <w:sz w:val="17"/>
                <w:szCs w:val="17"/>
                <w:color w:val="auto"/>
              </w:rPr>
            </w:pPr>
          </w:p>
        </w:tc>
        <w:tc>
          <w:tcPr>
            <w:tcW w:w="1160" w:type="dxa"/>
            <w:vAlign w:val="bottom"/>
            <w:tcBorders>
              <w:top w:val="single" w:sz="8" w:color="231F20"/>
              <w:bottom w:val="single" w:sz="8" w:color="231F20"/>
            </w:tcBorders>
          </w:tcPr>
          <w:p>
            <w:pPr>
              <w:jc w:val="right"/>
              <w:ind w:right="4"/>
              <w:spacing w:after="0" w:line="200" w:lineRule="exact"/>
              <w:rPr>
                <w:sz w:val="20"/>
                <w:szCs w:val="20"/>
                <w:color w:val="auto"/>
              </w:rPr>
            </w:pPr>
            <w:r>
              <w:rPr>
                <w:rFonts w:ascii="Times New Roman" w:cs="Times New Roman" w:eastAsia="Times New Roman" w:hAnsi="Times New Roman"/>
                <w:sz w:val="20"/>
                <w:szCs w:val="20"/>
                <w:color w:val="231F20"/>
              </w:rPr>
              <w:t>328</w:t>
            </w:r>
          </w:p>
        </w:tc>
        <w:tc>
          <w:tcPr>
            <w:tcW w:w="0" w:type="dxa"/>
            <w:vAlign w:val="bottom"/>
          </w:tcPr>
          <w:p>
            <w:pPr>
              <w:spacing w:after="0"/>
              <w:rPr>
                <w:sz w:val="1"/>
                <w:szCs w:val="1"/>
                <w:color w:val="auto"/>
              </w:rPr>
            </w:pPr>
          </w:p>
        </w:tc>
      </w:tr>
      <w:tr>
        <w:trPr>
          <w:trHeight w:val="225"/>
        </w:trPr>
        <w:tc>
          <w:tcPr>
            <w:tcW w:w="6600" w:type="dxa"/>
            <w:vAlign w:val="bottom"/>
            <w:tcBorders>
              <w:bottom w:val="single" w:sz="8" w:color="DBDCDE"/>
            </w:tcBorders>
            <w:shd w:val="clear" w:color="auto" w:fill="DBDCDE"/>
          </w:tcPr>
          <w:p>
            <w:pPr>
              <w:jc w:val="right"/>
              <w:ind w:right="40"/>
              <w:spacing w:after="0" w:line="220" w:lineRule="exact"/>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ABCBE"/>
              </w:rPr>
              <w:t>.......................................................................................................................</w:t>
            </w:r>
          </w:p>
        </w:tc>
        <w:tc>
          <w:tcPr>
            <w:tcW w:w="1160" w:type="dxa"/>
            <w:vAlign w:val="bottom"/>
            <w:tcBorders>
              <w:bottom w:val="single" w:sz="8" w:color="231F20"/>
            </w:tcBorders>
            <w:shd w:val="clear" w:color="auto" w:fill="DBDCDE"/>
          </w:tcPr>
          <w:p>
            <w:pPr>
              <w:jc w:val="right"/>
              <w:ind w:right="1"/>
              <w:spacing w:after="0" w:line="180" w:lineRule="exact"/>
              <w:rPr>
                <w:sz w:val="20"/>
                <w:szCs w:val="20"/>
                <w:color w:val="auto"/>
              </w:rPr>
            </w:pPr>
            <w:r>
              <w:rPr>
                <w:rFonts w:ascii="Times New Roman" w:cs="Times New Roman" w:eastAsia="Times New Roman" w:hAnsi="Times New Roman"/>
                <w:sz w:val="20"/>
                <w:szCs w:val="20"/>
                <w:color w:val="231F20"/>
              </w:rPr>
              <w:t>131,597</w:t>
            </w:r>
          </w:p>
        </w:tc>
        <w:tc>
          <w:tcPr>
            <w:tcW w:w="60" w:type="dxa"/>
            <w:vAlign w:val="bottom"/>
            <w:tcBorders>
              <w:bottom w:val="single" w:sz="8" w:color="DBDCDE"/>
            </w:tcBorders>
            <w:shd w:val="clear" w:color="auto" w:fill="DBDCDE"/>
          </w:tcPr>
          <w:p>
            <w:pPr>
              <w:spacing w:after="0"/>
              <w:rPr>
                <w:sz w:val="19"/>
                <w:szCs w:val="19"/>
                <w:color w:val="auto"/>
              </w:rPr>
            </w:pPr>
          </w:p>
        </w:tc>
        <w:tc>
          <w:tcPr>
            <w:tcW w:w="1160" w:type="dxa"/>
            <w:vAlign w:val="bottom"/>
            <w:tcBorders>
              <w:bottom w:val="single" w:sz="8" w:color="231F20"/>
            </w:tcBorders>
            <w:shd w:val="clear" w:color="auto" w:fill="DBDCDE"/>
          </w:tcPr>
          <w:p>
            <w:pPr>
              <w:jc w:val="right"/>
              <w:spacing w:after="0" w:line="180" w:lineRule="exact"/>
              <w:rPr>
                <w:sz w:val="20"/>
                <w:szCs w:val="20"/>
                <w:color w:val="auto"/>
              </w:rPr>
            </w:pPr>
            <w:r>
              <w:rPr>
                <w:rFonts w:ascii="Times New Roman" w:cs="Times New Roman" w:eastAsia="Times New Roman" w:hAnsi="Times New Roman"/>
                <w:sz w:val="20"/>
                <w:szCs w:val="20"/>
                <w:color w:val="231F20"/>
              </w:rPr>
              <w:t>17,227</w:t>
            </w:r>
          </w:p>
        </w:tc>
        <w:tc>
          <w:tcPr>
            <w:tcW w:w="80" w:type="dxa"/>
            <w:vAlign w:val="bottom"/>
            <w:tcBorders>
              <w:bottom w:val="single" w:sz="8" w:color="DBDCDE"/>
            </w:tcBorders>
            <w:shd w:val="clear" w:color="auto" w:fill="DBDCDE"/>
          </w:tcPr>
          <w:p>
            <w:pPr>
              <w:spacing w:after="0"/>
              <w:rPr>
                <w:sz w:val="19"/>
                <w:szCs w:val="19"/>
                <w:color w:val="auto"/>
              </w:rPr>
            </w:pPr>
          </w:p>
        </w:tc>
        <w:tc>
          <w:tcPr>
            <w:tcW w:w="1160" w:type="dxa"/>
            <w:vAlign w:val="bottom"/>
            <w:tcBorders>
              <w:bottom w:val="single" w:sz="8" w:color="231F20"/>
            </w:tcBorders>
            <w:shd w:val="clear" w:color="auto" w:fill="DBDCDE"/>
          </w:tcPr>
          <w:p>
            <w:pPr>
              <w:jc w:val="right"/>
              <w:ind w:right="4"/>
              <w:spacing w:after="0" w:line="180" w:lineRule="exact"/>
              <w:rPr>
                <w:sz w:val="20"/>
                <w:szCs w:val="20"/>
                <w:color w:val="auto"/>
              </w:rPr>
            </w:pPr>
            <w:r>
              <w:rPr>
                <w:rFonts w:ascii="Times New Roman" w:cs="Times New Roman" w:eastAsia="Times New Roman" w:hAnsi="Times New Roman"/>
                <w:sz w:val="20"/>
                <w:szCs w:val="20"/>
                <w:color w:val="231F20"/>
              </w:rPr>
              <w:t>862</w:t>
            </w:r>
          </w:p>
        </w:tc>
        <w:tc>
          <w:tcPr>
            <w:tcW w:w="0" w:type="dxa"/>
            <w:vAlign w:val="bottom"/>
          </w:tcPr>
          <w:p>
            <w:pPr>
              <w:spacing w:after="0"/>
              <w:rPr>
                <w:sz w:val="1"/>
                <w:szCs w:val="1"/>
                <w:color w:val="auto"/>
              </w:rPr>
            </w:pPr>
          </w:p>
        </w:tc>
      </w:tr>
      <w:tr>
        <w:trPr>
          <w:trHeight w:val="20"/>
        </w:trPr>
        <w:tc>
          <w:tcPr>
            <w:tcW w:w="6600" w:type="dxa"/>
            <w:vAlign w:val="bottom"/>
            <w:tcBorders>
              <w:top w:val="single" w:sz="8" w:color="DBDCDE"/>
            </w:tcBorders>
          </w:tcPr>
          <w:p>
            <w:pPr>
              <w:spacing w:after="0" w:line="20" w:lineRule="exact"/>
              <w:rPr>
                <w:sz w:val="1"/>
                <w:szCs w:val="1"/>
                <w:color w:val="auto"/>
              </w:rPr>
            </w:pPr>
          </w:p>
        </w:tc>
        <w:tc>
          <w:tcPr>
            <w:tcW w:w="1160" w:type="dxa"/>
            <w:vAlign w:val="bottom"/>
            <w:tcBorders>
              <w:top w:val="single" w:sz="8" w:color="DBDCDE"/>
              <w:bottom w:val="single" w:sz="8" w:color="231F20"/>
            </w:tcBorders>
          </w:tcPr>
          <w:p>
            <w:pPr>
              <w:spacing w:after="0" w:line="20" w:lineRule="exact"/>
              <w:rPr>
                <w:sz w:val="1"/>
                <w:szCs w:val="1"/>
                <w:color w:val="auto"/>
              </w:rPr>
            </w:pPr>
          </w:p>
        </w:tc>
        <w:tc>
          <w:tcPr>
            <w:tcW w:w="60" w:type="dxa"/>
            <w:vAlign w:val="bottom"/>
            <w:tcBorders>
              <w:top w:val="single" w:sz="8" w:color="DBDCDE"/>
            </w:tcBorders>
          </w:tcPr>
          <w:p>
            <w:pPr>
              <w:spacing w:after="0" w:line="20" w:lineRule="exact"/>
              <w:rPr>
                <w:sz w:val="1"/>
                <w:szCs w:val="1"/>
                <w:color w:val="auto"/>
              </w:rPr>
            </w:pPr>
          </w:p>
        </w:tc>
        <w:tc>
          <w:tcPr>
            <w:tcW w:w="1160" w:type="dxa"/>
            <w:vAlign w:val="bottom"/>
            <w:tcBorders>
              <w:top w:val="single" w:sz="8" w:color="DBDCDE"/>
              <w:bottom w:val="single" w:sz="8" w:color="231F20"/>
            </w:tcBorders>
          </w:tcPr>
          <w:p>
            <w:pPr>
              <w:spacing w:after="0" w:line="20" w:lineRule="exact"/>
              <w:rPr>
                <w:sz w:val="1"/>
                <w:szCs w:val="1"/>
                <w:color w:val="auto"/>
              </w:rPr>
            </w:pPr>
          </w:p>
        </w:tc>
        <w:tc>
          <w:tcPr>
            <w:tcW w:w="80" w:type="dxa"/>
            <w:vAlign w:val="bottom"/>
            <w:tcBorders>
              <w:top w:val="single" w:sz="8" w:color="DBDCDE"/>
            </w:tcBorders>
          </w:tcPr>
          <w:p>
            <w:pPr>
              <w:spacing w:after="0" w:line="20" w:lineRule="exact"/>
              <w:rPr>
                <w:sz w:val="1"/>
                <w:szCs w:val="1"/>
                <w:color w:val="auto"/>
              </w:rPr>
            </w:pPr>
          </w:p>
        </w:tc>
        <w:tc>
          <w:tcPr>
            <w:tcW w:w="1160" w:type="dxa"/>
            <w:vAlign w:val="bottom"/>
            <w:tcBorders>
              <w:top w:val="single" w:sz="8" w:color="DBDCDE"/>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-4774565</wp:posOffset>
            </wp:positionV>
            <wp:extent cx="232092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092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-4317365</wp:posOffset>
            </wp:positionV>
            <wp:extent cx="232092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092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-2640965</wp:posOffset>
            </wp:positionV>
            <wp:extent cx="232092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092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-1859915</wp:posOffset>
            </wp:positionV>
            <wp:extent cx="232092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2092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-335915</wp:posOffset>
            </wp:positionV>
            <wp:extent cx="232092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2092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-183515</wp:posOffset>
            </wp:positionV>
            <wp:extent cx="232092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2092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-43815</wp:posOffset>
            </wp:positionV>
            <wp:extent cx="232092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20925" cy="25400"/>
                    </a:xfrm>
                    <a:prstGeom prst="rect">
                      <a:avLst/>
                    </a:prstGeom>
                    <a:noFill/>
                  </pic:spPr>
                </pic:pic>
              </a:graphicData>
            </a:graphic>
          </wp:anchor>
        </w:drawing>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Approximately 98% of the operated towers are held pursuant to long-term finance leases, including those subject to purchase options.</w:t>
      </w:r>
    </w:p>
    <w:p>
      <w:pPr>
        <w:spacing w:after="0" w:line="178"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231F20"/>
        </w:rPr>
        <w:t>As of December 31, 2025, our property portfolio included 30 operating data center facilities across eleven markets in the United States that collectively comprise approximately 3.7 million NRSF of data center space, as detailed below:</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60" w:type="dxa"/>
            <w:vAlign w:val="bottom"/>
          </w:tcPr>
          <w:p>
            <w:pPr>
              <w:spacing w:after="0"/>
              <w:rPr>
                <w:sz w:val="16"/>
                <w:szCs w:val="16"/>
                <w:color w:val="auto"/>
              </w:rPr>
            </w:pPr>
          </w:p>
        </w:tc>
        <w:tc>
          <w:tcPr>
            <w:tcW w:w="144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231F20"/>
              </w:rPr>
              <w:t>Total NRSF (1)</w:t>
            </w:r>
          </w:p>
        </w:tc>
        <w:tc>
          <w:tcPr>
            <w:tcW w:w="0" w:type="dxa"/>
            <w:vAlign w:val="bottom"/>
          </w:tcPr>
          <w:p>
            <w:pPr>
              <w:spacing w:after="0"/>
              <w:rPr>
                <w:sz w:val="1"/>
                <w:szCs w:val="1"/>
                <w:color w:val="auto"/>
              </w:rPr>
            </w:pPr>
          </w:p>
        </w:tc>
      </w:tr>
      <w:tr>
        <w:trPr>
          <w:trHeight w:val="214"/>
        </w:trPr>
        <w:tc>
          <w:tcPr>
            <w:tcW w:w="7400" w:type="dxa"/>
            <w:vAlign w:val="bottom"/>
            <w:tcBorders>
              <w:bottom w:val="single" w:sz="8" w:color="DBDCDE"/>
            </w:tcBorders>
          </w:tcPr>
          <w:p>
            <w:pPr>
              <w:spacing w:after="0"/>
              <w:rPr>
                <w:sz w:val="18"/>
                <w:szCs w:val="18"/>
                <w:color w:val="auto"/>
              </w:rPr>
            </w:pPr>
          </w:p>
        </w:tc>
        <w:tc>
          <w:tcPr>
            <w:tcW w:w="142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Data Centers</w:t>
            </w:r>
          </w:p>
        </w:tc>
        <w:tc>
          <w:tcPr>
            <w:tcW w:w="60" w:type="dxa"/>
            <w:vAlign w:val="bottom"/>
            <w:tcBorders>
              <w:bottom w:val="single" w:sz="8" w:color="DBDCDE"/>
            </w:tcBorders>
          </w:tcPr>
          <w:p>
            <w:pPr>
              <w:spacing w:after="0"/>
              <w:rPr>
                <w:sz w:val="18"/>
                <w:szCs w:val="18"/>
                <w:color w:val="auto"/>
              </w:rPr>
            </w:pPr>
          </w:p>
        </w:tc>
        <w:tc>
          <w:tcPr>
            <w:tcW w:w="14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00" w:type="dxa"/>
            <w:vAlign w:val="bottom"/>
            <w:shd w:val="clear" w:color="auto" w:fill="DBDCDE"/>
          </w:tcPr>
          <w:p>
            <w:pPr>
              <w:spacing w:after="0"/>
              <w:rPr>
                <w:sz w:val="21"/>
                <w:szCs w:val="21"/>
                <w:color w:val="auto"/>
              </w:rPr>
            </w:pPr>
          </w:p>
        </w:tc>
        <w:tc>
          <w:tcPr>
            <w:tcW w:w="1420" w:type="dxa"/>
            <w:vAlign w:val="bottom"/>
            <w:shd w:val="clear" w:color="auto" w:fill="DBDCDE"/>
          </w:tcPr>
          <w:p>
            <w:pPr>
              <w:spacing w:after="0"/>
              <w:rPr>
                <w:sz w:val="21"/>
                <w:szCs w:val="21"/>
                <w:color w:val="auto"/>
              </w:rPr>
            </w:pPr>
          </w:p>
        </w:tc>
        <w:tc>
          <w:tcPr>
            <w:tcW w:w="60" w:type="dxa"/>
            <w:vAlign w:val="bottom"/>
            <w:shd w:val="clear" w:color="auto" w:fill="DBDCDE"/>
          </w:tcPr>
          <w:p>
            <w:pPr>
              <w:spacing w:after="0"/>
              <w:rPr>
                <w:sz w:val="21"/>
                <w:szCs w:val="21"/>
                <w:color w:val="auto"/>
              </w:rPr>
            </w:pPr>
          </w:p>
        </w:tc>
        <w:tc>
          <w:tcPr>
            <w:tcW w:w="1440" w:type="dxa"/>
            <w:vAlign w:val="bottom"/>
            <w:shd w:val="clear" w:color="auto" w:fill="DBDCDE"/>
          </w:tcPr>
          <w:p>
            <w:pPr>
              <w:jc w:val="right"/>
              <w:ind w:right="173"/>
              <w:spacing w:after="0"/>
              <w:rPr>
                <w:sz w:val="20"/>
                <w:szCs w:val="20"/>
                <w:color w:val="auto"/>
              </w:rPr>
            </w:pPr>
            <w:r>
              <w:rPr>
                <w:rFonts w:ascii="Times New Roman" w:cs="Times New Roman" w:eastAsia="Times New Roman" w:hAnsi="Times New Roman"/>
                <w:sz w:val="16"/>
                <w:szCs w:val="16"/>
                <w:i w:val="1"/>
                <w:iCs w:val="1"/>
                <w:color w:val="231F20"/>
              </w:rPr>
              <w:t>(in thousands)</w:t>
            </w:r>
          </w:p>
        </w:tc>
        <w:tc>
          <w:tcPr>
            <w:tcW w:w="0" w:type="dxa"/>
            <w:vAlign w:val="bottom"/>
          </w:tcPr>
          <w:p>
            <w:pPr>
              <w:spacing w:after="0"/>
              <w:rPr>
                <w:sz w:val="1"/>
                <w:szCs w:val="1"/>
                <w:color w:val="auto"/>
              </w:rPr>
            </w:pPr>
          </w:p>
        </w:tc>
      </w:tr>
      <w:tr>
        <w:trPr>
          <w:trHeight w:val="24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San Francisco Bay, CA</w:t>
            </w:r>
            <w:r>
              <w:rPr>
                <w:rFonts w:ascii="Times New Roman" w:cs="Times New Roman" w:eastAsia="Times New Roman" w:hAnsi="Times New Roman"/>
                <w:sz w:val="20"/>
                <w:szCs w:val="20"/>
                <w:color w:val="BABCBE"/>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5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1,051</w:t>
            </w:r>
          </w:p>
        </w:tc>
        <w:tc>
          <w:tcPr>
            <w:tcW w:w="0" w:type="dxa"/>
            <w:vAlign w:val="bottom"/>
          </w:tcPr>
          <w:p>
            <w:pPr>
              <w:spacing w:after="0"/>
              <w:rPr>
                <w:sz w:val="1"/>
                <w:szCs w:val="1"/>
                <w:color w:val="auto"/>
              </w:rPr>
            </w:pPr>
          </w:p>
        </w:tc>
      </w:tr>
      <w:tr>
        <w:trPr>
          <w:trHeight w:val="240"/>
        </w:trPr>
        <w:tc>
          <w:tcPr>
            <w:tcW w:w="74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 xml:space="preserve">Los Angeles, CA </w:t>
            </w:r>
            <w:r>
              <w:rPr>
                <w:rFonts w:ascii="Times New Roman" w:cs="Times New Roman" w:eastAsia="Times New Roman" w:hAnsi="Times New Roman"/>
                <w:sz w:val="20"/>
                <w:szCs w:val="20"/>
                <w:color w:val="BABCBE"/>
              </w:rPr>
              <w:t>....................................................................................................................</w:t>
            </w:r>
          </w:p>
        </w:tc>
        <w:tc>
          <w:tcPr>
            <w:tcW w:w="142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500" w:type="dxa"/>
            <w:vAlign w:val="bottom"/>
            <w:gridSpan w:val="2"/>
            <w:shd w:val="clear" w:color="auto" w:fill="DBDCDE"/>
          </w:tcPr>
          <w:p>
            <w:pPr>
              <w:jc w:val="right"/>
              <w:ind w:right="13"/>
              <w:spacing w:after="0"/>
              <w:rPr>
                <w:sz w:val="20"/>
                <w:szCs w:val="20"/>
                <w:color w:val="auto"/>
              </w:rPr>
            </w:pPr>
            <w:r>
              <w:rPr>
                <w:rFonts w:ascii="Times New Roman" w:cs="Times New Roman" w:eastAsia="Times New Roman" w:hAnsi="Times New Roman"/>
                <w:sz w:val="20"/>
                <w:szCs w:val="20"/>
                <w:color w:val="231F20"/>
              </w:rPr>
              <w:t>724</w:t>
            </w:r>
          </w:p>
        </w:tc>
        <w:tc>
          <w:tcPr>
            <w:tcW w:w="0" w:type="dxa"/>
            <w:vAlign w:val="bottom"/>
          </w:tcPr>
          <w:p>
            <w:pPr>
              <w:spacing w:after="0"/>
              <w:rPr>
                <w:sz w:val="1"/>
                <w:szCs w:val="1"/>
                <w:color w:val="auto"/>
              </w:rPr>
            </w:pPr>
          </w:p>
        </w:tc>
      </w:tr>
      <w:tr>
        <w:trPr>
          <w:trHeight w:val="24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Northern Virginia, VA</w:t>
            </w:r>
            <w:r>
              <w:rPr>
                <w:rFonts w:ascii="Times New Roman" w:cs="Times New Roman" w:eastAsia="Times New Roman" w:hAnsi="Times New Roman"/>
                <w:sz w:val="20"/>
                <w:szCs w:val="20"/>
                <w:color w:val="BABCBE"/>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5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627</w:t>
            </w:r>
          </w:p>
        </w:tc>
        <w:tc>
          <w:tcPr>
            <w:tcW w:w="0" w:type="dxa"/>
            <w:vAlign w:val="bottom"/>
          </w:tcPr>
          <w:p>
            <w:pPr>
              <w:spacing w:after="0"/>
              <w:rPr>
                <w:sz w:val="1"/>
                <w:szCs w:val="1"/>
                <w:color w:val="auto"/>
              </w:rPr>
            </w:pPr>
          </w:p>
        </w:tc>
      </w:tr>
      <w:tr>
        <w:trPr>
          <w:trHeight w:val="240"/>
        </w:trPr>
        <w:tc>
          <w:tcPr>
            <w:tcW w:w="74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New York, NY</w:t>
            </w:r>
            <w:r>
              <w:rPr>
                <w:rFonts w:ascii="Times New Roman" w:cs="Times New Roman" w:eastAsia="Times New Roman" w:hAnsi="Times New Roman"/>
                <w:sz w:val="20"/>
                <w:szCs w:val="20"/>
                <w:color w:val="BABCBE"/>
              </w:rPr>
              <w:t>........................................................................................................................</w:t>
            </w:r>
          </w:p>
        </w:tc>
        <w:tc>
          <w:tcPr>
            <w:tcW w:w="142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500" w:type="dxa"/>
            <w:vAlign w:val="bottom"/>
            <w:gridSpan w:val="2"/>
            <w:shd w:val="clear" w:color="auto" w:fill="DBDCDE"/>
          </w:tcPr>
          <w:p>
            <w:pPr>
              <w:jc w:val="right"/>
              <w:ind w:right="13"/>
              <w:spacing w:after="0"/>
              <w:rPr>
                <w:sz w:val="20"/>
                <w:szCs w:val="20"/>
                <w:color w:val="auto"/>
              </w:rPr>
            </w:pPr>
            <w:r>
              <w:rPr>
                <w:rFonts w:ascii="Times New Roman" w:cs="Times New Roman" w:eastAsia="Times New Roman" w:hAnsi="Times New Roman"/>
                <w:sz w:val="20"/>
                <w:szCs w:val="20"/>
                <w:color w:val="231F20"/>
              </w:rPr>
              <w:t>376</w:t>
            </w:r>
          </w:p>
        </w:tc>
        <w:tc>
          <w:tcPr>
            <w:tcW w:w="0" w:type="dxa"/>
            <w:vAlign w:val="bottom"/>
          </w:tcPr>
          <w:p>
            <w:pPr>
              <w:spacing w:after="0"/>
              <w:rPr>
                <w:sz w:val="1"/>
                <w:szCs w:val="1"/>
                <w:color w:val="auto"/>
              </w:rPr>
            </w:pPr>
          </w:p>
        </w:tc>
      </w:tr>
      <w:tr>
        <w:trPr>
          <w:trHeight w:val="24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Chicago, IL </w:t>
            </w:r>
            <w:r>
              <w:rPr>
                <w:rFonts w:ascii="Times New Roman" w:cs="Times New Roman" w:eastAsia="Times New Roman" w:hAnsi="Times New Roman"/>
                <w:sz w:val="20"/>
                <w:szCs w:val="20"/>
                <w:color w:val="BABCBE"/>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5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272</w:t>
            </w:r>
          </w:p>
        </w:tc>
        <w:tc>
          <w:tcPr>
            <w:tcW w:w="0" w:type="dxa"/>
            <w:vAlign w:val="bottom"/>
          </w:tcPr>
          <w:p>
            <w:pPr>
              <w:spacing w:after="0"/>
              <w:rPr>
                <w:sz w:val="1"/>
                <w:szCs w:val="1"/>
                <w:color w:val="auto"/>
              </w:rPr>
            </w:pPr>
          </w:p>
        </w:tc>
      </w:tr>
      <w:tr>
        <w:trPr>
          <w:trHeight w:val="240"/>
        </w:trPr>
        <w:tc>
          <w:tcPr>
            <w:tcW w:w="74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Denver, CO</w:t>
            </w:r>
            <w:r>
              <w:rPr>
                <w:rFonts w:ascii="Times New Roman" w:cs="Times New Roman" w:eastAsia="Times New Roman" w:hAnsi="Times New Roman"/>
                <w:sz w:val="20"/>
                <w:szCs w:val="20"/>
                <w:color w:val="BABCBE"/>
              </w:rPr>
              <w:t>.............................................................................................................................</w:t>
            </w:r>
          </w:p>
        </w:tc>
        <w:tc>
          <w:tcPr>
            <w:tcW w:w="142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500" w:type="dxa"/>
            <w:vAlign w:val="bottom"/>
            <w:gridSpan w:val="2"/>
            <w:shd w:val="clear" w:color="auto" w:fill="DBDCDE"/>
          </w:tcPr>
          <w:p>
            <w:pPr>
              <w:jc w:val="right"/>
              <w:ind w:right="13"/>
              <w:spacing w:after="0"/>
              <w:rPr>
                <w:sz w:val="20"/>
                <w:szCs w:val="20"/>
                <w:color w:val="auto"/>
              </w:rPr>
            </w:pPr>
            <w:r>
              <w:rPr>
                <w:rFonts w:ascii="Times New Roman" w:cs="Times New Roman" w:eastAsia="Times New Roman" w:hAnsi="Times New Roman"/>
                <w:sz w:val="20"/>
                <w:szCs w:val="20"/>
                <w:color w:val="231F20"/>
              </w:rPr>
              <w:t>151</w:t>
            </w:r>
          </w:p>
        </w:tc>
        <w:tc>
          <w:tcPr>
            <w:tcW w:w="0" w:type="dxa"/>
            <w:vAlign w:val="bottom"/>
          </w:tcPr>
          <w:p>
            <w:pPr>
              <w:spacing w:after="0"/>
              <w:rPr>
                <w:sz w:val="1"/>
                <w:szCs w:val="1"/>
                <w:color w:val="auto"/>
              </w:rPr>
            </w:pPr>
          </w:p>
        </w:tc>
      </w:tr>
      <w:tr>
        <w:trPr>
          <w:trHeight w:val="24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Boston, MA </w:t>
            </w:r>
            <w:r>
              <w:rPr>
                <w:rFonts w:ascii="Times New Roman" w:cs="Times New Roman" w:eastAsia="Times New Roman" w:hAnsi="Times New Roman"/>
                <w:sz w:val="20"/>
                <w:szCs w:val="20"/>
                <w:color w:val="BABCBE"/>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5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124</w:t>
            </w:r>
          </w:p>
        </w:tc>
        <w:tc>
          <w:tcPr>
            <w:tcW w:w="0" w:type="dxa"/>
            <w:vAlign w:val="bottom"/>
          </w:tcPr>
          <w:p>
            <w:pPr>
              <w:spacing w:after="0"/>
              <w:rPr>
                <w:sz w:val="1"/>
                <w:szCs w:val="1"/>
                <w:color w:val="auto"/>
              </w:rPr>
            </w:pPr>
          </w:p>
        </w:tc>
      </w:tr>
      <w:tr>
        <w:trPr>
          <w:trHeight w:val="240"/>
        </w:trPr>
        <w:tc>
          <w:tcPr>
            <w:tcW w:w="74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 xml:space="preserve">Orlando, FL </w:t>
            </w:r>
            <w:r>
              <w:rPr>
                <w:rFonts w:ascii="Times New Roman" w:cs="Times New Roman" w:eastAsia="Times New Roman" w:hAnsi="Times New Roman"/>
                <w:sz w:val="20"/>
                <w:szCs w:val="20"/>
                <w:color w:val="BABCBE"/>
              </w:rPr>
              <w:t>............................................................................................................................</w:t>
            </w:r>
          </w:p>
        </w:tc>
        <w:tc>
          <w:tcPr>
            <w:tcW w:w="142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500" w:type="dxa"/>
            <w:vAlign w:val="bottom"/>
            <w:gridSpan w:val="2"/>
            <w:shd w:val="clear" w:color="auto" w:fill="DBDCDE"/>
          </w:tcPr>
          <w:p>
            <w:pPr>
              <w:jc w:val="right"/>
              <w:ind w:right="13"/>
              <w:spacing w:after="0"/>
              <w:rPr>
                <w:sz w:val="20"/>
                <w:szCs w:val="20"/>
                <w:color w:val="auto"/>
              </w:rPr>
            </w:pPr>
            <w:r>
              <w:rPr>
                <w:rFonts w:ascii="Times New Roman" w:cs="Times New Roman" w:eastAsia="Times New Roman" w:hAnsi="Times New Roman"/>
                <w:sz w:val="20"/>
                <w:szCs w:val="20"/>
                <w:color w:val="231F20"/>
              </w:rPr>
              <w:t>104</w:t>
            </w:r>
          </w:p>
        </w:tc>
        <w:tc>
          <w:tcPr>
            <w:tcW w:w="0" w:type="dxa"/>
            <w:vAlign w:val="bottom"/>
          </w:tcPr>
          <w:p>
            <w:pPr>
              <w:spacing w:after="0"/>
              <w:rPr>
                <w:sz w:val="1"/>
                <w:szCs w:val="1"/>
                <w:color w:val="auto"/>
              </w:rPr>
            </w:pPr>
          </w:p>
        </w:tc>
      </w:tr>
      <w:tr>
        <w:trPr>
          <w:trHeight w:val="24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Atlanta, GA</w:t>
            </w:r>
            <w:r>
              <w:rPr>
                <w:rFonts w:ascii="Times New Roman" w:cs="Times New Roman" w:eastAsia="Times New Roman" w:hAnsi="Times New Roman"/>
                <w:sz w:val="20"/>
                <w:szCs w:val="20"/>
                <w:color w:val="BABCBE"/>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5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95</w:t>
            </w:r>
          </w:p>
        </w:tc>
        <w:tc>
          <w:tcPr>
            <w:tcW w:w="0" w:type="dxa"/>
            <w:vAlign w:val="bottom"/>
          </w:tcPr>
          <w:p>
            <w:pPr>
              <w:spacing w:after="0"/>
              <w:rPr>
                <w:sz w:val="1"/>
                <w:szCs w:val="1"/>
                <w:color w:val="auto"/>
              </w:rPr>
            </w:pPr>
          </w:p>
        </w:tc>
      </w:tr>
      <w:tr>
        <w:trPr>
          <w:trHeight w:val="240"/>
        </w:trPr>
        <w:tc>
          <w:tcPr>
            <w:tcW w:w="7400" w:type="dxa"/>
            <w:vAlign w:val="bottom"/>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Miami, FL</w:t>
            </w:r>
            <w:r>
              <w:rPr>
                <w:rFonts w:ascii="Times New Roman" w:cs="Times New Roman" w:eastAsia="Times New Roman" w:hAnsi="Times New Roman"/>
                <w:sz w:val="20"/>
                <w:szCs w:val="20"/>
                <w:color w:val="BABCBE"/>
              </w:rPr>
              <w:t>...............................................................................................................................</w:t>
            </w:r>
          </w:p>
        </w:tc>
        <w:tc>
          <w:tcPr>
            <w:tcW w:w="1420" w:type="dxa"/>
            <w:vAlign w:val="bottom"/>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500" w:type="dxa"/>
            <w:vAlign w:val="bottom"/>
            <w:gridSpan w:val="2"/>
            <w:shd w:val="clear" w:color="auto" w:fill="DBDCDE"/>
          </w:tcPr>
          <w:p>
            <w:pPr>
              <w:jc w:val="right"/>
              <w:ind w:right="13"/>
              <w:spacing w:after="0"/>
              <w:rPr>
                <w:sz w:val="20"/>
                <w:szCs w:val="20"/>
                <w:color w:val="auto"/>
              </w:rPr>
            </w:pPr>
            <w:r>
              <w:rPr>
                <w:rFonts w:ascii="Times New Roman" w:cs="Times New Roman" w:eastAsia="Times New Roman" w:hAnsi="Times New Roman"/>
                <w:sz w:val="20"/>
                <w:szCs w:val="20"/>
                <w:color w:val="231F20"/>
              </w:rPr>
              <w:t>90</w:t>
            </w:r>
          </w:p>
        </w:tc>
        <w:tc>
          <w:tcPr>
            <w:tcW w:w="0" w:type="dxa"/>
            <w:vAlign w:val="bottom"/>
          </w:tcPr>
          <w:p>
            <w:pPr>
              <w:spacing w:after="0"/>
              <w:rPr>
                <w:sz w:val="1"/>
                <w:szCs w:val="1"/>
                <w:color w:val="auto"/>
              </w:rPr>
            </w:pPr>
          </w:p>
        </w:tc>
      </w:tr>
      <w:tr>
        <w:trPr>
          <w:trHeight w:val="23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Washington, D.C. </w:t>
            </w:r>
            <w:r>
              <w:rPr>
                <w:rFonts w:ascii="Times New Roman" w:cs="Times New Roman" w:eastAsia="Times New Roman" w:hAnsi="Times New Roman"/>
                <w:sz w:val="20"/>
                <w:szCs w:val="20"/>
                <w:color w:val="BABCBE"/>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50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30"/>
        </w:trPr>
        <w:tc>
          <w:tcPr>
            <w:tcW w:w="7400" w:type="dxa"/>
            <w:vAlign w:val="bottom"/>
            <w:tcBorders>
              <w:top w:val="single" w:sz="8" w:color="DBDCDE"/>
            </w:tcBorders>
            <w:shd w:val="clear" w:color="auto" w:fill="DBDCDE"/>
          </w:tcPr>
          <w:p>
            <w:pPr>
              <w:ind w:left="40"/>
              <w:spacing w:after="0"/>
              <w:rPr>
                <w:sz w:val="20"/>
                <w:szCs w:val="20"/>
                <w:color w:val="auto"/>
              </w:rPr>
            </w:pPr>
            <w:r>
              <w:rPr>
                <w:rFonts w:ascii="Times New Roman" w:cs="Times New Roman" w:eastAsia="Times New Roman" w:hAnsi="Times New Roman"/>
                <w:sz w:val="20"/>
                <w:szCs w:val="20"/>
                <w:color w:val="231F20"/>
              </w:rPr>
              <w:t>Total</w:t>
            </w:r>
            <w:r>
              <w:rPr>
                <w:rFonts w:ascii="Times New Roman" w:cs="Times New Roman" w:eastAsia="Times New Roman" w:hAnsi="Times New Roman"/>
                <w:sz w:val="20"/>
                <w:szCs w:val="20"/>
                <w:color w:val="BABCBE"/>
              </w:rPr>
              <w:t>........................................................................................................................................</w:t>
            </w:r>
          </w:p>
        </w:tc>
        <w:tc>
          <w:tcPr>
            <w:tcW w:w="1420" w:type="dxa"/>
            <w:vAlign w:val="bottom"/>
            <w:tcBorders>
              <w:top w:val="single" w:sz="8" w:color="231F20"/>
            </w:tcBorders>
            <w:shd w:val="clear" w:color="auto" w:fill="DBDCDE"/>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Borders>
              <w:top w:val="single" w:sz="8" w:color="DBDCDE"/>
            </w:tcBorders>
            <w:shd w:val="clear" w:color="auto" w:fill="DBDCDE"/>
          </w:tcPr>
          <w:p>
            <w:pPr>
              <w:spacing w:after="0"/>
              <w:rPr>
                <w:sz w:val="20"/>
                <w:szCs w:val="20"/>
                <w:color w:val="auto"/>
              </w:rPr>
            </w:pPr>
          </w:p>
        </w:tc>
        <w:tc>
          <w:tcPr>
            <w:tcW w:w="1440" w:type="dxa"/>
            <w:vAlign w:val="bottom"/>
            <w:tcBorders>
              <w:top w:val="single" w:sz="8" w:color="231F20"/>
            </w:tcBorders>
            <w:shd w:val="clear" w:color="auto" w:fill="DBDCDE"/>
          </w:tcPr>
          <w:p>
            <w:pPr>
              <w:jc w:val="right"/>
              <w:ind w:right="13"/>
              <w:spacing w:after="0"/>
              <w:rPr>
                <w:sz w:val="20"/>
                <w:szCs w:val="20"/>
                <w:color w:val="auto"/>
              </w:rPr>
            </w:pPr>
            <w:r>
              <w:rPr>
                <w:rFonts w:ascii="Times New Roman" w:cs="Times New Roman" w:eastAsia="Times New Roman" w:hAnsi="Times New Roman"/>
                <w:sz w:val="20"/>
                <w:szCs w:val="20"/>
                <w:color w:val="231F20"/>
              </w:rPr>
              <w:t>3,661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-2002790</wp:posOffset>
            </wp:positionV>
            <wp:extent cx="18732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3250" cy="2540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-164465</wp:posOffset>
            </wp:positionV>
            <wp:extent cx="18732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3250" cy="25400"/>
                    </a:xfrm>
                    <a:prstGeom prst="rect">
                      <a:avLst/>
                    </a:prstGeom>
                    <a:noFill/>
                  </pic:spPr>
                </pic:pic>
              </a:graphicData>
            </a:graphic>
          </wp:anchor>
        </w:drawing>
      </w:r>
    </w:p>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2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approximately 0.4 million of office and light-industrial NRSF.</w:t>
      </w:r>
    </w:p>
    <w:p>
      <w:pPr>
        <w:sectPr>
          <w:pgSz w:w="11880" w:h="15480" w:orient="portrait"/>
          <w:cols w:equalWidth="0" w:num="1">
            <w:col w:w="10330"/>
          </w:cols>
          <w:pgMar w:left="810" w:top="39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330"/>
          </w:cols>
          <w:pgMar w:left="810" w:top="393" w:right="740" w:bottom="0" w:gutter="0" w:footer="0" w:header="0"/>
          <w:type w:val="continuous"/>
        </w:sectPr>
      </w:pPr>
    </w:p>
    <w:bookmarkStart w:id="44" w:name="page45"/>
    <w:bookmarkEnd w:id="44"/>
    <w:p>
      <w:pPr>
        <w:ind w:right="140"/>
        <w:spacing w:after="0" w:line="255" w:lineRule="auto"/>
        <w:rPr>
          <w:sz w:val="20"/>
          <w:szCs w:val="20"/>
          <w:color w:val="auto"/>
        </w:rPr>
      </w:pPr>
      <w:r>
        <w:rPr>
          <w:rFonts w:ascii="Times New Roman" w:cs="Times New Roman" w:eastAsia="Times New Roman" w:hAnsi="Times New Roman"/>
          <w:sz w:val="20"/>
          <w:szCs w:val="20"/>
          <w:color w:val="231F20"/>
        </w:rPr>
        <w:t>In most of our markets, our tenant leases for our communications sites with wireless carriers generally have initial non-cancellable terms of five to ten years with multiple renewal terms. Accordingly, the vast majority of the revenue generated by our property operations during the year ended December 31, 2025 was recurring revenue that we should continue to receive in future periods. Most of our tenant leases for our communications sites have provisions that periodically increase or “escalate” the rent due under the lease, typically based on (a) an annual fixed escalation (averaging approximately 3% in the United States), (b) an inflationary index in most of our international markets, or (c) a combination of both. In addition, certain of our tenant leases provide for additional revenue primarily to cover costs, such as ground rent or power and fuel costs.</w:t>
      </w:r>
    </w:p>
    <w:p>
      <w:pPr>
        <w:spacing w:after="0" w:line="130"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9"/>
          <w:szCs w:val="19"/>
          <w:color w:val="231F20"/>
        </w:rPr>
        <w:t>Based upon existing customer leases and foreign currency exchange rates as of December 31, 2025, we expect to generate over $54 billion of non-cancellable customer lease revenue over future periods, before the impact of straight-line lease accounting.</w:t>
      </w:r>
    </w:p>
    <w:p>
      <w:pPr>
        <w:spacing w:after="0" w:line="7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231F20"/>
        </w:rPr>
        <w:t>The revenues generated by our property operations may be affected by cancellations of existing tenant leases. As discussed above, most of our tenant leases with wireless carriers and broadcasters are multiyear contracts, which typically are non-cancellable; however, in some instances, a lease may be cancelled upon the payment of a termination fee.</w:t>
      </w:r>
    </w:p>
    <w:p>
      <w:pPr>
        <w:spacing w:after="0" w:line="1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Revenue lost from either tenant lease cancellations or the non-renewal of leases or rent renegotiations, which we refer to as churn, has historically not had a material adverse effect on the revenues generated by our consolidated property operations. During the year ended December 31, 2025, churn was approximately 2% of our tenant billings, primarily driven by churn in our U.S. &amp; Canada property segment, as discussed below.</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i w:val="1"/>
          <w:iCs w:val="1"/>
          <w:color w:val="231F20"/>
        </w:rPr>
        <w:t xml:space="preserve">AT&amp;T Mexico Dispute. </w:t>
      </w:r>
      <w:r>
        <w:rPr>
          <w:rFonts w:ascii="Times New Roman" w:cs="Times New Roman" w:eastAsia="Times New Roman" w:hAnsi="Times New Roman"/>
          <w:sz w:val="20"/>
          <w:szCs w:val="20"/>
          <w:color w:val="231F20"/>
        </w:rPr>
        <w:t>We are currently engaged in an Arbitration with AT&amp;T Mexico. AT&amp;T Mexico, which represented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approximately $300 million of tenant revenue in 2025, is challenging the calculation of the monthly lease amount established under the MLA, as well as certain other provisions of the MLA, seeking rent abatement both retroactively and prospectively, and had been withholding tower rents since the start of 2025. We incurred approximately $30 million of reserves during the year ended December 31, 2025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is scheduled for a hearing in August 2026.</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231F20"/>
        </w:rPr>
        <w:t xml:space="preserve">DISH Dispute. </w:t>
      </w:r>
      <w:r>
        <w:rPr>
          <w:rFonts w:ascii="Times New Roman" w:cs="Times New Roman" w:eastAsia="Times New Roman" w:hAnsi="Times New Roman"/>
          <w:sz w:val="20"/>
          <w:szCs w:val="20"/>
          <w:color w:val="231F20"/>
        </w:rPr>
        <w:t>On September 24, 2025, DISH delivered a notice purporting to be excused from its contractual obligations under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SCA. DISH has failed to meet its payment obligations, and as of January 2026 is in default under the SCA. We remain confident that DISH has not been excused from its obligations under the SCA, and that the SCA remains in full force and effect. On October 20, 2025, we filed a complaint in the U.S. District Court for the District of Colorado seeking a declaratory judgment that DISH has not been excused from its obligations under the SCA, that the SCA remains in full force and effect, and that DISH remains required to perform all of its obligations under the SCA. DISH represented approximately 2% and 4% of our total annual property revenue and total annual U.S. &amp; Canada property revenue, respectively, for 2025.</w:t>
      </w:r>
    </w:p>
    <w:p>
      <w:pPr>
        <w:spacing w:after="0" w:line="1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i w:val="1"/>
          <w:iCs w:val="1"/>
          <w:color w:val="231F20"/>
        </w:rPr>
        <w:t>Property Operations Revenue Growth</w:t>
      </w:r>
      <w:r>
        <w:rPr>
          <w:rFonts w:ascii="Times New Roman" w:cs="Times New Roman" w:eastAsia="Times New Roman" w:hAnsi="Times New Roman"/>
          <w:sz w:val="20"/>
          <w:szCs w:val="20"/>
          <w:color w:val="231F20"/>
        </w:rPr>
        <w:t>. Due to our diversified communications site portfolio, our tenant lease rates vary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considerably depending upon numerous factors, including, but not limited to, amount, type and position of tenant equipment on the tower, remaining tower capacity and tower location. We measure the remaining tower capacity by assessing several factors, including tower height, tower type, environmental conditions, existing equipment on the tower and zoning and permitting regulations in effect in the jurisdiction where the tower is located. In many instances, tower capacity can be increased with relatively modest tower augmentation capital expenditures, which are often reimbursed to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primary factors affecting the revenue growth of our property segments are:</w:t>
      </w:r>
    </w:p>
    <w:p>
      <w:pPr>
        <w:spacing w:after="0" w:line="170"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Growth in tenant billings, including:</w:t>
      </w:r>
    </w:p>
    <w:p>
      <w:pPr>
        <w:spacing w:after="0" w:line="30" w:lineRule="exact"/>
        <w:rPr>
          <w:rFonts w:ascii="Times New Roman" w:cs="Times New Roman" w:eastAsia="Times New Roman" w:hAnsi="Times New Roman"/>
          <w:sz w:val="20"/>
          <w:szCs w:val="20"/>
          <w:color w:val="231F20"/>
        </w:rPr>
      </w:pPr>
    </w:p>
    <w:p>
      <w:pPr>
        <w:ind w:left="1080" w:hanging="370"/>
        <w:spacing w:after="0"/>
        <w:tabs>
          <w:tab w:leader="none" w:pos="1080" w:val="left"/>
        </w:tabs>
        <w:numPr>
          <w:ilvl w:val="1"/>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New revenue attributable to leasing additional space on our sites (“colocations”) and lease amendments;</w:t>
      </w:r>
    </w:p>
    <w:p>
      <w:pPr>
        <w:spacing w:after="0" w:line="10" w:lineRule="exact"/>
        <w:rPr>
          <w:rFonts w:ascii="Times New Roman" w:cs="Times New Roman" w:eastAsia="Times New Roman" w:hAnsi="Times New Roman"/>
          <w:sz w:val="20"/>
          <w:szCs w:val="20"/>
          <w:color w:val="231F20"/>
        </w:rPr>
      </w:pPr>
    </w:p>
    <w:p>
      <w:pPr>
        <w:ind w:left="1080" w:hanging="370"/>
        <w:spacing w:after="0"/>
        <w:tabs>
          <w:tab w:leader="none" w:pos="1080" w:val="left"/>
        </w:tabs>
        <w:numPr>
          <w:ilvl w:val="1"/>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Contractual rent escalations on existing tenant leases, net of churn; and</w:t>
      </w:r>
    </w:p>
    <w:p>
      <w:pPr>
        <w:spacing w:after="0" w:line="10" w:lineRule="exact"/>
        <w:rPr>
          <w:rFonts w:ascii="Times New Roman" w:cs="Times New Roman" w:eastAsia="Times New Roman" w:hAnsi="Times New Roman"/>
          <w:sz w:val="20"/>
          <w:szCs w:val="20"/>
          <w:color w:val="231F20"/>
        </w:rPr>
      </w:pPr>
    </w:p>
    <w:p>
      <w:pPr>
        <w:ind w:left="1080" w:right="120" w:hanging="370"/>
        <w:spacing w:after="0" w:line="250" w:lineRule="auto"/>
        <w:tabs>
          <w:tab w:leader="none" w:pos="1080" w:val="left"/>
        </w:tabs>
        <w:numPr>
          <w:ilvl w:val="1"/>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New revenue attributable to leases in place on day one on sites acquired or constructed since the beginning of the prior-year period.</w:t>
      </w:r>
    </w:p>
    <w:p>
      <w:pPr>
        <w:ind w:left="720" w:right="280" w:hanging="370"/>
        <w:spacing w:after="0" w:line="255" w:lineRule="auto"/>
        <w:tabs>
          <w:tab w:leader="none" w:pos="72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Revenue growth from our Data Centers segment in the United States, including rental and power revenue from new lease commencements and expansions, contractual rent and power escalations on existing leases, mark-to-market increases on renewing leases and increased interconnection services and solutions.</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240"/>
          </w:cols>
          <w:pgMar w:left="820" w:top="393" w:right="820" w:bottom="0" w:gutter="0" w:footer="0" w:header="0"/>
          <w:type w:val="continuous"/>
        </w:sectPr>
      </w:pPr>
    </w:p>
    <w:bookmarkStart w:id="45" w:name="page46"/>
    <w:bookmarkEnd w:id="45"/>
    <w:p>
      <w:pPr>
        <w:ind w:left="720" w:right="80" w:hanging="370"/>
        <w:spacing w:after="0" w:line="249" w:lineRule="auto"/>
        <w:tabs>
          <w:tab w:leader="none" w:pos="72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Revenue growth from other items, including additional tenant payments primarily to cover costs, such as ground rent or power and fuel costs included in certain tenant leases (“pass-through”), straight-line revenue and decommissioning, partially offset, in certain cases, by revenue reserve provisions.</w:t>
      </w:r>
    </w:p>
    <w:p>
      <w:pPr>
        <w:spacing w:after="0" w:line="1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We continue to believe that our site leasing revenue, which makes up the vast majority of our property segment revenue, is likely to increase due to the growing use of wireless services globally and our ability to meet the corresponding incremental demand for our communications real estate. By adding new tenants and new equipment for existing tenants on our sites, we are able to increase these sites’ utilization and profitability. We believe the majority of our site leasing activity will continue to come from wireless service providers, with tenants in a number of other industries contributing incremental leasing demand. Our site portfolio and our established tenant base provide us with new business opportunities, which have historically resulted in consistent and predictable organic revenue growth as wireless carriers seek to increase the coverage and capacity of their existing networks, while also deploying next generation wireless technologies. In addition, we intend to continue to supplement our organic growth by selectively developing or acquiring new sites in our existing and new markets where we can achieve our risk-adjusted return on investment objectives.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i w:val="1"/>
          <w:iCs w:val="1"/>
          <w:color w:val="231F20"/>
        </w:rPr>
        <w:t>Property Operations Organic Revenue Growth</w:t>
      </w:r>
      <w:r>
        <w:rPr>
          <w:rFonts w:ascii="Times New Roman" w:cs="Times New Roman" w:eastAsia="Times New Roman" w:hAnsi="Times New Roman"/>
          <w:sz w:val="20"/>
          <w:szCs w:val="20"/>
          <w:color w:val="231F20"/>
        </w:rPr>
        <w:t>. Consistent with our strategy to increase the utilization and return on investment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from our sites, our objective is to add new tenants and new equipment for existing tenants through colocation and lease amendments. Our ability to lease additional space on our sites is primarily a function of the rate at which wireless carriers and other tenants deploy capital to improve and expand their wireless networks. This rate of wireless network investment is influenced by the growth of wireless services, the penetration of advanced wireless devices, the level of emphasis on network quality and capacity in carrier competition, the financial performance of our tenants and their access to capital and general economic conditions. According to industry data, recent aggregate annual wireless capital spending in the United States has averaged at least $30 billion, resulting in consistent demand for our sites.</w:t>
      </w:r>
    </w:p>
    <w:p>
      <w:pPr>
        <w:spacing w:after="0" w:line="1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231F20"/>
        </w:rPr>
        <w:t>Based on industry research and projections, we expect that a number of key industry trends will result in incremental revenue opportunities for us:</w:t>
      </w:r>
    </w:p>
    <w:p>
      <w:pPr>
        <w:spacing w:after="0" w:line="101" w:lineRule="exact"/>
        <w:rPr>
          <w:sz w:val="20"/>
          <w:szCs w:val="20"/>
          <w:color w:val="auto"/>
        </w:rPr>
      </w:pPr>
    </w:p>
    <w:p>
      <w:pPr>
        <w:ind w:left="720" w:right="60" w:hanging="370"/>
        <w:spacing w:after="0" w:line="254"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Rapid growth in mobile data consumption continues to be driven by increasing smartphone and other advanced device penetration, the proliferation of bandwidth-intensive applications on these devices and the continuing evolution of the mobile ecosystem. We believe carriers will be compelled to deploy additional equipment on existing networks while also rolling out more advanced wireless networks to address coverage and capacity needs resulting from this increasing mobile data usage.</w:t>
      </w:r>
    </w:p>
    <w:p>
      <w:pPr>
        <w:spacing w:after="0" w:line="3" w:lineRule="exact"/>
        <w:rPr>
          <w:rFonts w:ascii="Times New Roman" w:cs="Times New Roman" w:eastAsia="Times New Roman" w:hAnsi="Times New Roman"/>
          <w:sz w:val="20"/>
          <w:szCs w:val="20"/>
          <w:color w:val="231F20"/>
        </w:rPr>
      </w:pPr>
    </w:p>
    <w:p>
      <w:pPr>
        <w:ind w:left="720" w:right="140" w:hanging="370"/>
        <w:spacing w:after="0" w:line="250"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deployment of advanced mobile technology, such as 4G and 5G, will provide higher speed data services and further enable fixed broadband substitution. As a result, we expect that our tenants will continue deploying additional equipment across their existing networks.</w:t>
      </w:r>
    </w:p>
    <w:p>
      <w:pPr>
        <w:spacing w:after="0" w:line="1" w:lineRule="exact"/>
        <w:rPr>
          <w:rFonts w:ascii="Times New Roman" w:cs="Times New Roman" w:eastAsia="Times New Roman" w:hAnsi="Times New Roman"/>
          <w:sz w:val="20"/>
          <w:szCs w:val="20"/>
          <w:color w:val="231F20"/>
        </w:rPr>
      </w:pPr>
    </w:p>
    <w:p>
      <w:pPr>
        <w:ind w:left="720" w:right="120" w:hanging="370"/>
        <w:spacing w:after="0" w:line="250"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Wireless service providers compete based on the quality of their networks, which is driven by capacity and coverage. To maintain or improve their network performance as overall network usage increases, our tenants continue to deploy additional equipment across their existing sites while also adding new cell sites. We anticipate increasing network densification over the next several years, as existing network density is anticipated to be insufficient to account for rapidly increasing levels of wireless data usage.</w:t>
      </w:r>
    </w:p>
    <w:p>
      <w:pPr>
        <w:spacing w:after="0" w:line="2" w:lineRule="exact"/>
        <w:rPr>
          <w:rFonts w:ascii="Times New Roman" w:cs="Times New Roman" w:eastAsia="Times New Roman" w:hAnsi="Times New Roman"/>
          <w:sz w:val="20"/>
          <w:szCs w:val="20"/>
          <w:color w:val="231F20"/>
        </w:rPr>
      </w:pPr>
    </w:p>
    <w:p>
      <w:pPr>
        <w:ind w:left="720" w:hanging="370"/>
        <w:spacing w:after="0" w:line="234"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Continued spectrum acquisition and deployment by wireless service providers, which is expected to result in additional sites and equipment on existing sites as operators optimize network configuration and utilize the additional spectrum. We expect this to be particularly relevant in the context of higher-band spectrum such as 2.5 gigahertz (GHz) and C-Band being deployed for 5G, as these spectrum assets tend to have more limited propagation characteristics compared to the lower-band spectrum that has historically been deployed on our towers.</w:t>
      </w:r>
    </w:p>
    <w:p>
      <w:pPr>
        <w:ind w:left="720" w:right="160" w:hanging="370"/>
        <w:spacing w:after="0" w:line="249"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Emerging next generation technologies, such as edge computing functionality, autonomous vehicle networks and a number of other internet-of-things, or IoT, applications and other potential use cases for wireless services requiring wireless connectivity. These technologies may create new and complementary use cases for our communications real estate over time, although these use cases are currently in nascent stages.</w:t>
      </w:r>
    </w:p>
    <w:p>
      <w:pPr>
        <w:spacing w:after="0" w:line="3" w:lineRule="exact"/>
        <w:rPr>
          <w:rFonts w:ascii="Times New Roman" w:cs="Times New Roman" w:eastAsia="Times New Roman" w:hAnsi="Times New Roman"/>
          <w:sz w:val="20"/>
          <w:szCs w:val="20"/>
          <w:color w:val="231F20"/>
        </w:rPr>
      </w:pPr>
    </w:p>
    <w:p>
      <w:pPr>
        <w:jc w:val="both"/>
        <w:ind w:left="720" w:right="420" w:hanging="370"/>
        <w:spacing w:after="0" w:line="255" w:lineRule="auto"/>
        <w:tabs>
          <w:tab w:leader="none" w:pos="72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Continued data growth, including through increased use of AI, and emerging high-performance, latency-sensitive applications, will drive an increased need for reliable, secure and interconnected data center solutions. We believe these trends will result in incremental utilization and interconnection demand at our data center facilities.</w:t>
      </w:r>
    </w:p>
    <w:p>
      <w:pPr>
        <w:spacing w:after="0" w:line="1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As part of our international expansion initiatives, we have targeted markets in various stages of network development to diversify our international exposure and position us to benefit from a number of different wireless technology deployments over the long term, while benefitting from our shared global experience, capabilities and services. In addition, we have focused on building relationships with large multinational carriers to increase the opportunities for growth or mutually beneficial transactional opportunities across common markets. We believe that consistent carrier network investments across our international markets will, over the long term, position us to generate meaningful organic revenue growth going forward.</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240"/>
          </w:cols>
          <w:pgMar w:left="820" w:top="393" w:right="820" w:bottom="0" w:gutter="0" w:footer="0" w:header="0"/>
          <w:type w:val="continuous"/>
        </w:sectPr>
      </w:pPr>
    </w:p>
    <w:bookmarkStart w:id="46" w:name="page47"/>
    <w:bookmarkEnd w:id="46"/>
    <w:p>
      <w:pPr>
        <w:ind w:left="10" w:right="140"/>
        <w:spacing w:after="0" w:line="278" w:lineRule="auto"/>
        <w:rPr>
          <w:sz w:val="20"/>
          <w:szCs w:val="20"/>
          <w:color w:val="auto"/>
        </w:rPr>
      </w:pPr>
      <w:r>
        <w:rPr>
          <w:rFonts w:ascii="Times New Roman" w:cs="Times New Roman" w:eastAsia="Times New Roman" w:hAnsi="Times New Roman"/>
          <w:sz w:val="19"/>
          <w:szCs w:val="19"/>
          <w:color w:val="231F20"/>
        </w:rPr>
        <w:t>We believe that the network technology migration we have seen in the United States, which has led to significantly denser networks and meaningful new business commencements for us over a number of years, will be replicated in our international markets over time. As a result, we expect to be able to leverage our extensive international portfolio of approximately 108,000 communications sites and the relationships we have built with our carrier tenants to drive sustainable, long</w:t>
      </w:r>
      <w:r>
        <w:rPr>
          <w:rFonts w:ascii="Times New Roman" w:cs="Times New Roman" w:eastAsia="Times New Roman" w:hAnsi="Times New Roman"/>
          <w:sz w:val="19"/>
          <w:szCs w:val="19"/>
          <w:color w:val="646567"/>
        </w:rPr>
        <w:t>-</w:t>
      </w:r>
      <w:r>
        <w:rPr>
          <w:rFonts w:ascii="Times New Roman" w:cs="Times New Roman" w:eastAsia="Times New Roman" w:hAnsi="Times New Roman"/>
          <w:sz w:val="19"/>
          <w:szCs w:val="19"/>
          <w:color w:val="231F20"/>
        </w:rPr>
        <w:t>term growth.</w:t>
      </w:r>
    </w:p>
    <w:p>
      <w:pPr>
        <w:spacing w:after="0" w:line="108"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231F20"/>
        </w:rPr>
        <w:t>We have master lease agreements with many of our tenants for our communications sites that provide for consistent, long-term revenue and reduce the likelihood of non-contractual churn. Certain of those master lease agreements are comprehensive in nature and further build and augment strong strategic partnerships with our tenants while significantly reducing colocation cycle times, thereby providing our tenants with the ability to rapidly and efficiently deploy equipment on our sites.</w:t>
      </w:r>
    </w:p>
    <w:p>
      <w:pPr>
        <w:spacing w:after="0" w:line="123"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231F20"/>
        </w:rPr>
        <w:t>Strong industry tailwinds also underpin our data center business. Our portfolio of highly interconnected data center facilities and related assets in the United States is well positioned to monetize elevated demand for hybrid-cloud and multi-cloud deployments, as well as demand from early-stage AI-related workloads like inferencing, machine learning models and GPU-as-a-Service from neo clouds. We believe it is important for AI workloads to be collocated with hybrid installations. Our data center facilities are well-suited for this, as they have a rich ecosystem of network and cloud interconnections coupled with purpose-built capacity designed to support AI and other higher-density deployments. These positive trends reinforce our expectation for our data centers to deliver long-term growth with attractive returns.</w:t>
      </w:r>
    </w:p>
    <w:p>
      <w:pPr>
        <w:spacing w:after="0" w:line="130"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231F20"/>
        </w:rPr>
        <w:t>Demand for our communications infrastructure assets could be negatively impacted by a number of factors, including increased competition within our industries, an increase in network sharing or consolidation among our customers and financial difficulties for our customers, as set forth in Item 1A of this Annual Report under the captions “Risk Factors—If our customers consolidate their operations, exit their businesses or share site infrastructure to a significant degree, our growth and revenue could be materially and adversely affected,” “Risk Factors—Increasing competition within our industries may materially and adversely affect our revenue” and “Risk Factors—A substantial portion of our current and projected future revenue is derived from a small number of customers, and we are sensitive to adverse changes in the creditworthiness and financial strength of our customers.” In addition, the emergence and growth of new technologies could reduce demand for our sites, as set forth under the caption “Risk Factors—New technologies or changes, or lack thereof, in our or a customer’s business model could make our communications infrastructure leasing business less desirable and result in decreasing revenues and operating results.” Further, our customers may be subject to new regulatory policies from time to time that materially and adversely affect the demand for our communications infrastructure assets.</w:t>
      </w:r>
    </w:p>
    <w:p>
      <w:pPr>
        <w:spacing w:after="0" w:line="127"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i w:val="1"/>
          <w:iCs w:val="1"/>
          <w:color w:val="231F20"/>
        </w:rPr>
        <w:t xml:space="preserve">Property Operations New Site Revenue Growth. </w:t>
      </w:r>
      <w:r>
        <w:rPr>
          <w:rFonts w:ascii="Times New Roman" w:cs="Times New Roman" w:eastAsia="Times New Roman" w:hAnsi="Times New Roman"/>
          <w:sz w:val="20"/>
          <w:szCs w:val="20"/>
          <w:color w:val="231F20"/>
        </w:rPr>
        <w:t>During the year ended December 31, 2025, we grew our portfolio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communications real estate through the acquisition and construction of approximately 2,230 communications sites globally. In a majority of our Africa &amp; APAC, Europe and Latin America markets, the revenue generated from newly acquired or constructed sites resulted in increases in both tenant and pass-through revenues (such as ground rent or power and fuel costs) and expenses. We continue to evaluate opportunities to acquire communications real estate portfolios, both domestically and internationally, to determine whether they meet our risk-adjusted hurdle rates and whether we believe we can effectively integrate them into our existing portfolio.</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New Sites (Acquired or Constructed)</w:t>
            </w:r>
          </w:p>
        </w:tc>
        <w:tc>
          <w:tcPr>
            <w:tcW w:w="1500" w:type="dxa"/>
            <w:vAlign w:val="bottom"/>
            <w:tcBorders>
              <w:bottom w:val="single" w:sz="8" w:color="231F20"/>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18"/>
                <w:szCs w:val="18"/>
                <w:color w:val="auto"/>
              </w:rPr>
            </w:pPr>
          </w:p>
        </w:tc>
        <w:tc>
          <w:tcPr>
            <w:tcW w:w="1500" w:type="dxa"/>
            <w:vAlign w:val="bottom"/>
            <w:tcBorders>
              <w:bottom w:val="single" w:sz="8" w:color="231F20"/>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18"/>
                <w:szCs w:val="18"/>
                <w:color w:val="auto"/>
              </w:rPr>
            </w:pPr>
          </w:p>
        </w:tc>
        <w:tc>
          <w:tcPr>
            <w:tcW w:w="1500" w:type="dxa"/>
            <w:vAlign w:val="bottom"/>
            <w:tcBorders>
              <w:bottom w:val="single" w:sz="8" w:color="231F20"/>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5"/>
        </w:trPr>
        <w:tc>
          <w:tcPr>
            <w:tcW w:w="55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U.S. &amp; Canada</w:t>
            </w:r>
            <w:r>
              <w:rPr>
                <w:rFonts w:ascii="Times New Roman" w:cs="Times New Roman" w:eastAsia="Times New Roman" w:hAnsi="Times New Roman"/>
                <w:sz w:val="20"/>
                <w:szCs w:val="20"/>
                <w:color w:val="BABCBE"/>
              </w:rPr>
              <w:t>.....................................................................................</w:t>
            </w:r>
          </w:p>
        </w:tc>
        <w:tc>
          <w:tcPr>
            <w:tcW w:w="150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155</w:t>
            </w:r>
          </w:p>
        </w:tc>
        <w:tc>
          <w:tcPr>
            <w:tcW w:w="15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5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79"/>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Africa &amp; APAC (1) </w:t>
            </w:r>
            <w:r>
              <w:rPr>
                <w:rFonts w:ascii="Times New Roman" w:cs="Times New Roman" w:eastAsia="Times New Roman" w:hAnsi="Times New Roman"/>
                <w:sz w:val="20"/>
                <w:szCs w:val="20"/>
                <w:b w:val="1"/>
                <w:bCs w:val="1"/>
                <w:color w:val="BABCBE"/>
              </w:rPr>
              <w:t>.............................................................................</w:t>
            </w: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1,265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1,660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1,700</w:t>
            </w:r>
          </w:p>
        </w:tc>
      </w:tr>
      <w:tr>
        <w:trPr>
          <w:trHeight w:val="291"/>
        </w:trPr>
        <w:tc>
          <w:tcPr>
            <w:tcW w:w="55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Europe </w:t>
            </w:r>
            <w:r>
              <w:rPr>
                <w:rFonts w:ascii="Times New Roman" w:cs="Times New Roman" w:eastAsia="Times New Roman" w:hAnsi="Times New Roman"/>
                <w:sz w:val="20"/>
                <w:szCs w:val="20"/>
                <w:color w:val="BABCBE"/>
              </w:rPr>
              <w:t>.................................................................................................</w:t>
            </w:r>
          </w:p>
        </w:tc>
        <w:tc>
          <w:tcPr>
            <w:tcW w:w="150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745</w:t>
            </w:r>
          </w:p>
        </w:tc>
        <w:tc>
          <w:tcPr>
            <w:tcW w:w="15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590</w:t>
            </w:r>
          </w:p>
        </w:tc>
        <w:tc>
          <w:tcPr>
            <w:tcW w:w="15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555</w:t>
            </w:r>
          </w:p>
        </w:tc>
      </w:tr>
      <w:tr>
        <w:trPr>
          <w:trHeight w:val="274"/>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Latin America</w:t>
            </w:r>
            <w:r>
              <w:rPr>
                <w:rFonts w:ascii="Times New Roman" w:cs="Times New Roman" w:eastAsia="Times New Roman" w:hAnsi="Times New Roman"/>
                <w:sz w:val="20"/>
                <w:szCs w:val="20"/>
                <w:color w:val="BABCBE"/>
              </w:rPr>
              <w:t>......................................................................................</w:t>
            </w: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-728980</wp:posOffset>
            </wp:positionV>
            <wp:extent cx="29781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8150" cy="25400"/>
                    </a:xfrm>
                    <a:prstGeom prst="rect">
                      <a:avLst/>
                    </a:prstGeom>
                    <a:noFill/>
                  </pic:spPr>
                </pic:pic>
              </a:graphicData>
            </a:graphic>
          </wp:anchor>
        </w:drawing>
      </w:r>
    </w:p>
    <w:p>
      <w:pPr>
        <w:spacing w:after="0" w:line="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years ended December 31, 2024 and 2023, excludes approximately 90 and 865 new sites in India, respectively.</w:t>
      </w:r>
    </w:p>
    <w:p>
      <w:pPr>
        <w:spacing w:after="0" w:line="134" w:lineRule="exact"/>
        <w:rPr>
          <w:sz w:val="20"/>
          <w:szCs w:val="20"/>
          <w:color w:val="auto"/>
        </w:rPr>
      </w:pPr>
    </w:p>
    <w:p>
      <w:pPr>
        <w:ind w:left="10" w:right="20"/>
        <w:spacing w:after="0" w:line="268" w:lineRule="auto"/>
        <w:rPr>
          <w:sz w:val="20"/>
          <w:szCs w:val="20"/>
          <w:color w:val="auto"/>
        </w:rPr>
      </w:pPr>
      <w:r>
        <w:rPr>
          <w:rFonts w:ascii="Times New Roman" w:cs="Times New Roman" w:eastAsia="Times New Roman" w:hAnsi="Times New Roman"/>
          <w:sz w:val="19"/>
          <w:szCs w:val="19"/>
          <w:i w:val="1"/>
          <w:iCs w:val="1"/>
          <w:color w:val="231F20"/>
        </w:rPr>
        <w:t xml:space="preserve">Property Operations Expenses. </w:t>
      </w:r>
      <w:r>
        <w:rPr>
          <w:rFonts w:ascii="Times New Roman" w:cs="Times New Roman" w:eastAsia="Times New Roman" w:hAnsi="Times New Roman"/>
          <w:sz w:val="19"/>
          <w:szCs w:val="19"/>
          <w:color w:val="231F20"/>
        </w:rPr>
        <w:t>Direct operating expenses incurred by our property segments include direct site or facility level</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expenses and consist primarily of ground rent and power and fuel costs, some or all of which may be passed through to our customers, as well as property taxes and repairs and maintenance expenses. These segment direct operating expenses exclude all segment and corporate selling, general, administrative and development expenses, which are aggregated into one line item entitled Selling, general, administrative and development expense in our consolidated statements of operations. In general, our property segments’ selling, general, administrative and development expenses do not significantly increase as a result of adding incremental customers to our sites or facilities and typically increase only modestly year-over-year. As a result, leasing additional space to new customers on our sites or within our facilities provides significant incremental gross margin and cash flow. We may, however, incur additional segment selling, general, administrative and development expenses as we increase our presence in our existing markets or expand into new markets. Our profit margin growth is therefore positively impacted by the addition of new customers to our sites or facilities but can be temporarily diluted by our development or expansion activities.</w:t>
      </w:r>
    </w:p>
    <w:p>
      <w:pPr>
        <w:sectPr>
          <w:pgSz w:w="11880" w:h="15480" w:orient="portrait"/>
          <w:cols w:equalWidth="0" w:num="1">
            <w:col w:w="10250"/>
          </w:cols>
          <w:pgMar w:left="810" w:top="39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250"/>
          </w:cols>
          <w:pgMar w:left="810" w:top="393" w:right="820" w:bottom="0" w:gutter="0" w:footer="0" w:header="0"/>
          <w:type w:val="continuous"/>
        </w:sectPr>
      </w:pPr>
    </w:p>
    <w:bookmarkStart w:id="47" w:name="page48"/>
    <w:bookmarkEnd w:id="47"/>
    <w:p>
      <w:pPr>
        <w:spacing w:after="0" w:line="285" w:lineRule="auto"/>
        <w:rPr>
          <w:sz w:val="20"/>
          <w:szCs w:val="20"/>
          <w:color w:val="auto"/>
        </w:rPr>
      </w:pPr>
      <w:r>
        <w:rPr>
          <w:rFonts w:ascii="Times New Roman" w:cs="Times New Roman" w:eastAsia="Times New Roman" w:hAnsi="Times New Roman"/>
          <w:sz w:val="20"/>
          <w:szCs w:val="20"/>
          <w:i w:val="1"/>
          <w:iCs w:val="1"/>
          <w:color w:val="231F20"/>
        </w:rPr>
        <w:t>Services Segment Revenue Growth</w:t>
      </w:r>
      <w:r>
        <w:rPr>
          <w:rFonts w:ascii="Times New Roman" w:cs="Times New Roman" w:eastAsia="Times New Roman" w:hAnsi="Times New Roman"/>
          <w:sz w:val="20"/>
          <w:szCs w:val="20"/>
          <w:color w:val="231F20"/>
        </w:rPr>
        <w:t>. As we continue to focus on growing our property operations, we anticipate that our services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revenue will continue to represent a small percentage of our total revenues.</w:t>
      </w:r>
    </w:p>
    <w:p>
      <w:pPr>
        <w:sectPr>
          <w:pgSz w:w="11880" w:h="15480" w:orient="portrait"/>
          <w:cols w:equalWidth="0" w:num="1">
            <w:col w:w="10220"/>
          </w:cols>
          <w:pgMar w:left="820" w:top="3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220"/>
          </w:cols>
          <w:pgMar w:left="820" w:top="389" w:right="84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Included in our analysis of our results of operations are discussions regarding earnings before interest, taxes, depreciation, amortization and accretion, as adjusted (“Adjusted EBITDA”), Funds From Operations, as defined by the National Association of Real Estate Investment Trusts (“Nareit FFO”) attributable to American Tower Corporation common stockholders, Adjusted Funds From Operations (“AFFO”) attributable to American Tower Corporation common stockholders (“AFFO attributable to American Tower Corporation common stockholders”) and Segment gross margin.</w:t>
      </w:r>
    </w:p>
    <w:p>
      <w:pPr>
        <w:spacing w:after="0" w:line="124"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231F20"/>
        </w:rPr>
        <w:t>We define Adjusted EBITDA as Net income before Income (loss) from equity method investments; Income (loss) from discontinued operations, net of taxes; Income tax benefit (provision); Other income (expense); Gain (loss) on retirement of long-term obligations; Interest expense; Interest income; Other operating income (expense), including Goodwill impairment; Depreciation, amortization and accretion; and stock-based compensation expense.</w:t>
      </w:r>
    </w:p>
    <w:p>
      <w:pPr>
        <w:spacing w:after="0" w:line="1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Nareit FFO attributable to American Tower Corporation common stockholders is defined as net income before gains or losses from the sale or disposal of real estate, real estate related impairment charges, real estate related depreciation, amortization and accretion, and including adjustments and distributions for unconsolidated affiliates and noncontrolling interests and adjustments for discontinued operations. In this section, we refer to Nareit FFO attributable to American Tower Corporation common stockholders as “Nareit FFO (common stockholders).”</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define AFFO attributable to American Tower Corporation common stockholders as Nareit FFO (common stockholders) before (i) straight-line revenue and expense; (ii) stock-based compensation expense; (iii) the deferred portion of income tax and other income tax adjustments; (iv) non-real estate related depreciation, amortization and accretion; (v) amortization of deferred financing costs, debt discounts and premiums and long-term deferred interest charges; (vi) 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In this section, we refer to AFFO attributable to American Tower Corporation common stockholders as “AFFO (common stockholders).”</w:t>
      </w:r>
    </w:p>
    <w:p>
      <w:pPr>
        <w:spacing w:after="0" w:line="13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231F20"/>
        </w:rPr>
        <w:t>We define Segment gross margin as segment revenue less segment operating expenses, excluding depreciation, amortization and accretion; selling, general, administrative and development expense; and other operating expenses.</w:t>
      </w:r>
    </w:p>
    <w:p>
      <w:pPr>
        <w:spacing w:after="0" w:line="1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Adjusted EBITDA, Nareit FFO (common stockholders), AFFO (common stockholders) and Segment gross margin are not intended to replace net income or any other performance measures determined in accordance with GAAP. None of Adjusted EBITDA, Nareit FFO (common stockholders), AFFO (common stockholders) or Segment gross margin represents cash flows from operating activities in accordance with GAAP and, therefore, these measures should not be considered indicative of cash flows from operating activities, as a measure of liquidity or a measure of funds available to fund our cash needs, including our ability to make cash distributions. Rather, Adjusted EBITDA, Nareit FFO (common stockholders), AFFO (common stockholders) and Segment gross margin are presented as we believe each is a useful indicator of our current operating performance. We believe that these metrics are useful to an investor in evaluating our operating performance because (1) each is a key measure used by our management team for decision making purposes and for evaluating our operating segments’ performance; (2) Adjusted EBITDA is a component underlying our credit ratings; (3)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 (4) AFFO (common stockholders) is widely used in the telecommunications real estate sector to adjust Nareit FFO (common stockholders) for items that may otherwise cause material fluctuations in Nareit FFO (common stockholders) growth from period to period that would not be representative of the underlying performance of property assets in those periods; (5) Segment gross margin provides valuable insight into the site-level profitability of our assets (6) each provides investors with a meaningful measure for evaluating our period-to-period operating performance by eliminating items that are not operational in nature; and (7) each provides investors with a measure for comparing our results of operations to those of other companies, particularly those in our industry.</w:t>
      </w:r>
    </w:p>
    <w:p>
      <w:pPr>
        <w:spacing w:after="0" w:line="13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Our measurement of Adjusted EBITDA, Nareit FFO (common stockholders), AFFO (common stockholders) and Segment gross margin may not, however, be fully comparable to similarly titled measures used by other companies. Reconciliations of Adjusted EBITDA, Nareit FFO (common stockholders) and AFFO (common stockholders) to net income and Segment gross margin to gross margin, the most directly comparable GAAP measures, have been included below.</w:t>
      </w:r>
    </w:p>
    <w:p>
      <w:pPr>
        <w:sectPr>
          <w:pgSz w:w="11880" w:h="15480" w:orient="portrait"/>
          <w:cols w:equalWidth="0" w:num="1">
            <w:col w:w="10220"/>
          </w:cols>
          <w:pgMar w:left="820" w:top="78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220"/>
          </w:cols>
          <w:pgMar w:left="820" w:top="786" w:right="840" w:bottom="0" w:gutter="0" w:footer="0" w:header="0"/>
          <w:type w:val="continuous"/>
        </w:sectPr>
      </w:pPr>
    </w:p>
    <w:bookmarkStart w:id="49" w:name="page50"/>
    <w:bookmarkEnd w:id="49"/>
    <w:p>
      <w:pPr>
        <w:ind w:left="10"/>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Year Ended December 31, 2024 Compared to Year Ended December 31, 2023</w:t>
      </w:r>
    </w:p>
    <w:p>
      <w:pPr>
        <w:spacing w:after="0" w:line="177"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231F20"/>
        </w:rPr>
        <w:t>For a discussion of our 2024 Results of Operations, including a discussion of our financial results for the fiscal year ended December 31, 2024 compared to the fiscal year ended December 31, 2023, refer to Part I, Item 7 of our annual report on Form 10-K filed with the SEC on February 25, 2025 (the “2024 Form 10-K”).</w:t>
      </w:r>
    </w:p>
    <w:p>
      <w:pPr>
        <w:sectPr>
          <w:pgSz w:w="11880" w:h="15480" w:orient="portrait"/>
          <w:cols w:equalWidth="0" w:num="1">
            <w:col w:w="10270"/>
          </w:cols>
          <w:pgMar w:left="810" w:top="386" w:right="800" w:bottom="0" w:gutter="0" w:footer="0" w:header="0"/>
        </w:sectPr>
      </w:pPr>
    </w:p>
    <w:p>
      <w:pPr>
        <w:spacing w:after="0" w:line="1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Years Ended December 31, 2025 and 2024</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(in millions, except percentages)</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Revenue</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20955</wp:posOffset>
            </wp:positionV>
            <wp:extent cx="156210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2100" cy="12700"/>
                    </a:xfrm>
                    <a:prstGeom prst="rect">
                      <a:avLst/>
                    </a:prstGeom>
                    <a:noFill/>
                  </pic:spPr>
                </pic:pic>
              </a:graphicData>
            </a:graphic>
          </wp:anchor>
        </w:drawing>
      </w:r>
    </w:p>
    <w:p>
      <w:pPr>
        <w:spacing w:after="0" w:line="51" w:lineRule="exact"/>
        <w:rPr>
          <w:sz w:val="20"/>
          <w:szCs w:val="20"/>
          <w:color w:val="auto"/>
        </w:rPr>
      </w:pPr>
    </w:p>
    <w:p>
      <w:pPr>
        <w:ind w:left="7130"/>
        <w:spacing w:after="0"/>
        <w:tabs>
          <w:tab w:leader="none" w:pos="833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527800" cy="203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27800" cy="203200"/>
                    </a:xfrm>
                    <a:prstGeom prst="rect">
                      <a:avLst/>
                    </a:prstGeom>
                    <a:noFill/>
                  </pic:spPr>
                </pic:pic>
              </a:graphicData>
            </a:graphic>
          </wp:anchor>
        </w:drawing>
      </w:r>
    </w:p>
    <w:p>
      <w:pPr>
        <w:spacing w:after="0" w:line="3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231F20"/>
        </w:rPr>
        <w:t>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
        <w:spacing w:after="0" w:line="230" w:lineRule="auto"/>
        <w:rPr>
          <w:sz w:val="20"/>
          <w:szCs w:val="20"/>
          <w:color w:val="auto"/>
        </w:rPr>
      </w:pPr>
      <w:r>
        <w:rPr>
          <w:rFonts w:ascii="Times New Roman" w:cs="Times New Roman" w:eastAsia="Times New Roman" w:hAnsi="Times New Roman"/>
          <w:sz w:val="16"/>
          <w:szCs w:val="16"/>
          <w:b w:val="1"/>
          <w:bCs w:val="1"/>
          <w:color w:val="231F20"/>
        </w:rPr>
        <w:t>Percent Change 2025 vs 2024</w:t>
      </w:r>
    </w:p>
    <w:p>
      <w:pPr>
        <w:spacing w:after="0" w:line="331" w:lineRule="exact"/>
        <w:rPr>
          <w:sz w:val="20"/>
          <w:szCs w:val="20"/>
          <w:color w:val="auto"/>
        </w:rPr>
      </w:pPr>
    </w:p>
    <w:p>
      <w:pPr>
        <w:sectPr>
          <w:pgSz w:w="11880" w:h="15480" w:orient="portrait"/>
          <w:cols w:equalWidth="0" w:num="2">
            <w:col w:w="8830" w:space="440"/>
            <w:col w:w="1000"/>
          </w:cols>
          <w:pgMar w:left="810" w:top="386" w:right="800" w:bottom="0" w:gutter="0" w:footer="0" w:header="0"/>
          <w:type w:val="continuous"/>
        </w:sectPr>
      </w:pPr>
    </w:p>
    <w:tbl>
      <w:tblPr>
        <w:tblLayout w:type="fixed"/>
        <w:tblInd w:w="10" w:type="dxa"/>
        <w:tblCellMar>
          <w:top w:w="0" w:type="dxa"/>
          <w:left w:w="0" w:type="dxa"/>
          <w:bottom w:w="0" w:type="dxa"/>
          <w:right w:w="0" w:type="dxa"/>
        </w:tblCellMar>
      </w:tblPr>
      <w:tr>
        <w:trPr>
          <w:trHeight w:val="280"/>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 &amp; Canada </w:t>
            </w:r>
            <w:r>
              <w:rPr>
                <w:rFonts w:ascii="Times New Roman" w:cs="Times New Roman" w:eastAsia="Times New Roman" w:hAnsi="Times New Roman"/>
                <w:sz w:val="20"/>
                <w:szCs w:val="20"/>
                <w:color w:val="BABCBE"/>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5,248.7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5,248.1</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0 %</w:t>
            </w:r>
          </w:p>
        </w:tc>
      </w:tr>
      <w:tr>
        <w:trPr>
          <w:trHeight w:val="306"/>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Africa &amp; APAC (1)</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1,422.9</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1,208.0</w:t>
            </w:r>
          </w:p>
        </w:tc>
        <w:tc>
          <w:tcPr>
            <w:tcW w:w="1180" w:type="dxa"/>
            <w:vAlign w:val="bottom"/>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18</w:t>
            </w:r>
          </w:p>
        </w:tc>
      </w:tr>
      <w:tr>
        <w:trPr>
          <w:trHeight w:val="294"/>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Europe</w:t>
            </w:r>
            <w:r>
              <w:rPr>
                <w:rFonts w:ascii="Times New Roman" w:cs="Times New Roman" w:eastAsia="Times New Roman" w:hAnsi="Times New Roman"/>
                <w:sz w:val="20"/>
                <w:szCs w:val="20"/>
                <w:color w:val="BABCBE"/>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834.7</w:t>
            </w:r>
          </w:p>
        </w:tc>
        <w:tc>
          <w:tcPr>
            <w:tcW w:w="11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12</w:t>
            </w:r>
          </w:p>
        </w:tc>
      </w:tr>
      <w:tr>
        <w:trPr>
          <w:trHeight w:val="306"/>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Latin America </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1,642.6</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1,717.9</w:t>
            </w:r>
          </w:p>
        </w:tc>
        <w:tc>
          <w:tcPr>
            <w:tcW w:w="1180" w:type="dxa"/>
            <w:vAlign w:val="bottom"/>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(4)</w:t>
            </w:r>
          </w:p>
        </w:tc>
      </w:tr>
      <w:tr>
        <w:trPr>
          <w:trHeight w:val="290"/>
        </w:trPr>
        <w:tc>
          <w:tcPr>
            <w:tcW w:w="67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Data Centers</w:t>
            </w:r>
            <w:r>
              <w:rPr>
                <w:rFonts w:ascii="Times New Roman" w:cs="Times New Roman" w:eastAsia="Times New Roman" w:hAnsi="Times New Roman"/>
                <w:sz w:val="20"/>
                <w:szCs w:val="20"/>
                <w:color w:val="BABCBE"/>
              </w:rPr>
              <w:t>........................................................................................................</w:t>
            </w:r>
          </w:p>
        </w:tc>
        <w:tc>
          <w:tcPr>
            <w:tcW w:w="2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1,053.1</w:t>
            </w:r>
          </w:p>
        </w:tc>
        <w:tc>
          <w:tcPr>
            <w:tcW w:w="6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924.8</w:t>
            </w:r>
          </w:p>
        </w:tc>
        <w:tc>
          <w:tcPr>
            <w:tcW w:w="1180" w:type="dxa"/>
            <w:vAlign w:val="bottom"/>
            <w:tcBorders>
              <w:bottom w:val="single" w:sz="8" w:color="E3E4E5"/>
            </w:tcBorders>
          </w:tcPr>
          <w:p>
            <w:pPr>
              <w:jc w:val="right"/>
              <w:ind w:right="160"/>
              <w:spacing w:after="0"/>
              <w:rPr>
                <w:sz w:val="20"/>
                <w:szCs w:val="20"/>
                <w:color w:val="auto"/>
              </w:rPr>
            </w:pPr>
            <w:r>
              <w:rPr>
                <w:rFonts w:ascii="Times New Roman" w:cs="Times New Roman" w:eastAsia="Times New Roman" w:hAnsi="Times New Roman"/>
                <w:sz w:val="20"/>
                <w:szCs w:val="20"/>
                <w:color w:val="231F20"/>
              </w:rPr>
              <w:t>14</w:t>
            </w:r>
          </w:p>
        </w:tc>
      </w:tr>
      <w:tr>
        <w:trPr>
          <w:trHeight w:val="290"/>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property </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10,305.0</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9,933.5</w:t>
            </w:r>
          </w:p>
        </w:tc>
        <w:tc>
          <w:tcPr>
            <w:tcW w:w="1180" w:type="dxa"/>
            <w:vAlign w:val="bottom"/>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4</w:t>
            </w:r>
          </w:p>
        </w:tc>
      </w:tr>
      <w:tr>
        <w:trPr>
          <w:trHeight w:val="290"/>
        </w:trPr>
        <w:tc>
          <w:tcPr>
            <w:tcW w:w="67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Services </w:t>
            </w:r>
            <w:r>
              <w:rPr>
                <w:rFonts w:ascii="Times New Roman" w:cs="Times New Roman" w:eastAsia="Times New Roman" w:hAnsi="Times New Roman"/>
                <w:sz w:val="20"/>
                <w:szCs w:val="20"/>
                <w:color w:val="BABCBE"/>
                <w:w w:val="99"/>
              </w:rPr>
              <w:t>......................................................................................................................</w:t>
            </w:r>
          </w:p>
        </w:tc>
        <w:tc>
          <w:tcPr>
            <w:tcW w:w="2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339.6</w:t>
            </w:r>
          </w:p>
        </w:tc>
        <w:tc>
          <w:tcPr>
            <w:tcW w:w="6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193.7</w:t>
            </w:r>
          </w:p>
        </w:tc>
        <w:tc>
          <w:tcPr>
            <w:tcW w:w="1180" w:type="dxa"/>
            <w:vAlign w:val="bottom"/>
            <w:tcBorders>
              <w:bottom w:val="single" w:sz="8" w:color="E3E4E5"/>
            </w:tcBorders>
          </w:tcPr>
          <w:p>
            <w:pPr>
              <w:jc w:val="right"/>
              <w:ind w:right="160"/>
              <w:spacing w:after="0"/>
              <w:rPr>
                <w:sz w:val="20"/>
                <w:szCs w:val="20"/>
                <w:color w:val="auto"/>
              </w:rPr>
            </w:pPr>
            <w:r>
              <w:rPr>
                <w:rFonts w:ascii="Times New Roman" w:cs="Times New Roman" w:eastAsia="Times New Roman" w:hAnsi="Times New Roman"/>
                <w:sz w:val="20"/>
                <w:szCs w:val="20"/>
                <w:color w:val="231F20"/>
              </w:rPr>
              <w:t>75</w:t>
            </w:r>
          </w:p>
        </w:tc>
      </w:tr>
      <w:tr>
        <w:trPr>
          <w:trHeight w:val="290"/>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revenues </w:t>
            </w:r>
            <w:r>
              <w:rPr>
                <w:rFonts w:ascii="Times New Roman" w:cs="Times New Roman" w:eastAsia="Times New Roman" w:hAnsi="Times New Roman"/>
                <w:sz w:val="20"/>
                <w:szCs w:val="20"/>
                <w:color w:val="BABCBE"/>
              </w:rPr>
              <w:t>.............................................................................................</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10,644.6</w:t>
            </w:r>
          </w:p>
        </w:tc>
        <w:tc>
          <w:tcPr>
            <w:tcW w:w="32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10,127.2</w:t>
            </w: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-583565</wp:posOffset>
            </wp:positionV>
            <wp:extent cx="153987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-202565</wp:posOffset>
            </wp:positionV>
            <wp:extent cx="153987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Year ended December 31, 2025</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U.S. &amp; Canada property segment revenue increase of $0.6 million was attributable to:</w:t>
      </w:r>
    </w:p>
    <w:p>
      <w:pPr>
        <w:spacing w:after="0" w:line="30" w:lineRule="exact"/>
        <w:rPr>
          <w:sz w:val="20"/>
          <w:szCs w:val="20"/>
          <w:color w:val="auto"/>
        </w:rPr>
      </w:pPr>
    </w:p>
    <w:p>
      <w:pPr>
        <w:ind w:left="730" w:hanging="370"/>
        <w:spacing w:after="0"/>
        <w:tabs>
          <w:tab w:leader="none" w:pos="73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Tenant billings growth of $210.0 million, which was driven by:</w:t>
      </w:r>
    </w:p>
    <w:p>
      <w:pPr>
        <w:spacing w:after="0" w:line="10" w:lineRule="exact"/>
        <w:rPr>
          <w:rFonts w:ascii="Times New Roman" w:cs="Times New Roman" w:eastAsia="Times New Roman" w:hAnsi="Times New Roman"/>
          <w:sz w:val="20"/>
          <w:szCs w:val="20"/>
          <w:color w:val="231F20"/>
        </w:rPr>
      </w:pPr>
    </w:p>
    <w:p>
      <w:pPr>
        <w:ind w:left="1090" w:hanging="370"/>
        <w:spacing w:after="0"/>
        <w:tabs>
          <w:tab w:leader="none" w:pos="1090" w:val="left"/>
        </w:tabs>
        <w:numPr>
          <w:ilvl w:val="1"/>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$158.7 million due to colocations and amendments;</w:t>
      </w:r>
    </w:p>
    <w:p>
      <w:pPr>
        <w:spacing w:after="0" w:line="10" w:lineRule="exact"/>
        <w:rPr>
          <w:rFonts w:ascii="Times New Roman" w:cs="Times New Roman" w:eastAsia="Times New Roman" w:hAnsi="Times New Roman"/>
          <w:sz w:val="20"/>
          <w:szCs w:val="20"/>
          <w:color w:val="231F20"/>
        </w:rPr>
      </w:pPr>
    </w:p>
    <w:p>
      <w:pPr>
        <w:ind w:left="1090" w:hanging="370"/>
        <w:spacing w:after="0"/>
        <w:tabs>
          <w:tab w:leader="none" w:pos="1090" w:val="left"/>
        </w:tabs>
        <w:numPr>
          <w:ilvl w:val="1"/>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$52.8 million resulting from contractual escalations, net of churn; and</w:t>
      </w:r>
    </w:p>
    <w:p>
      <w:pPr>
        <w:spacing w:after="0" w:line="10" w:lineRule="exact"/>
        <w:rPr>
          <w:rFonts w:ascii="Times New Roman" w:cs="Times New Roman" w:eastAsia="Times New Roman" w:hAnsi="Times New Roman"/>
          <w:sz w:val="20"/>
          <w:szCs w:val="20"/>
          <w:color w:val="231F20"/>
        </w:rPr>
      </w:pPr>
    </w:p>
    <w:p>
      <w:pPr>
        <w:ind w:left="1090" w:right="400" w:hanging="370"/>
        <w:spacing w:after="0" w:line="250" w:lineRule="auto"/>
        <w:tabs>
          <w:tab w:leader="none" w:pos="1090" w:val="left"/>
        </w:tabs>
        <w:numPr>
          <w:ilvl w:val="1"/>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$5.7 million generated from sites acquired or constructed since the beginning of the prior-year period (“newly acquired or constructed sites”);</w:t>
      </w:r>
    </w:p>
    <w:p>
      <w:pPr>
        <w:ind w:left="1090" w:hanging="370"/>
        <w:spacing w:after="0"/>
        <w:tabs>
          <w:tab w:leader="none" w:pos="1090" w:val="left"/>
        </w:tabs>
        <w:numPr>
          <w:ilvl w:val="1"/>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Partially offset by a decrease of $7.2 million from other tenant billings;</w:t>
      </w:r>
    </w:p>
    <w:p>
      <w:pPr>
        <w:spacing w:after="0" w:line="10" w:lineRule="exact"/>
        <w:rPr>
          <w:rFonts w:ascii="Times New Roman" w:cs="Times New Roman" w:eastAsia="Times New Roman" w:hAnsi="Times New Roman"/>
          <w:sz w:val="20"/>
          <w:szCs w:val="20"/>
          <w:color w:val="231F20"/>
        </w:rPr>
      </w:pPr>
    </w:p>
    <w:p>
      <w:pPr>
        <w:ind w:left="730" w:right="500" w:hanging="370"/>
        <w:spacing w:after="0" w:line="260" w:lineRule="auto"/>
        <w:tabs>
          <w:tab w:leader="none" w:pos="730" w:val="left"/>
        </w:tabs>
        <w:numPr>
          <w:ilvl w:val="0"/>
          <w:numId w:val="2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Partially offset by a decrease of $209.1 million in other revenue, which includes a $175.8 million decrease due to straight-line accounting.</w:t>
      </w:r>
    </w:p>
    <w:p>
      <w:pPr>
        <w:spacing w:after="0" w:line="122" w:lineRule="exact"/>
        <w:rPr>
          <w:sz w:val="20"/>
          <w:szCs w:val="20"/>
          <w:color w:val="auto"/>
        </w:rPr>
      </w:pPr>
    </w:p>
    <w:p>
      <w:pPr>
        <w:ind w:left="10" w:right="700"/>
        <w:spacing w:after="0" w:line="281" w:lineRule="auto"/>
        <w:rPr>
          <w:sz w:val="20"/>
          <w:szCs w:val="20"/>
          <w:color w:val="auto"/>
        </w:rPr>
      </w:pPr>
      <w:r>
        <w:rPr>
          <w:rFonts w:ascii="Times New Roman" w:cs="Times New Roman" w:eastAsia="Times New Roman" w:hAnsi="Times New Roman"/>
          <w:sz w:val="20"/>
          <w:szCs w:val="20"/>
          <w:color w:val="231F20"/>
        </w:rPr>
        <w:t>Segment revenue growth was partially offset by a decrease of $0.3 million attributable to the negative impact of foreign currency translation related to fluctuations in Canadian Dollar.</w:t>
      </w:r>
    </w:p>
    <w:p>
      <w:pPr>
        <w:spacing w:after="0" w:line="1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Africa &amp; APAC property segment revenue growth of $214.9 million was attributable to:</w:t>
      </w:r>
    </w:p>
    <w:p>
      <w:pPr>
        <w:spacing w:after="0" w:line="30" w:lineRule="exact"/>
        <w:rPr>
          <w:sz w:val="20"/>
          <w:szCs w:val="20"/>
          <w:color w:val="auto"/>
        </w:rPr>
      </w:pPr>
    </w:p>
    <w:p>
      <w:pPr>
        <w:ind w:left="730" w:hanging="370"/>
        <w:spacing w:after="0"/>
        <w:tabs>
          <w:tab w:leader="none" w:pos="73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Tenant billings growth of $129.7 million, which was driven by:</w:t>
      </w:r>
    </w:p>
    <w:p>
      <w:pPr>
        <w:spacing w:after="0" w:line="10" w:lineRule="exact"/>
        <w:rPr>
          <w:rFonts w:ascii="Times New Roman" w:cs="Times New Roman" w:eastAsia="Times New Roman" w:hAnsi="Times New Roman"/>
          <w:sz w:val="20"/>
          <w:szCs w:val="20"/>
          <w:color w:val="231F20"/>
        </w:rPr>
      </w:pPr>
    </w:p>
    <w:p>
      <w:pPr>
        <w:ind w:left="1450" w:hanging="370"/>
        <w:spacing w:after="0"/>
        <w:tabs>
          <w:tab w:leader="none" w:pos="1450" w:val="left"/>
        </w:tabs>
        <w:numPr>
          <w:ilvl w:val="1"/>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$53.7 million due to colocations and amendments;</w:t>
      </w:r>
    </w:p>
    <w:p>
      <w:pPr>
        <w:spacing w:after="0" w:line="10" w:lineRule="exact"/>
        <w:rPr>
          <w:rFonts w:ascii="Times New Roman" w:cs="Times New Roman" w:eastAsia="Times New Roman" w:hAnsi="Times New Roman"/>
          <w:sz w:val="20"/>
          <w:szCs w:val="20"/>
          <w:color w:val="231F20"/>
        </w:rPr>
      </w:pPr>
    </w:p>
    <w:p>
      <w:pPr>
        <w:ind w:left="1450" w:hanging="370"/>
        <w:spacing w:after="0"/>
        <w:tabs>
          <w:tab w:leader="none" w:pos="1450" w:val="left"/>
        </w:tabs>
        <w:numPr>
          <w:ilvl w:val="1"/>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$43.5 million resulting from contractual escalations, net of churn;</w:t>
      </w:r>
    </w:p>
    <w:p>
      <w:pPr>
        <w:spacing w:after="0" w:line="10" w:lineRule="exact"/>
        <w:rPr>
          <w:rFonts w:ascii="Times New Roman" w:cs="Times New Roman" w:eastAsia="Times New Roman" w:hAnsi="Times New Roman"/>
          <w:sz w:val="20"/>
          <w:szCs w:val="20"/>
          <w:color w:val="231F20"/>
        </w:rPr>
      </w:pPr>
    </w:p>
    <w:p>
      <w:pPr>
        <w:ind w:left="1450" w:hanging="370"/>
        <w:spacing w:after="0"/>
        <w:tabs>
          <w:tab w:leader="none" w:pos="1450" w:val="left"/>
        </w:tabs>
        <w:numPr>
          <w:ilvl w:val="1"/>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$23.1 million generated from newly acquired or constructed sites; and</w:t>
      </w:r>
    </w:p>
    <w:p>
      <w:pPr>
        <w:spacing w:after="0" w:line="10" w:lineRule="exact"/>
        <w:rPr>
          <w:rFonts w:ascii="Times New Roman" w:cs="Times New Roman" w:eastAsia="Times New Roman" w:hAnsi="Times New Roman"/>
          <w:sz w:val="20"/>
          <w:szCs w:val="20"/>
          <w:color w:val="231F20"/>
        </w:rPr>
      </w:pPr>
    </w:p>
    <w:p>
      <w:pPr>
        <w:ind w:left="1450" w:hanging="370"/>
        <w:spacing w:after="0"/>
        <w:tabs>
          <w:tab w:leader="none" w:pos="1450" w:val="left"/>
        </w:tabs>
        <w:numPr>
          <w:ilvl w:val="1"/>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$9.4 million from other tenant billings;</w:t>
      </w:r>
    </w:p>
    <w:p>
      <w:pPr>
        <w:spacing w:after="0" w:line="10" w:lineRule="exact"/>
        <w:rPr>
          <w:rFonts w:ascii="Times New Roman" w:cs="Times New Roman" w:eastAsia="Times New Roman" w:hAnsi="Times New Roman"/>
          <w:sz w:val="20"/>
          <w:szCs w:val="20"/>
          <w:color w:val="231F20"/>
        </w:rPr>
      </w:pPr>
    </w:p>
    <w:p>
      <w:pPr>
        <w:ind w:left="730" w:right="640" w:hanging="370"/>
        <w:spacing w:after="0" w:line="250" w:lineRule="auto"/>
        <w:tabs>
          <w:tab w:leader="none" w:pos="73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$24.7 million in other revenue, primarily attributable to a decrease in revenue reserves related to customers in Burkina Faso and Kenya; and</w:t>
      </w:r>
    </w:p>
    <w:p>
      <w:pPr>
        <w:ind w:left="730" w:hanging="370"/>
        <w:spacing w:after="0"/>
        <w:tabs>
          <w:tab w:leader="none" w:pos="73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$15.7 million in pass-through revenue.</w:t>
      </w:r>
    </w:p>
    <w:p>
      <w:pPr>
        <w:spacing w:after="0" w:line="150" w:lineRule="exact"/>
        <w:rPr>
          <w:sz w:val="20"/>
          <w:szCs w:val="20"/>
          <w:color w:val="auto"/>
        </w:rPr>
      </w:pPr>
    </w:p>
    <w:p>
      <w:pPr>
        <w:ind w:left="10" w:right="60"/>
        <w:spacing w:after="0" w:line="278" w:lineRule="auto"/>
        <w:rPr>
          <w:sz w:val="20"/>
          <w:szCs w:val="20"/>
          <w:color w:val="auto"/>
        </w:rPr>
      </w:pPr>
      <w:r>
        <w:rPr>
          <w:rFonts w:ascii="Times New Roman" w:cs="Times New Roman" w:eastAsia="Times New Roman" w:hAnsi="Times New Roman"/>
          <w:sz w:val="19"/>
          <w:szCs w:val="19"/>
          <w:color w:val="231F20"/>
        </w:rPr>
        <w:t>Segment revenue growth included an increase of $44.8 million, attributable to the impact of foreign currency translation, which included, among others, positive impacts of $27.6 million related to fluctuations in Ghanaian Cedi, $9.3 million related to fluctuations in Ugandan Shilling, $6.8 million related to fluctuations in Kenyan Shilling and $4.4 million related to fluctuations in West African CFA Franc, partially offset by negative impacts of $7.0 million related to fluctuations in Nigerian Naira.</w:t>
      </w:r>
    </w:p>
    <w:p>
      <w:pPr>
        <w:spacing w:after="0" w:line="1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Europe property segment revenue growth of $103.0 million was attributable to:</w:t>
      </w:r>
    </w:p>
    <w:p>
      <w:pPr>
        <w:spacing w:after="0" w:line="30" w:lineRule="exact"/>
        <w:rPr>
          <w:sz w:val="20"/>
          <w:szCs w:val="20"/>
          <w:color w:val="auto"/>
        </w:rPr>
      </w:pPr>
    </w:p>
    <w:p>
      <w:pPr>
        <w:ind w:left="730" w:right="4580" w:hanging="370"/>
        <w:spacing w:after="0" w:line="260" w:lineRule="auto"/>
        <w:tabs>
          <w:tab w:leader="none" w:pos="730" w:val="left"/>
        </w:tabs>
        <w:numPr>
          <w:ilvl w:val="0"/>
          <w:numId w:val="3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Tenant billings growth of $39.8 million, which was driven by: ◦ $19.0 million due to colocations and amendments;</w:t>
      </w:r>
    </w:p>
    <w:p>
      <w:pPr>
        <w:sectPr>
          <w:pgSz w:w="11880" w:h="15480" w:orient="portrait"/>
          <w:cols w:equalWidth="0" w:num="1">
            <w:col w:w="10270"/>
          </w:cols>
          <w:pgMar w:left="810" w:top="386" w:right="800" w:bottom="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270"/>
          </w:cols>
          <w:pgMar w:left="810" w:top="386" w:right="800" w:bottom="0" w:gutter="0" w:footer="0" w:header="0"/>
          <w:type w:val="continuous"/>
        </w:sectPr>
      </w:pPr>
    </w:p>
    <w:bookmarkStart w:id="50" w:name="page51"/>
    <w:bookmarkEnd w:id="50"/>
    <w:p>
      <w:pPr>
        <w:ind w:left="1090" w:hanging="370"/>
        <w:spacing w:after="0"/>
        <w:tabs>
          <w:tab w:leader="none" w:pos="1090" w:val="left"/>
        </w:tabs>
        <w:numPr>
          <w:ilvl w:val="1"/>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$11.3 million resulting from contractual escalations, net of churn; and</w:t>
      </w:r>
    </w:p>
    <w:p>
      <w:pPr>
        <w:spacing w:after="0" w:line="30" w:lineRule="exact"/>
        <w:rPr>
          <w:rFonts w:ascii="Times New Roman" w:cs="Times New Roman" w:eastAsia="Times New Roman" w:hAnsi="Times New Roman"/>
          <w:sz w:val="20"/>
          <w:szCs w:val="20"/>
          <w:color w:val="231F20"/>
        </w:rPr>
      </w:pPr>
    </w:p>
    <w:p>
      <w:pPr>
        <w:ind w:left="1090" w:hanging="370"/>
        <w:spacing w:after="0"/>
        <w:tabs>
          <w:tab w:leader="none" w:pos="1090" w:val="left"/>
        </w:tabs>
        <w:numPr>
          <w:ilvl w:val="1"/>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$10.9 million generated from newly acquired or constructed sites;</w:t>
      </w:r>
    </w:p>
    <w:p>
      <w:pPr>
        <w:spacing w:after="0" w:line="10" w:lineRule="exact"/>
        <w:rPr>
          <w:rFonts w:ascii="Times New Roman" w:cs="Times New Roman" w:eastAsia="Times New Roman" w:hAnsi="Times New Roman"/>
          <w:sz w:val="20"/>
          <w:szCs w:val="20"/>
          <w:color w:val="231F20"/>
        </w:rPr>
      </w:pPr>
    </w:p>
    <w:p>
      <w:pPr>
        <w:ind w:left="1090" w:hanging="370"/>
        <w:spacing w:after="0"/>
        <w:tabs>
          <w:tab w:leader="none" w:pos="1090" w:val="left"/>
        </w:tabs>
        <w:numPr>
          <w:ilvl w:val="1"/>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Partially offset by a decrease of $1.4 million from other tenant billings;</w:t>
      </w:r>
    </w:p>
    <w:p>
      <w:pPr>
        <w:spacing w:after="0" w:line="10" w:lineRule="exact"/>
        <w:rPr>
          <w:rFonts w:ascii="Times New Roman" w:cs="Times New Roman" w:eastAsia="Times New Roman" w:hAnsi="Times New Roman"/>
          <w:sz w:val="20"/>
          <w:szCs w:val="20"/>
          <w:color w:val="231F20"/>
        </w:rPr>
      </w:pPr>
    </w:p>
    <w:p>
      <w:pPr>
        <w:ind w:left="730" w:hanging="370"/>
        <w:spacing w:after="0"/>
        <w:tabs>
          <w:tab w:leader="none" w:pos="73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$14.5 million in other revenue; and</w:t>
      </w:r>
    </w:p>
    <w:p>
      <w:pPr>
        <w:spacing w:after="0" w:line="10" w:lineRule="exact"/>
        <w:rPr>
          <w:rFonts w:ascii="Times New Roman" w:cs="Times New Roman" w:eastAsia="Times New Roman" w:hAnsi="Times New Roman"/>
          <w:sz w:val="20"/>
          <w:szCs w:val="20"/>
          <w:color w:val="231F20"/>
        </w:rPr>
      </w:pPr>
    </w:p>
    <w:p>
      <w:pPr>
        <w:ind w:left="730" w:hanging="370"/>
        <w:spacing w:after="0"/>
        <w:tabs>
          <w:tab w:leader="none" w:pos="730" w:val="left"/>
        </w:tabs>
        <w:numPr>
          <w:ilvl w:val="0"/>
          <w:numId w:val="3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$10.1 million in pass-through revenue, primarily attributable to an increase in energy costs.</w:t>
      </w:r>
    </w:p>
    <w:p>
      <w:pPr>
        <w:spacing w:after="0" w:line="150"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231F20"/>
        </w:rPr>
        <w:t>Segment revenue growth included an increase of $38.6 million attributable to the positive impact of foreign currency translation related to fluctuations in Euro (“EUR”).</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Latin America property segment revenue decrease of $75.3 million was attributable to:</w:t>
      </w:r>
    </w:p>
    <w:p>
      <w:pPr>
        <w:spacing w:after="0" w:line="30" w:lineRule="exact"/>
        <w:rPr>
          <w:sz w:val="20"/>
          <w:szCs w:val="20"/>
          <w:color w:val="auto"/>
        </w:rPr>
      </w:pPr>
    </w:p>
    <w:p>
      <w:pPr>
        <w:ind w:left="730" w:right="640" w:hanging="370"/>
        <w:spacing w:after="0" w:line="250" w:lineRule="auto"/>
        <w:tabs>
          <w:tab w:leader="none" w:pos="73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decrease of $71.6 million in other revenue, primarily attributable to an increase in revenue reserves related to customers in Brazil and Mexico and a decrease in tenant settlements in Brazil; and</w:t>
      </w:r>
    </w:p>
    <w:p>
      <w:pPr>
        <w:jc w:val="both"/>
        <w:ind w:left="730" w:right="180" w:hanging="370"/>
        <w:spacing w:after="0" w:line="263" w:lineRule="auto"/>
        <w:tabs>
          <w:tab w:leader="none" w:pos="730" w:val="left"/>
        </w:tabs>
        <w:numPr>
          <w:ilvl w:val="0"/>
          <w:numId w:val="3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decrease of $56.2 million, attributable to the impact of foreign currency translation, which included, among others, negative impacts of $32.2 million related to fluctuations in Brazilian Real and $29.1 million related to fluctuations in Mexican Peso, partially offset by positive impacts of $5.6 million related to fluctuations in Peruvian Sol;</w:t>
      </w:r>
    </w:p>
    <w:p>
      <w:pPr>
        <w:spacing w:after="0" w:line="1" w:lineRule="exact"/>
        <w:rPr>
          <w:rFonts w:ascii="Times New Roman" w:cs="Times New Roman" w:eastAsia="Times New Roman" w:hAnsi="Times New Roman"/>
          <w:sz w:val="19"/>
          <w:szCs w:val="19"/>
          <w:color w:val="231F20"/>
        </w:rPr>
      </w:pPr>
    </w:p>
    <w:p>
      <w:pPr>
        <w:ind w:left="730" w:hanging="370"/>
        <w:spacing w:after="0"/>
        <w:tabs>
          <w:tab w:leader="none" w:pos="73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Partially offset by:</w:t>
      </w:r>
    </w:p>
    <w:p>
      <w:pPr>
        <w:spacing w:after="0" w:line="10" w:lineRule="exact"/>
        <w:rPr>
          <w:rFonts w:ascii="Times New Roman" w:cs="Times New Roman" w:eastAsia="Times New Roman" w:hAnsi="Times New Roman"/>
          <w:sz w:val="20"/>
          <w:szCs w:val="20"/>
          <w:color w:val="231F20"/>
        </w:rPr>
      </w:pPr>
    </w:p>
    <w:p>
      <w:pPr>
        <w:ind w:left="1090" w:hanging="370"/>
        <w:spacing w:after="0"/>
        <w:tabs>
          <w:tab w:leader="none" w:pos="1090" w:val="left"/>
        </w:tabs>
        <w:numPr>
          <w:ilvl w:val="1"/>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Tenant billings growth of $36.5 million, which was driven by:</w:t>
      </w:r>
    </w:p>
    <w:p>
      <w:pPr>
        <w:spacing w:after="0" w:line="10" w:lineRule="exact"/>
        <w:rPr>
          <w:rFonts w:ascii="Times New Roman" w:cs="Times New Roman" w:eastAsia="Times New Roman" w:hAnsi="Times New Roman"/>
          <w:sz w:val="20"/>
          <w:szCs w:val="20"/>
          <w:color w:val="231F20"/>
        </w:rPr>
      </w:pPr>
    </w:p>
    <w:p>
      <w:pPr>
        <w:ind w:left="1810" w:hanging="370"/>
        <w:spacing w:after="0"/>
        <w:tabs>
          <w:tab w:leader="none" w:pos="1810" w:val="left"/>
        </w:tabs>
        <w:numPr>
          <w:ilvl w:val="2"/>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$26.8 million due to colocations and amendments;</w:t>
      </w:r>
    </w:p>
    <w:p>
      <w:pPr>
        <w:spacing w:after="0" w:line="10" w:lineRule="exact"/>
        <w:rPr>
          <w:rFonts w:ascii="Times New Roman" w:cs="Times New Roman" w:eastAsia="Times New Roman" w:hAnsi="Times New Roman"/>
          <w:sz w:val="20"/>
          <w:szCs w:val="20"/>
          <w:color w:val="231F20"/>
        </w:rPr>
      </w:pPr>
    </w:p>
    <w:p>
      <w:pPr>
        <w:ind w:left="1810" w:hanging="370"/>
        <w:spacing w:after="0"/>
        <w:tabs>
          <w:tab w:leader="none" w:pos="1810" w:val="left"/>
        </w:tabs>
        <w:numPr>
          <w:ilvl w:val="2"/>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$13.3 million from contractual escalations, net of churn; and</w:t>
      </w:r>
    </w:p>
    <w:p>
      <w:pPr>
        <w:spacing w:after="0" w:line="10" w:lineRule="exact"/>
        <w:rPr>
          <w:rFonts w:ascii="Times New Roman" w:cs="Times New Roman" w:eastAsia="Times New Roman" w:hAnsi="Times New Roman"/>
          <w:sz w:val="20"/>
          <w:szCs w:val="20"/>
          <w:color w:val="231F20"/>
        </w:rPr>
      </w:pPr>
    </w:p>
    <w:p>
      <w:pPr>
        <w:ind w:left="1810" w:hanging="370"/>
        <w:spacing w:after="0"/>
        <w:tabs>
          <w:tab w:leader="none" w:pos="1810" w:val="left"/>
        </w:tabs>
        <w:numPr>
          <w:ilvl w:val="2"/>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$0.7 million generated from newly acquired or constructed sites;</w:t>
      </w:r>
    </w:p>
    <w:p>
      <w:pPr>
        <w:spacing w:after="0" w:line="10" w:lineRule="exact"/>
        <w:rPr>
          <w:rFonts w:ascii="Times New Roman" w:cs="Times New Roman" w:eastAsia="Times New Roman" w:hAnsi="Times New Roman"/>
          <w:sz w:val="20"/>
          <w:szCs w:val="20"/>
          <w:color w:val="231F20"/>
        </w:rPr>
      </w:pPr>
    </w:p>
    <w:p>
      <w:pPr>
        <w:ind w:left="1810" w:hanging="370"/>
        <w:spacing w:after="0"/>
        <w:tabs>
          <w:tab w:leader="none" w:pos="1810" w:val="left"/>
        </w:tabs>
        <w:numPr>
          <w:ilvl w:val="2"/>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Partially offset by a decrease of $4.3 million from other tenant billings; and</w:t>
      </w:r>
    </w:p>
    <w:p>
      <w:pPr>
        <w:spacing w:after="0" w:line="10" w:lineRule="exact"/>
        <w:rPr>
          <w:rFonts w:ascii="Times New Roman" w:cs="Times New Roman" w:eastAsia="Times New Roman" w:hAnsi="Times New Roman"/>
          <w:sz w:val="20"/>
          <w:szCs w:val="20"/>
          <w:color w:val="231F20"/>
        </w:rPr>
      </w:pPr>
    </w:p>
    <w:p>
      <w:pPr>
        <w:ind w:left="1090" w:hanging="370"/>
        <w:spacing w:after="0"/>
        <w:tabs>
          <w:tab w:leader="none" w:pos="1090" w:val="left"/>
        </w:tabs>
        <w:numPr>
          <w:ilvl w:val="1"/>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$16.0 million in pass-through revenue.</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Data Centers segment revenue growth of $128.3 million was attributable to:</w:t>
      </w:r>
    </w:p>
    <w:p>
      <w:pPr>
        <w:spacing w:after="0" w:line="30" w:lineRule="exact"/>
        <w:rPr>
          <w:sz w:val="20"/>
          <w:szCs w:val="20"/>
          <w:color w:val="auto"/>
        </w:rPr>
      </w:pPr>
    </w:p>
    <w:p>
      <w:pPr>
        <w:ind w:left="730" w:right="760" w:hanging="370"/>
        <w:spacing w:after="0" w:line="250" w:lineRule="auto"/>
        <w:tabs>
          <w:tab w:leader="none" w:pos="73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$74.5 million in rental, related and other revenue, primarily due to new lease commencements, customer expansions and rent increases upon customer renewals;</w:t>
      </w:r>
    </w:p>
    <w:p>
      <w:pPr>
        <w:ind w:left="730" w:right="340" w:hanging="370"/>
        <w:spacing w:after="0" w:line="250" w:lineRule="auto"/>
        <w:tabs>
          <w:tab w:leader="none" w:pos="73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$36.8 million in power revenue from new lease commencements, increased power consumption and pricing increases from existing customers;</w:t>
      </w:r>
    </w:p>
    <w:p>
      <w:pPr>
        <w:ind w:left="730" w:right="200" w:hanging="370"/>
        <w:spacing w:after="0" w:line="250" w:lineRule="auto"/>
        <w:tabs>
          <w:tab w:leader="none" w:pos="73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$16.2 million in interconnection revenue, primarily due to customer interconnection net additions and set-up fees; and</w:t>
      </w:r>
    </w:p>
    <w:p>
      <w:pPr>
        <w:ind w:left="730" w:hanging="370"/>
        <w:spacing w:after="0"/>
        <w:tabs>
          <w:tab w:leader="none" w:pos="730"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of $0.8 million in straight-line revenue.</w:t>
      </w:r>
    </w:p>
    <w:p>
      <w:pPr>
        <w:spacing w:after="0" w:line="150" w:lineRule="exact"/>
        <w:rPr>
          <w:sz w:val="20"/>
          <w:szCs w:val="20"/>
          <w:color w:val="auto"/>
        </w:rPr>
      </w:pPr>
    </w:p>
    <w:p>
      <w:pPr>
        <w:ind w:left="10" w:right="720"/>
        <w:spacing w:after="0" w:line="281" w:lineRule="auto"/>
        <w:rPr>
          <w:sz w:val="20"/>
          <w:szCs w:val="20"/>
          <w:color w:val="auto"/>
        </w:rPr>
      </w:pPr>
      <w:r>
        <w:rPr>
          <w:rFonts w:ascii="Times New Roman" w:cs="Times New Roman" w:eastAsia="Times New Roman" w:hAnsi="Times New Roman"/>
          <w:sz w:val="20"/>
          <w:szCs w:val="20"/>
          <w:color w:val="231F20"/>
        </w:rPr>
        <w:t>Services segment revenue growth of $145.9 million was primarily attributable to increases in construction management services, site application, zoning and permitting services and structural and mount analyses services.</w:t>
      </w:r>
    </w:p>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Gross Margin</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2220" w:type="dxa"/>
            <w:vAlign w:val="bottom"/>
            <w:tcBorders>
              <w:bottom w:val="single" w:sz="8" w:color="231F20"/>
            </w:tcBorders>
            <w:gridSpan w:val="5"/>
            <w:vMerge w:val="continue"/>
          </w:tcPr>
          <w:p>
            <w:pPr>
              <w:spacing w:after="0"/>
              <w:rPr>
                <w:sz w:val="10"/>
                <w:szCs w:val="10"/>
                <w:color w:val="auto"/>
              </w:rPr>
            </w:pPr>
          </w:p>
        </w:tc>
        <w:tc>
          <w:tcPr>
            <w:tcW w:w="11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E3E4E5"/>
            </w:tcBorders>
            <w:shd w:val="clear" w:color="auto" w:fill="E3E4E5"/>
          </w:tcPr>
          <w:p>
            <w:pPr>
              <w:jc w:val="right"/>
              <w:ind w:right="5860"/>
              <w:spacing w:after="0"/>
              <w:rPr>
                <w:sz w:val="20"/>
                <w:szCs w:val="20"/>
                <w:color w:val="auto"/>
              </w:rPr>
            </w:pPr>
            <w:r>
              <w:rPr>
                <w:rFonts w:ascii="Times New Roman" w:cs="Times New Roman" w:eastAsia="Times New Roman" w:hAnsi="Times New Roman"/>
                <w:sz w:val="20"/>
                <w:szCs w:val="20"/>
                <w:color w:val="231F20"/>
              </w:rPr>
              <w:t>Property</w:t>
            </w:r>
          </w:p>
        </w:tc>
        <w:tc>
          <w:tcPr>
            <w:tcW w:w="240" w:type="dxa"/>
            <w:vAlign w:val="bottom"/>
            <w:tcBorders>
              <w:bottom w:val="single" w:sz="8" w:color="E3E4E5"/>
            </w:tcBorders>
            <w:shd w:val="clear" w:color="auto" w:fill="E3E4E5"/>
          </w:tcPr>
          <w:p>
            <w:pPr>
              <w:spacing w:after="0"/>
              <w:rPr>
                <w:sz w:val="23"/>
                <w:szCs w:val="23"/>
                <w:color w:val="auto"/>
              </w:rPr>
            </w:pPr>
          </w:p>
        </w:tc>
        <w:tc>
          <w:tcPr>
            <w:tcW w:w="92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300" w:type="dxa"/>
            <w:vAlign w:val="bottom"/>
            <w:tcBorders>
              <w:bottom w:val="single" w:sz="8" w:color="E3E4E5"/>
            </w:tcBorders>
            <w:shd w:val="clear" w:color="auto" w:fill="E3E4E5"/>
          </w:tcPr>
          <w:p>
            <w:pPr>
              <w:spacing w:after="0"/>
              <w:rPr>
                <w:sz w:val="23"/>
                <w:szCs w:val="23"/>
                <w:color w:val="auto"/>
              </w:rPr>
            </w:pPr>
          </w:p>
        </w:tc>
        <w:tc>
          <w:tcPr>
            <w:tcW w:w="860" w:type="dxa"/>
            <w:vAlign w:val="bottom"/>
            <w:tcBorders>
              <w:bottom w:val="single" w:sz="8" w:color="E3E4E5"/>
            </w:tcBorders>
            <w:shd w:val="clear" w:color="auto" w:fill="E3E4E5"/>
          </w:tcPr>
          <w:p>
            <w:pPr>
              <w:spacing w:after="0"/>
              <w:rPr>
                <w:sz w:val="23"/>
                <w:szCs w:val="23"/>
                <w:color w:val="auto"/>
              </w:rPr>
            </w:pPr>
          </w:p>
        </w:tc>
        <w:tc>
          <w:tcPr>
            <w:tcW w:w="80" w:type="dxa"/>
            <w:vAlign w:val="bottom"/>
            <w:tcBorders>
              <w:bottom w:val="single" w:sz="8" w:color="E3E4E5"/>
            </w:tcBorders>
            <w:shd w:val="clear" w:color="auto" w:fill="E3E4E5"/>
          </w:tcPr>
          <w:p>
            <w:pPr>
              <w:spacing w:after="0"/>
              <w:rPr>
                <w:sz w:val="23"/>
                <w:szCs w:val="23"/>
                <w:color w:val="auto"/>
              </w:rPr>
            </w:pPr>
          </w:p>
        </w:tc>
        <w:tc>
          <w:tcPr>
            <w:tcW w:w="1100" w:type="dxa"/>
            <w:vAlign w:val="bottom"/>
            <w:tcBorders>
              <w:bottom w:val="single" w:sz="8" w:color="E3E4E5"/>
            </w:tcBorders>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 &amp; Canada </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4,378.7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4,377.2</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0 %</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Africa &amp; APAC (1)</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976.4</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827.5</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66"/>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93"/>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Europe</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593.5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525.3</w:t>
            </w:r>
          </w:p>
        </w:tc>
        <w:tc>
          <w:tcPr>
            <w:tcW w:w="80" w:type="dxa"/>
            <w:vAlign w:val="bottom"/>
          </w:tcPr>
          <w:p>
            <w:pPr>
              <w:spacing w:after="0"/>
              <w:rPr>
                <w:sz w:val="24"/>
                <w:szCs w:val="24"/>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307"/>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Latin America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1,131.6</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1,187.7</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6"/>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90"/>
        </w:trPr>
        <w:tc>
          <w:tcPr>
            <w:tcW w:w="67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Data Centers</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650.7</w:t>
            </w:r>
          </w:p>
        </w:tc>
        <w:tc>
          <w:tcPr>
            <w:tcW w:w="6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534.0</w:t>
            </w:r>
          </w:p>
        </w:tc>
        <w:tc>
          <w:tcPr>
            <w:tcW w:w="80" w:type="dxa"/>
            <w:vAlign w:val="bottom"/>
            <w:tcBorders>
              <w:bottom w:val="single" w:sz="8" w:color="E3E4E5"/>
            </w:tcBorders>
          </w:tcPr>
          <w:p>
            <w:pPr>
              <w:spacing w:after="0"/>
              <w:rPr>
                <w:sz w:val="24"/>
                <w:szCs w:val="24"/>
                <w:color w:val="auto"/>
              </w:rPr>
            </w:pPr>
          </w:p>
        </w:tc>
        <w:tc>
          <w:tcPr>
            <w:tcW w:w="1100" w:type="dxa"/>
            <w:vAlign w:val="bottom"/>
            <w:tcBorders>
              <w:bottom w:val="single" w:sz="8" w:color="E3E4E5"/>
            </w:tcBorders>
          </w:tcPr>
          <w:p>
            <w:pPr>
              <w:jc w:val="right"/>
              <w:ind w:right="166"/>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property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7,730.9</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7,451.7</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66"/>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87"/>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Services </w:t>
            </w:r>
            <w:r>
              <w:rPr>
                <w:rFonts w:ascii="Times New Roman" w:cs="Times New Roman" w:eastAsia="Times New Roman" w:hAnsi="Times New Roman"/>
                <w:sz w:val="20"/>
                <w:szCs w:val="20"/>
                <w:color w:val="BABCBE"/>
                <w:w w:val="99"/>
              </w:rPr>
              <w:t>......................................................................................................................</w:t>
            </w:r>
          </w:p>
        </w:tc>
        <w:tc>
          <w:tcPr>
            <w:tcW w:w="24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165.6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101.1</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-1527810</wp:posOffset>
            </wp:positionV>
            <wp:extent cx="228282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282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-384810</wp:posOffset>
            </wp:positionV>
            <wp:extent cx="153987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Year ended December 31, 2025</w:t>
      </w:r>
    </w:p>
    <w:p>
      <w:pPr>
        <w:spacing w:after="0" w:line="174" w:lineRule="exact"/>
        <w:rPr>
          <w:sz w:val="20"/>
          <w:szCs w:val="20"/>
          <w:color w:val="auto"/>
        </w:rPr>
      </w:pPr>
    </w:p>
    <w:p>
      <w:pPr>
        <w:ind w:left="730" w:hanging="370"/>
        <w:spacing w:after="0"/>
        <w:tabs>
          <w:tab w:leader="none" w:pos="73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U.S. &amp; Canada property segment gross margin was relatively consistent as compared to the prior-year period.</w:t>
      </w:r>
    </w:p>
    <w:p>
      <w:pPr>
        <w:spacing w:after="0" w:line="170" w:lineRule="exact"/>
        <w:rPr>
          <w:rFonts w:ascii="Times New Roman" w:cs="Times New Roman" w:eastAsia="Times New Roman" w:hAnsi="Times New Roman"/>
          <w:sz w:val="20"/>
          <w:szCs w:val="20"/>
          <w:color w:val="231F20"/>
        </w:rPr>
      </w:pPr>
    </w:p>
    <w:p>
      <w:pPr>
        <w:ind w:left="730" w:right="120" w:hanging="370"/>
        <w:spacing w:after="0" w:line="258" w:lineRule="auto"/>
        <w:tabs>
          <w:tab w:leader="none" w:pos="730"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Africa &amp; APAC property segment gross margin was primarily attributable to the increase in revenue described above, partially offset by an increase in direct expenses of $48.5 million, primarily due to an increase in costs associated with pass-through revenue, including fuel and utility costs, and an increase in repair and maintenance spending. Direct expenses were also negatively impacted by $17.5 million from the impact of foreign currency translation.</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270"/>
          </w:cols>
          <w:pgMar w:left="810" w:top="393" w:right="800" w:bottom="0" w:gutter="0" w:footer="0" w:header="0"/>
          <w:type w:val="continuous"/>
        </w:sectPr>
      </w:pPr>
    </w:p>
    <w:bookmarkStart w:id="51" w:name="page52"/>
    <w:bookmarkEnd w:id="51"/>
    <w:p>
      <w:pPr>
        <w:ind w:left="730" w:right="140" w:hanging="370"/>
        <w:spacing w:after="0" w:line="260" w:lineRule="auto"/>
        <w:tabs>
          <w:tab w:leader="none" w:pos="73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Europe property segment gross margin was primarily attributable to the increase in revenue described above, partially offset by an increase in direct expenses of $20.4 million, primarily due to an increase in costs associated with pass-through revenue, including energy costs and an increase in land rent costs. Direct expenses were also negatively impacted by $14.4 million from the impact of foreign currency translation.</w:t>
      </w:r>
    </w:p>
    <w:p>
      <w:pPr>
        <w:spacing w:after="0" w:line="123" w:lineRule="exact"/>
        <w:rPr>
          <w:rFonts w:ascii="Times New Roman" w:cs="Times New Roman" w:eastAsia="Times New Roman" w:hAnsi="Times New Roman"/>
          <w:sz w:val="20"/>
          <w:szCs w:val="20"/>
          <w:color w:val="231F20"/>
        </w:rPr>
      </w:pPr>
    </w:p>
    <w:p>
      <w:pPr>
        <w:jc w:val="both"/>
        <w:ind w:left="730" w:right="320" w:hanging="370"/>
        <w:spacing w:after="0" w:line="266" w:lineRule="auto"/>
        <w:tabs>
          <w:tab w:leader="none" w:pos="73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in Latin America property segment gross margin was primarily attributable to the decrease in revenue described above, partially offset by a decrease in direct expenses of $4.1 million. Direct expenses also benefited by $15.1 million from the impact of foreign currency translation.</w:t>
      </w:r>
    </w:p>
    <w:p>
      <w:pPr>
        <w:spacing w:after="0" w:line="115" w:lineRule="exact"/>
        <w:rPr>
          <w:rFonts w:ascii="Times New Roman" w:cs="Times New Roman" w:eastAsia="Times New Roman" w:hAnsi="Times New Roman"/>
          <w:sz w:val="20"/>
          <w:szCs w:val="20"/>
          <w:color w:val="231F20"/>
        </w:rPr>
      </w:pPr>
    </w:p>
    <w:p>
      <w:pPr>
        <w:ind w:left="730" w:right="320" w:hanging="370"/>
        <w:spacing w:after="0" w:line="256" w:lineRule="auto"/>
        <w:tabs>
          <w:tab w:leader="none" w:pos="73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Data Centers segment gross margin was primarily attributable to the increase in revenue described above, partially offset by an increase in direct expenses of $11.6 million, primarily due to an increase in costs associated with power revenue, including utility costs, partially offset by a decrease in property taxes primarily as a result of a one-time benefit of $26.0 million due to final resolution of revised real property valuations related to the CoreSite Acquisition. Direct expenses also benefited by a legal settlement and resolution of a utility back billing matter.</w:t>
      </w:r>
    </w:p>
    <w:p>
      <w:pPr>
        <w:spacing w:after="0" w:line="128" w:lineRule="exact"/>
        <w:rPr>
          <w:rFonts w:ascii="Times New Roman" w:cs="Times New Roman" w:eastAsia="Times New Roman" w:hAnsi="Times New Roman"/>
          <w:sz w:val="20"/>
          <w:szCs w:val="20"/>
          <w:color w:val="231F20"/>
        </w:rPr>
      </w:pPr>
    </w:p>
    <w:p>
      <w:pPr>
        <w:ind w:left="730" w:right="200" w:hanging="370"/>
        <w:spacing w:after="0" w:line="281" w:lineRule="auto"/>
        <w:tabs>
          <w:tab w:leader="none" w:pos="730" w:val="left"/>
        </w:tabs>
        <w:numPr>
          <w:ilvl w:val="0"/>
          <w:numId w:val="3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Services segment gross margin was primarily attributable to the increase in revenue described above, partially offset by an increase in direct expenses of $81.4 million.</w:t>
      </w:r>
    </w:p>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Selling, General, Administrative and Development Expense (“SG&amp;A”)</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00" w:type="dxa"/>
            <w:vAlign w:val="bottom"/>
          </w:tcPr>
          <w:p>
            <w:pPr>
              <w:jc w:val="center"/>
              <w:ind w:left="85"/>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2220" w:type="dxa"/>
            <w:vAlign w:val="bottom"/>
            <w:tcBorders>
              <w:bottom w:val="single" w:sz="8" w:color="231F20"/>
            </w:tcBorders>
            <w:gridSpan w:val="5"/>
            <w:vMerge w:val="continue"/>
          </w:tcPr>
          <w:p>
            <w:pPr>
              <w:spacing w:after="0"/>
              <w:rPr>
                <w:sz w:val="10"/>
                <w:szCs w:val="10"/>
                <w:color w:val="auto"/>
              </w:rPr>
            </w:pPr>
          </w:p>
        </w:tc>
        <w:tc>
          <w:tcPr>
            <w:tcW w:w="11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900" w:type="dxa"/>
            <w:vAlign w:val="bottom"/>
            <w:tcBorders>
              <w:bottom w:val="single" w:sz="8" w:color="231F20"/>
            </w:tcBorders>
          </w:tcPr>
          <w:p>
            <w:pPr>
              <w:jc w:val="center"/>
              <w:ind w:left="105"/>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20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700" w:type="dxa"/>
            <w:vAlign w:val="bottom"/>
            <w:shd w:val="clear" w:color="auto" w:fill="E3E4E5"/>
          </w:tcPr>
          <w:p>
            <w:pPr>
              <w:jc w:val="right"/>
              <w:ind w:right="5860"/>
              <w:spacing w:after="0"/>
              <w:rPr>
                <w:sz w:val="20"/>
                <w:szCs w:val="20"/>
                <w:color w:val="auto"/>
              </w:rPr>
            </w:pPr>
            <w:r>
              <w:rPr>
                <w:rFonts w:ascii="Times New Roman" w:cs="Times New Roman" w:eastAsia="Times New Roman" w:hAnsi="Times New Roman"/>
                <w:sz w:val="20"/>
                <w:szCs w:val="20"/>
                <w:color w:val="231F20"/>
              </w:rPr>
              <w:t>Property</w:t>
            </w:r>
          </w:p>
        </w:tc>
        <w:tc>
          <w:tcPr>
            <w:tcW w:w="240" w:type="dxa"/>
            <w:vAlign w:val="bottom"/>
            <w:shd w:val="clear" w:color="auto" w:fill="E3E4E5"/>
          </w:tcPr>
          <w:p>
            <w:pPr>
              <w:spacing w:after="0"/>
              <w:rPr>
                <w:sz w:val="23"/>
                <w:szCs w:val="23"/>
                <w:color w:val="auto"/>
              </w:rPr>
            </w:pPr>
          </w:p>
        </w:tc>
        <w:tc>
          <w:tcPr>
            <w:tcW w:w="9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900" w:type="dxa"/>
            <w:vAlign w:val="bottom"/>
            <w:shd w:val="clear" w:color="auto" w:fill="E3E4E5"/>
          </w:tcPr>
          <w:p>
            <w:pPr>
              <w:spacing w:after="0"/>
              <w:rPr>
                <w:sz w:val="23"/>
                <w:szCs w:val="23"/>
                <w:color w:val="auto"/>
              </w:rPr>
            </w:pPr>
          </w:p>
        </w:tc>
        <w:tc>
          <w:tcPr>
            <w:tcW w:w="20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 &amp; Canada </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166.6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161.1</w:t>
            </w:r>
          </w:p>
        </w:tc>
        <w:tc>
          <w:tcPr>
            <w:tcW w:w="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3 %</w:t>
            </w:r>
          </w:p>
        </w:tc>
        <w:tc>
          <w:tcPr>
            <w:tcW w:w="0" w:type="dxa"/>
            <w:vAlign w:val="bottom"/>
          </w:tcPr>
          <w:p>
            <w:pPr>
              <w:spacing w:after="0"/>
              <w:rPr>
                <w:sz w:val="1"/>
                <w:szCs w:val="1"/>
                <w:color w:val="auto"/>
              </w:rPr>
            </w:pPr>
          </w:p>
        </w:tc>
      </w:tr>
      <w:tr>
        <w:trPr>
          <w:trHeight w:val="291"/>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Africa &amp; APAC (1)</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76.1</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68.0</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20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Europe</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69.6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Latin America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102.6</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111.0</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0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Data Centers</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88.5</w:t>
            </w:r>
          </w:p>
        </w:tc>
        <w:tc>
          <w:tcPr>
            <w:tcW w:w="6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80" w:type="dxa"/>
            <w:vAlign w:val="bottom"/>
            <w:tcBorders>
              <w:bottom w:val="single" w:sz="8" w:color="E3E4E5"/>
            </w:tcBorders>
          </w:tcPr>
          <w:p>
            <w:pPr>
              <w:spacing w:after="0"/>
              <w:rPr>
                <w:sz w:val="23"/>
                <w:szCs w:val="23"/>
                <w:color w:val="auto"/>
              </w:rPr>
            </w:pPr>
          </w:p>
        </w:tc>
        <w:tc>
          <w:tcPr>
            <w:tcW w:w="9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200" w:type="dxa"/>
            <w:vAlign w:val="bottom"/>
            <w:tcBorders>
              <w:bottom w:val="single" w:sz="8" w:color="E3E4E5"/>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property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3"/>
                <w:szCs w:val="23"/>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503.4</w:t>
            </w:r>
          </w:p>
        </w:tc>
        <w:tc>
          <w:tcPr>
            <w:tcW w:w="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483.7</w:t>
            </w:r>
          </w:p>
        </w:tc>
        <w:tc>
          <w:tcPr>
            <w:tcW w:w="80" w:type="dxa"/>
            <w:vAlign w:val="bottom"/>
            <w:shd w:val="clear" w:color="auto" w:fill="E3E4E5"/>
          </w:tcPr>
          <w:p>
            <w:pPr>
              <w:spacing w:after="0"/>
              <w:rPr>
                <w:sz w:val="23"/>
                <w:szCs w:val="23"/>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0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Services </w:t>
            </w:r>
            <w:r>
              <w:rPr>
                <w:rFonts w:ascii="Times New Roman" w:cs="Times New Roman" w:eastAsia="Times New Roman" w:hAnsi="Times New Roman"/>
                <w:sz w:val="20"/>
                <w:szCs w:val="20"/>
                <w:color w:val="BABCBE"/>
                <w:w w:val="99"/>
              </w:rPr>
              <w:t>......................................................................................................................</w:t>
            </w:r>
          </w:p>
        </w:tc>
        <w:tc>
          <w:tcPr>
            <w:tcW w:w="24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409.9</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428.7</w:t>
            </w:r>
          </w:p>
        </w:tc>
        <w:tc>
          <w:tcPr>
            <w:tcW w:w="80" w:type="dxa"/>
            <w:vAlign w:val="bottom"/>
            <w:tcBorders>
              <w:bottom w:val="single" w:sz="8" w:color="E3E4E5"/>
            </w:tcBorders>
            <w:shd w:val="clear" w:color="auto" w:fill="E3E4E5"/>
          </w:tcPr>
          <w:p>
            <w:pPr>
              <w:spacing w:after="0"/>
              <w:rPr>
                <w:sz w:val="24"/>
                <w:szCs w:val="24"/>
                <w:color w:val="auto"/>
              </w:rPr>
            </w:pPr>
          </w:p>
        </w:tc>
        <w:tc>
          <w:tcPr>
            <w:tcW w:w="9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0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selling, general, administrative and development expense </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940.7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933.4</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-1823085</wp:posOffset>
            </wp:positionV>
            <wp:extent cx="228282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282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-737235</wp:posOffset>
            </wp:positionV>
            <wp:extent cx="153987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-194310</wp:posOffset>
            </wp:positionV>
            <wp:extent cx="153987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Year Ended December 31, 2025</w:t>
      </w:r>
    </w:p>
    <w:p>
      <w:pPr>
        <w:spacing w:after="0" w:line="174" w:lineRule="exact"/>
        <w:rPr>
          <w:sz w:val="20"/>
          <w:szCs w:val="20"/>
          <w:color w:val="auto"/>
        </w:rPr>
      </w:pPr>
    </w:p>
    <w:p>
      <w:pPr>
        <w:ind w:left="730" w:right="180" w:hanging="370"/>
        <w:spacing w:after="0" w:line="266" w:lineRule="auto"/>
        <w:tabs>
          <w:tab w:leader="none" w:pos="730" w:val="left"/>
        </w:tabs>
        <w:numPr>
          <w:ilvl w:val="0"/>
          <w:numId w:val="39"/>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The increase in our U.S. &amp; Canada property segment SG&amp;A was primarily driven by increased personnel and related costs to support our business, increased canceled construction costs and a net increase in bad debt expense, partially offset by decreased professional services costs.</w:t>
      </w:r>
    </w:p>
    <w:p>
      <w:pPr>
        <w:spacing w:after="0" w:line="115" w:lineRule="exact"/>
        <w:rPr>
          <w:rFonts w:ascii="Times New Roman" w:cs="Times New Roman" w:eastAsia="Times New Roman" w:hAnsi="Times New Roman"/>
          <w:sz w:val="20"/>
          <w:szCs w:val="20"/>
          <w:i w:val="1"/>
          <w:iCs w:val="1"/>
          <w:color w:val="231F20"/>
        </w:rPr>
      </w:pPr>
    </w:p>
    <w:p>
      <w:pPr>
        <w:ind w:left="730" w:right="520" w:hanging="370"/>
        <w:spacing w:after="0" w:line="266" w:lineRule="auto"/>
        <w:tabs>
          <w:tab w:leader="none" w:pos="730" w:val="left"/>
        </w:tabs>
        <w:numPr>
          <w:ilvl w:val="0"/>
          <w:numId w:val="39"/>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The increase in our Africa &amp; APAC property segment SG&amp;A was primarily driven by increased local tax and professional services costs and increased canceled construction costs, partially offset by decreased personnel and related costs.</w:t>
      </w:r>
    </w:p>
    <w:p>
      <w:pPr>
        <w:spacing w:after="0" w:line="115" w:lineRule="exact"/>
        <w:rPr>
          <w:rFonts w:ascii="Times New Roman" w:cs="Times New Roman" w:eastAsia="Times New Roman" w:hAnsi="Times New Roman"/>
          <w:sz w:val="20"/>
          <w:szCs w:val="20"/>
          <w:i w:val="1"/>
          <w:iCs w:val="1"/>
          <w:color w:val="231F20"/>
        </w:rPr>
      </w:pPr>
    </w:p>
    <w:p>
      <w:pPr>
        <w:ind w:left="730" w:right="340" w:hanging="370"/>
        <w:spacing w:after="0" w:line="309" w:lineRule="auto"/>
        <w:tabs>
          <w:tab w:leader="none" w:pos="730" w:val="left"/>
        </w:tabs>
        <w:numPr>
          <w:ilvl w:val="0"/>
          <w:numId w:val="39"/>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color w:val="231F20"/>
        </w:rPr>
        <w:t>The increase in our Europe property segment SG&amp;A was primarily driven by increased canceled construction costs and the negative impact of foreign currency translation, partially offset by decreased professional services costs.</w:t>
      </w:r>
    </w:p>
    <w:p>
      <w:pPr>
        <w:spacing w:after="0" w:line="77" w:lineRule="exact"/>
        <w:rPr>
          <w:rFonts w:ascii="Times New Roman" w:cs="Times New Roman" w:eastAsia="Times New Roman" w:hAnsi="Times New Roman"/>
          <w:sz w:val="19"/>
          <w:szCs w:val="19"/>
          <w:i w:val="1"/>
          <w:iCs w:val="1"/>
          <w:color w:val="231F20"/>
        </w:rPr>
      </w:pPr>
    </w:p>
    <w:p>
      <w:pPr>
        <w:ind w:left="730" w:right="260" w:hanging="370"/>
        <w:spacing w:after="0" w:line="260" w:lineRule="auto"/>
        <w:tabs>
          <w:tab w:leader="none" w:pos="730" w:val="left"/>
        </w:tabs>
        <w:numPr>
          <w:ilvl w:val="0"/>
          <w:numId w:val="39"/>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The decrease in our Latin America property segment SG&amp;A was primarily driven by a net decrease in bad debt expense of $7.1 million, decreased personnel and related costs, lower canceled construction costs and a benefit from the impact of foreign currency translation, partially offset by increased local tax and professional services costs, including legal fees in Mexico.</w:t>
      </w:r>
    </w:p>
    <w:p>
      <w:pPr>
        <w:spacing w:after="0" w:line="123" w:lineRule="exact"/>
        <w:rPr>
          <w:rFonts w:ascii="Times New Roman" w:cs="Times New Roman" w:eastAsia="Times New Roman" w:hAnsi="Times New Roman"/>
          <w:sz w:val="20"/>
          <w:szCs w:val="20"/>
          <w:i w:val="1"/>
          <w:iCs w:val="1"/>
          <w:color w:val="231F20"/>
        </w:rPr>
      </w:pPr>
    </w:p>
    <w:p>
      <w:pPr>
        <w:ind w:left="730" w:right="420" w:hanging="370"/>
        <w:spacing w:after="0" w:line="281" w:lineRule="auto"/>
        <w:tabs>
          <w:tab w:leader="none" w:pos="730" w:val="left"/>
        </w:tabs>
        <w:numPr>
          <w:ilvl w:val="0"/>
          <w:numId w:val="3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 in our Data Centers segment SG&amp;A was primarily driven by increased personnel and related costs to support our business, partially offset by a legal settlement in the period.</w:t>
      </w:r>
    </w:p>
    <w:p>
      <w:pPr>
        <w:spacing w:after="0" w:line="101" w:lineRule="exact"/>
        <w:rPr>
          <w:rFonts w:ascii="Times New Roman" w:cs="Times New Roman" w:eastAsia="Times New Roman" w:hAnsi="Times New Roman"/>
          <w:sz w:val="20"/>
          <w:szCs w:val="20"/>
          <w:color w:val="231F20"/>
        </w:rPr>
      </w:pPr>
    </w:p>
    <w:p>
      <w:pPr>
        <w:ind w:left="730" w:right="140" w:hanging="370"/>
        <w:spacing w:after="0" w:line="281" w:lineRule="auto"/>
        <w:tabs>
          <w:tab w:leader="none" w:pos="730" w:val="left"/>
        </w:tabs>
        <w:numPr>
          <w:ilvl w:val="0"/>
          <w:numId w:val="39"/>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The increase in our Services segment SG&amp;A was primarily driven by increased personnel and related costs to support our business.</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270"/>
          </w:cols>
          <w:pgMar w:left="810" w:top="393" w:right="800" w:bottom="0" w:gutter="0" w:footer="0" w:header="0"/>
          <w:type w:val="continuous"/>
        </w:sectPr>
      </w:pPr>
    </w:p>
    <w:bookmarkStart w:id="52" w:name="page53"/>
    <w:bookmarkEnd w:id="52"/>
    <w:p>
      <w:pPr>
        <w:ind w:left="730" w:hanging="370"/>
        <w:spacing w:after="0"/>
        <w:tabs>
          <w:tab w:leader="none" w:pos="730" w:val="left"/>
        </w:tabs>
        <w:numPr>
          <w:ilvl w:val="0"/>
          <w:numId w:val="4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in other SG&amp;A was primarily attributable to a decrease in stock-based compensation expense of</w:t>
      </w:r>
    </w:p>
    <w:p>
      <w:pPr>
        <w:spacing w:after="0" w:line="30" w:lineRule="exact"/>
        <w:rPr>
          <w:rFonts w:ascii="Times New Roman" w:cs="Times New Roman" w:eastAsia="Times New Roman" w:hAnsi="Times New Roman"/>
          <w:sz w:val="20"/>
          <w:szCs w:val="20"/>
          <w:color w:val="231F20"/>
        </w:rPr>
      </w:pPr>
    </w:p>
    <w:p>
      <w:pPr>
        <w:ind w:left="730" w:right="80"/>
        <w:spacing w:after="0" w:line="253"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$18.5 million, primarily driven by the reversal of previously recognized stock-based compensation expense associated with awards forfeited in connection with the departure of our Executive Vice President and President, APAC due to such role being eliminated, as discussed in note 12 to our consolidated financial statements included in this Annual Report, and a decrease in other corporate SG&amp;A, partially offset by an increase in personnel and related costs to support our business.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Operating Profit</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00" w:type="dxa"/>
            <w:vAlign w:val="bottom"/>
          </w:tcPr>
          <w:p>
            <w:pPr>
              <w:jc w:val="center"/>
              <w:ind w:left="86"/>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6700" w:type="dxa"/>
            <w:vAlign w:val="bottom"/>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920" w:type="dxa"/>
            <w:vAlign w:val="bottom"/>
            <w:tcBorders>
              <w:bottom w:val="single" w:sz="8" w:color="231F20"/>
            </w:tcBorders>
          </w:tcPr>
          <w:p>
            <w:pPr>
              <w:spacing w:after="0"/>
              <w:rPr>
                <w:sz w:val="6"/>
                <w:szCs w:val="6"/>
                <w:color w:val="auto"/>
              </w:rPr>
            </w:pPr>
          </w:p>
        </w:tc>
        <w:tc>
          <w:tcPr>
            <w:tcW w:w="60" w:type="dxa"/>
            <w:vAlign w:val="bottom"/>
            <w:tcBorders>
              <w:bottom w:val="single" w:sz="8" w:color="231F20"/>
            </w:tcBorders>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860" w:type="dxa"/>
            <w:vAlign w:val="bottom"/>
            <w:tcBorders>
              <w:bottom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1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66"/>
        </w:trPr>
        <w:tc>
          <w:tcPr>
            <w:tcW w:w="6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900" w:type="dxa"/>
            <w:vAlign w:val="bottom"/>
            <w:tcBorders>
              <w:bottom w:val="single" w:sz="8" w:color="231F20"/>
            </w:tcBorders>
          </w:tcPr>
          <w:p>
            <w:pPr>
              <w:jc w:val="center"/>
              <w:ind w:left="106"/>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20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700" w:type="dxa"/>
            <w:vAlign w:val="bottom"/>
            <w:shd w:val="clear" w:color="auto" w:fill="E3E4E5"/>
          </w:tcPr>
          <w:p>
            <w:pPr>
              <w:jc w:val="right"/>
              <w:ind w:right="5860"/>
              <w:spacing w:after="0"/>
              <w:rPr>
                <w:sz w:val="20"/>
                <w:szCs w:val="20"/>
                <w:color w:val="auto"/>
              </w:rPr>
            </w:pPr>
            <w:r>
              <w:rPr>
                <w:rFonts w:ascii="Times New Roman" w:cs="Times New Roman" w:eastAsia="Times New Roman" w:hAnsi="Times New Roman"/>
                <w:sz w:val="20"/>
                <w:szCs w:val="20"/>
                <w:color w:val="231F20"/>
              </w:rPr>
              <w:t>Property</w:t>
            </w:r>
          </w:p>
        </w:tc>
        <w:tc>
          <w:tcPr>
            <w:tcW w:w="240" w:type="dxa"/>
            <w:vAlign w:val="bottom"/>
            <w:shd w:val="clear" w:color="auto" w:fill="E3E4E5"/>
          </w:tcPr>
          <w:p>
            <w:pPr>
              <w:spacing w:after="0"/>
              <w:rPr>
                <w:sz w:val="23"/>
                <w:szCs w:val="23"/>
                <w:color w:val="auto"/>
              </w:rPr>
            </w:pPr>
          </w:p>
        </w:tc>
        <w:tc>
          <w:tcPr>
            <w:tcW w:w="92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900" w:type="dxa"/>
            <w:vAlign w:val="bottom"/>
            <w:shd w:val="clear" w:color="auto" w:fill="E3E4E5"/>
          </w:tcPr>
          <w:p>
            <w:pPr>
              <w:spacing w:after="0"/>
              <w:rPr>
                <w:sz w:val="23"/>
                <w:szCs w:val="23"/>
                <w:color w:val="auto"/>
              </w:rPr>
            </w:pPr>
          </w:p>
        </w:tc>
        <w:tc>
          <w:tcPr>
            <w:tcW w:w="20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 &amp; Canada </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4,212.1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4,216.1</w:t>
            </w:r>
          </w:p>
        </w:tc>
        <w:tc>
          <w:tcPr>
            <w:tcW w:w="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r>
        <w:trPr>
          <w:trHeight w:val="291"/>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Africa &amp; APAC (1)</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900.3</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759.5</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20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Europe</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523.9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Latin America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1,029.0</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1,076.7</w:t>
            </w:r>
          </w:p>
        </w:tc>
        <w:tc>
          <w:tcPr>
            <w:tcW w:w="8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0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Data Centers</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562.2</w:t>
            </w:r>
          </w:p>
        </w:tc>
        <w:tc>
          <w:tcPr>
            <w:tcW w:w="6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455.2</w:t>
            </w:r>
          </w:p>
        </w:tc>
        <w:tc>
          <w:tcPr>
            <w:tcW w:w="80" w:type="dxa"/>
            <w:vAlign w:val="bottom"/>
            <w:tcBorders>
              <w:bottom w:val="single" w:sz="8" w:color="E3E4E5"/>
            </w:tcBorders>
          </w:tcPr>
          <w:p>
            <w:pPr>
              <w:spacing w:after="0"/>
              <w:rPr>
                <w:sz w:val="23"/>
                <w:szCs w:val="23"/>
                <w:color w:val="auto"/>
              </w:rPr>
            </w:pPr>
          </w:p>
        </w:tc>
        <w:tc>
          <w:tcPr>
            <w:tcW w:w="9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200" w:type="dxa"/>
            <w:vAlign w:val="bottom"/>
            <w:tcBorders>
              <w:bottom w:val="single" w:sz="8" w:color="E3E4E5"/>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property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3"/>
                <w:szCs w:val="23"/>
                <w:color w:val="auto"/>
              </w:rPr>
            </w:pPr>
          </w:p>
        </w:tc>
        <w:tc>
          <w:tcPr>
            <w:tcW w:w="92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7,227.5</w:t>
            </w:r>
          </w:p>
        </w:tc>
        <w:tc>
          <w:tcPr>
            <w:tcW w:w="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6,968.0</w:t>
            </w:r>
          </w:p>
        </w:tc>
        <w:tc>
          <w:tcPr>
            <w:tcW w:w="80" w:type="dxa"/>
            <w:vAlign w:val="bottom"/>
            <w:shd w:val="clear" w:color="auto" w:fill="E3E4E5"/>
          </w:tcPr>
          <w:p>
            <w:pPr>
              <w:spacing w:after="0"/>
              <w:rPr>
                <w:sz w:val="23"/>
                <w:szCs w:val="23"/>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5"/>
              </w:rPr>
              <w:t>%</w:t>
            </w:r>
          </w:p>
        </w:tc>
        <w:tc>
          <w:tcPr>
            <w:tcW w:w="0" w:type="dxa"/>
            <w:vAlign w:val="bottom"/>
          </w:tcPr>
          <w:p>
            <w:pPr>
              <w:spacing w:after="0"/>
              <w:rPr>
                <w:sz w:val="1"/>
                <w:szCs w:val="1"/>
                <w:color w:val="auto"/>
              </w:rPr>
            </w:pPr>
          </w:p>
        </w:tc>
      </w:tr>
      <w:tr>
        <w:trPr>
          <w:trHeight w:val="274"/>
        </w:trPr>
        <w:tc>
          <w:tcPr>
            <w:tcW w:w="67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Services </w:t>
            </w:r>
            <w:r>
              <w:rPr>
                <w:rFonts w:ascii="Times New Roman" w:cs="Times New Roman" w:eastAsia="Times New Roman" w:hAnsi="Times New Roman"/>
                <w:sz w:val="20"/>
                <w:szCs w:val="20"/>
                <w:color w:val="BABCBE"/>
                <w:w w:val="99"/>
              </w:rPr>
              <w:t>......................................................................................................................</w:t>
            </w:r>
          </w:p>
        </w:tc>
        <w:tc>
          <w:tcPr>
            <w:tcW w:w="240" w:type="dxa"/>
            <w:vAlign w:val="bottom"/>
          </w:tcPr>
          <w:p>
            <w:pPr>
              <w:spacing w:after="0"/>
              <w:rPr>
                <w:sz w:val="23"/>
                <w:szCs w:val="2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138.2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80.1</w:t>
            </w:r>
          </w:p>
        </w:tc>
        <w:tc>
          <w:tcPr>
            <w:tcW w:w="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-1452880</wp:posOffset>
            </wp:positionV>
            <wp:extent cx="228282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282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-367030</wp:posOffset>
            </wp:positionV>
            <wp:extent cx="153987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Year Ended December 31, 2025</w:t>
      </w:r>
    </w:p>
    <w:p>
      <w:pPr>
        <w:spacing w:after="0" w:line="174" w:lineRule="exact"/>
        <w:rPr>
          <w:sz w:val="20"/>
          <w:szCs w:val="20"/>
          <w:color w:val="auto"/>
        </w:rPr>
      </w:pPr>
    </w:p>
    <w:p>
      <w:pPr>
        <w:ind w:left="730" w:right="220" w:hanging="370"/>
        <w:spacing w:after="0" w:line="281" w:lineRule="auto"/>
        <w:tabs>
          <w:tab w:leader="none" w:pos="73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in operating profit for our U.S. &amp; Canada property segment was primarily attributable to an increase in our segment SG&amp;A, partially offset by an increase in our segment gross margin.</w:t>
      </w:r>
    </w:p>
    <w:p>
      <w:pPr>
        <w:spacing w:after="0" w:line="101" w:lineRule="exact"/>
        <w:rPr>
          <w:rFonts w:ascii="Times New Roman" w:cs="Times New Roman" w:eastAsia="Times New Roman" w:hAnsi="Times New Roman"/>
          <w:sz w:val="20"/>
          <w:szCs w:val="20"/>
          <w:color w:val="231F20"/>
        </w:rPr>
      </w:pPr>
    </w:p>
    <w:p>
      <w:pPr>
        <w:ind w:left="730" w:right="140" w:hanging="370"/>
        <w:spacing w:after="0" w:line="266" w:lineRule="auto"/>
        <w:tabs>
          <w:tab w:leader="none" w:pos="73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increases in our Africa &amp; APAC property segment, Europe property segment, Data Centers segment and our Services segment were primarily attributable to increases in our segment gross margin, partially offset by increases in our segment SG&amp;A.</w:t>
      </w:r>
    </w:p>
    <w:p>
      <w:pPr>
        <w:spacing w:after="0" w:line="115" w:lineRule="exact"/>
        <w:rPr>
          <w:rFonts w:ascii="Times New Roman" w:cs="Times New Roman" w:eastAsia="Times New Roman" w:hAnsi="Times New Roman"/>
          <w:sz w:val="20"/>
          <w:szCs w:val="20"/>
          <w:color w:val="231F20"/>
        </w:rPr>
      </w:pPr>
    </w:p>
    <w:p>
      <w:pPr>
        <w:ind w:left="730" w:right="20" w:hanging="370"/>
        <w:spacing w:after="0" w:line="281" w:lineRule="auto"/>
        <w:tabs>
          <w:tab w:leader="none" w:pos="73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in operating profit for our Latin America property segment was primarily attributable to a decrease in our segment gross margin, partially offset by a decrease in our segment SG&amp;A.</w:t>
      </w:r>
    </w:p>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Depreciation, Amortization and Accretion</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2220" w:type="dxa"/>
            <w:vAlign w:val="bottom"/>
            <w:tcBorders>
              <w:bottom w:val="single" w:sz="8" w:color="231F20"/>
            </w:tcBorders>
            <w:gridSpan w:val="5"/>
            <w:vMerge w:val="continue"/>
          </w:tcPr>
          <w:p>
            <w:pPr>
              <w:spacing w:after="0"/>
              <w:rPr>
                <w:sz w:val="10"/>
                <w:szCs w:val="10"/>
                <w:color w:val="auto"/>
              </w:rPr>
            </w:pPr>
          </w:p>
        </w:tc>
        <w:tc>
          <w:tcPr>
            <w:tcW w:w="11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Depreciation, amortization and accretion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13"/>
              <w:spacing w:after="0"/>
              <w:rPr>
                <w:sz w:val="20"/>
                <w:szCs w:val="20"/>
                <w:color w:val="auto"/>
              </w:rPr>
            </w:pPr>
            <w:r>
              <w:rPr>
                <w:rFonts w:ascii="Times New Roman" w:cs="Times New Roman" w:eastAsia="Times New Roman" w:hAnsi="Times New Roman"/>
                <w:sz w:val="20"/>
                <w:szCs w:val="20"/>
                <w:color w:val="231F20"/>
              </w:rPr>
              <w:t>2,041.6</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2,028.8</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-202565</wp:posOffset>
            </wp:positionV>
            <wp:extent cx="228282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2825" cy="25400"/>
                    </a:xfrm>
                    <a:prstGeom prst="rect">
                      <a:avLst/>
                    </a:prstGeom>
                    <a:noFill/>
                  </pic:spPr>
                </pic:pic>
              </a:graphicData>
            </a:graphic>
          </wp:anchor>
        </w:drawing>
      </w:r>
    </w:p>
    <w:p>
      <w:pPr>
        <w:spacing w:after="0" w:line="178" w:lineRule="exact"/>
        <w:rPr>
          <w:sz w:val="20"/>
          <w:szCs w:val="20"/>
          <w:color w:val="auto"/>
        </w:rPr>
      </w:pPr>
    </w:p>
    <w:p>
      <w:pPr>
        <w:ind w:left="10" w:right="820"/>
        <w:spacing w:after="0" w:line="281" w:lineRule="auto"/>
        <w:rPr>
          <w:sz w:val="20"/>
          <w:szCs w:val="20"/>
          <w:color w:val="auto"/>
        </w:rPr>
      </w:pPr>
      <w:r>
        <w:rPr>
          <w:rFonts w:ascii="Times New Roman" w:cs="Times New Roman" w:eastAsia="Times New Roman" w:hAnsi="Times New Roman"/>
          <w:sz w:val="20"/>
          <w:szCs w:val="20"/>
          <w:color w:val="231F20"/>
        </w:rPr>
        <w:t>The increase in depreciation, amortization and accretion expense for the year ended December 31, 2025 was primarily attributable to foreign currency exchange rate fluctuations.</w:t>
      </w:r>
    </w:p>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Other Operating Expense</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34"/>
        </w:trPr>
        <w:tc>
          <w:tcPr>
            <w:tcW w:w="6700" w:type="dxa"/>
            <w:vAlign w:val="bottom"/>
          </w:tcPr>
          <w:p>
            <w:pPr>
              <w:spacing w:after="0"/>
              <w:rPr>
                <w:sz w:val="11"/>
                <w:szCs w:val="11"/>
                <w:color w:val="auto"/>
              </w:rPr>
            </w:pPr>
          </w:p>
        </w:tc>
        <w:tc>
          <w:tcPr>
            <w:tcW w:w="240" w:type="dxa"/>
            <w:vAlign w:val="bottom"/>
            <w:tcBorders>
              <w:bottom w:val="single" w:sz="8" w:color="231F20"/>
            </w:tcBorders>
          </w:tcPr>
          <w:p>
            <w:pPr>
              <w:spacing w:after="0"/>
              <w:rPr>
                <w:sz w:val="11"/>
                <w:szCs w:val="11"/>
                <w:color w:val="auto"/>
              </w:rPr>
            </w:pPr>
          </w:p>
        </w:tc>
        <w:tc>
          <w:tcPr>
            <w:tcW w:w="2220" w:type="dxa"/>
            <w:vAlign w:val="bottom"/>
            <w:tcBorders>
              <w:bottom w:val="single" w:sz="8" w:color="231F20"/>
            </w:tcBorders>
            <w:gridSpan w:val="5"/>
            <w:vMerge w:val="continue"/>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231F20"/>
              </w:rPr>
              <w:t>Change 2025</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E3E4E5"/>
            </w:tcBorders>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19"/>
                <w:szCs w:val="19"/>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75"/>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Other operating expense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13"/>
              <w:spacing w:after="0"/>
              <w:rPr>
                <w:sz w:val="20"/>
                <w:szCs w:val="20"/>
                <w:color w:val="auto"/>
              </w:rPr>
            </w:pPr>
            <w:r>
              <w:rPr>
                <w:rFonts w:ascii="Times New Roman" w:cs="Times New Roman" w:eastAsia="Times New Roman" w:hAnsi="Times New Roman"/>
                <w:sz w:val="20"/>
                <w:szCs w:val="20"/>
                <w:color w:val="231F20"/>
              </w:rPr>
              <w:t>68.4</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74.1</w:t>
            </w:r>
          </w:p>
        </w:tc>
        <w:tc>
          <w:tcPr>
            <w:tcW w:w="80" w:type="dxa"/>
            <w:vAlign w:val="bottom"/>
            <w:shd w:val="clear" w:color="auto" w:fill="E3E4E5"/>
          </w:tcPr>
          <w:p>
            <w:pPr>
              <w:spacing w:after="0"/>
              <w:rPr>
                <w:sz w:val="23"/>
                <w:szCs w:val="23"/>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-193040</wp:posOffset>
            </wp:positionV>
            <wp:extent cx="228282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2825" cy="25400"/>
                    </a:xfrm>
                    <a:prstGeom prst="rect">
                      <a:avLst/>
                    </a:prstGeom>
                    <a:noFill/>
                  </pic:spPr>
                </pic:pic>
              </a:graphicData>
            </a:graphic>
          </wp:anchor>
        </w:drawing>
      </w:r>
    </w:p>
    <w:p>
      <w:pPr>
        <w:spacing w:after="0" w:line="17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231F20"/>
        </w:rPr>
        <w:t>The decrease in other operating expense for the year ended December 31, 2025 was primarily attributable to the gain on the sale of South Africa Fiber of $53.6 million, partially offset by an increase in impairment charges of $32.1 million.</w:t>
      </w:r>
    </w:p>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Total Other Expense</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2220" w:type="dxa"/>
            <w:vAlign w:val="bottom"/>
            <w:tcBorders>
              <w:bottom w:val="single" w:sz="8" w:color="231F20"/>
            </w:tcBorders>
            <w:gridSpan w:val="5"/>
            <w:vMerge w:val="continue"/>
          </w:tcPr>
          <w:p>
            <w:pPr>
              <w:spacing w:after="0"/>
              <w:rPr>
                <w:sz w:val="10"/>
                <w:szCs w:val="10"/>
                <w:color w:val="auto"/>
              </w:rPr>
            </w:pPr>
          </w:p>
        </w:tc>
        <w:tc>
          <w:tcPr>
            <w:tcW w:w="11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Total other expense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13"/>
              <w:spacing w:after="0"/>
              <w:rPr>
                <w:sz w:val="20"/>
                <w:szCs w:val="20"/>
                <w:color w:val="auto"/>
              </w:rPr>
            </w:pPr>
            <w:r>
              <w:rPr>
                <w:rFonts w:ascii="Times New Roman" w:cs="Times New Roman" w:eastAsia="Times New Roman" w:hAnsi="Times New Roman"/>
                <w:sz w:val="20"/>
                <w:szCs w:val="20"/>
                <w:color w:val="231F20"/>
              </w:rPr>
              <w:t>1,801.6</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891.7</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-202565</wp:posOffset>
            </wp:positionV>
            <wp:extent cx="228282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2825" cy="25400"/>
                    </a:xfrm>
                    <a:prstGeom prst="rect">
                      <a:avLst/>
                    </a:prstGeom>
                    <a:noFill/>
                  </pic:spPr>
                </pic:pic>
              </a:graphicData>
            </a:graphic>
          </wp:anchor>
        </w:drawing>
      </w:r>
    </w:p>
    <w:p>
      <w:pPr>
        <w:spacing w:after="0" w:line="178"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231F20"/>
        </w:rPr>
        <w:t>Total other expense consists primarily of interest expense and realized and unrealized foreign currency gains and losses. We record unrealized foreign currency gains or losses as a result of foreign currency exchange rate fluctuations primarily associated with our intercompany notes and similar unaffiliated balances denominated in a currency other than the subsidiaries’ functional currencies.</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270"/>
          </w:cols>
          <w:pgMar w:left="810" w:top="393" w:right="800" w:bottom="0" w:gutter="0" w:footer="0" w:header="0"/>
          <w:type w:val="continuous"/>
        </w:sectPr>
      </w:pPr>
    </w:p>
    <w:bookmarkStart w:id="53" w:name="page54"/>
    <w:bookmarkEnd w:id="53"/>
    <w:p>
      <w:pPr>
        <w:ind w:right="140"/>
        <w:spacing w:after="0" w:line="258" w:lineRule="auto"/>
        <w:rPr>
          <w:sz w:val="20"/>
          <w:szCs w:val="20"/>
          <w:color w:val="auto"/>
        </w:rPr>
      </w:pPr>
      <w:r>
        <w:rPr>
          <w:rFonts w:ascii="Times New Roman" w:cs="Times New Roman" w:eastAsia="Times New Roman" w:hAnsi="Times New Roman"/>
          <w:sz w:val="20"/>
          <w:szCs w:val="20"/>
          <w:color w:val="231F20"/>
        </w:rPr>
        <w:t>The increase in total other expense during the year ended December 31, 2025 was primarily due to foreign currency losses of $809.4 million in the current period, as compared to foreign currency gains of $308.3 million in the prior-year period, partially offset by a decrease in net interest expense of $43.9 million, primarily due to a decrease in our average debt outstanding. Total other expense during the years ended December 31, 2025 and 2024 also include gains from equity securities in the United States of $232.6 million and $70.4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Income Tax Provision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1920" w:type="dxa"/>
            <w:vAlign w:val="bottom"/>
            <w:tcBorders>
              <w:bottom w:val="single" w:sz="8" w:color="231F20"/>
            </w:tcBorders>
            <w:gridSpan w:val="5"/>
            <w:vMerge w:val="continue"/>
          </w:tcPr>
          <w:p>
            <w:pPr>
              <w:spacing w:after="0"/>
              <w:rPr>
                <w:sz w:val="10"/>
                <w:szCs w:val="10"/>
                <w:color w:val="auto"/>
              </w:rPr>
            </w:pPr>
          </w:p>
        </w:tc>
        <w:tc>
          <w:tcPr>
            <w:tcW w:w="220" w:type="dxa"/>
            <w:vAlign w:val="bottom"/>
            <w:tcBorders>
              <w:bottom w:val="single" w:sz="8" w:color="231F20"/>
            </w:tcBorders>
          </w:tcPr>
          <w:p>
            <w:pPr>
              <w:spacing w:after="0"/>
              <w:rPr>
                <w:sz w:val="10"/>
                <w:szCs w:val="10"/>
                <w:color w:val="auto"/>
              </w:rPr>
            </w:pPr>
          </w:p>
        </w:tc>
        <w:tc>
          <w:tcPr>
            <w:tcW w:w="80" w:type="dxa"/>
            <w:vAlign w:val="bottom"/>
            <w:tcBorders>
              <w:bottom w:val="single" w:sz="8" w:color="231F20"/>
            </w:tcBorders>
          </w:tcPr>
          <w:p>
            <w:pPr>
              <w:spacing w:after="0"/>
              <w:rPr>
                <w:sz w:val="10"/>
                <w:szCs w:val="10"/>
                <w:color w:val="auto"/>
              </w:rPr>
            </w:pPr>
          </w:p>
        </w:tc>
        <w:tc>
          <w:tcPr>
            <w:tcW w:w="11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vMerge w:val="restart"/>
          </w:tcPr>
          <w:p>
            <w:pPr>
              <w:jc w:val="right"/>
              <w:ind w:right="10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vMerge w:val="continue"/>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vMerge w:val="continue"/>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Income tax provision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415.7</w:t>
            </w:r>
          </w:p>
        </w:tc>
        <w:tc>
          <w:tcPr>
            <w:tcW w:w="220" w:type="dxa"/>
            <w:vAlign w:val="bottom"/>
            <w:shd w:val="clear" w:color="auto" w:fill="E3E4E5"/>
          </w:tcPr>
          <w:p>
            <w:pPr>
              <w:spacing w:after="0"/>
              <w:rPr>
                <w:sz w:val="24"/>
                <w:szCs w:val="24"/>
                <w:color w:val="auto"/>
              </w:rPr>
            </w:pP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366.3</w:t>
            </w:r>
          </w:p>
        </w:tc>
        <w:tc>
          <w:tcPr>
            <w:tcW w:w="140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0" w:type="dxa"/>
            <w:vAlign w:val="bottom"/>
          </w:tcPr>
          <w:p>
            <w:pPr>
              <w:spacing w:after="0"/>
              <w:rPr>
                <w:sz w:val="1"/>
                <w:szCs w:val="1"/>
                <w:color w:val="auto"/>
              </w:rPr>
            </w:pPr>
          </w:p>
        </w:tc>
      </w:tr>
      <w:tr>
        <w:trPr>
          <w:trHeight w:val="287"/>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Effective tax rate </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-384810</wp:posOffset>
            </wp:positionV>
            <wp:extent cx="228282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2825" cy="25400"/>
                    </a:xfrm>
                    <a:prstGeom prst="rect">
                      <a:avLst/>
                    </a:prstGeom>
                    <a:noFill/>
                  </pic:spPr>
                </pic:pic>
              </a:graphicData>
            </a:graphic>
          </wp:anchor>
        </w:drawing>
      </w:r>
    </w:p>
    <w:p>
      <w:pPr>
        <w:spacing w:after="0" w:line="19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231F20"/>
        </w:rPr>
        <w:t>As a REIT, we may deduct earnings distributed to stockholders against the income generated by our REIT operations. Consequently, the effective tax rate on income from continuing operations for each of the years ended December 31, 2025 and 2024 differs from the federal statutory rate.</w:t>
      </w:r>
    </w:p>
    <w:p>
      <w:pPr>
        <w:spacing w:after="0" w:line="1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For the year ended December 31, 2025, the increase in the income tax provision was primarily attributable to (i) increased earnings in certain foreign jurisdictions, (ii) taxes incurred as a result of the sale of South Africa Fiber, (iii) additions to reserves for uncertain tax positions, (iv) gains from equity securities in the United States and (v) the reversal of permanent reinvestment assertions in Nigeria, partially offset by a net benefit from the application of tax law changes primarily in Germany and a decrease in withholding taxes from equity distributions due in part to the ATC TIPL Transaction.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Loss from Discontinued Operations, Net of Taxes</w:t>
      </w:r>
    </w:p>
    <w:p>
      <w:pPr>
        <w:spacing w:after="0" w:line="1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On January 4, 2024, we, through our subsidiaries, ATC Asia Pacific Pte. Ltd. and ATC Telecom Infrastructure Private Limited (“ATC TIPL”), which held our operations in India, entered into an agreement with Data Infrastructure Trust (“DIT”), an infrastructure investment trust sponsored by an affiliate of Brookfield Asset Management, pursuant to which DIT agreed to acquire a 100% ownership interest in ATC TIPL (the “ATC TIPL Transaction”). Per the terms of the agreement, total aggregate consideration represented up to approximately 210 billion Indian Rupees (“INR”) (approximately $2.5 billion), including the value of the VIL OCDs and the VIL Shares (each as defined and further discussed below), payments on certain existing customer receivables, the repayment of existing intercompany debt and the repayment, or assumption, of our existing term loan in India, by DIT.</w:t>
      </w:r>
    </w:p>
    <w:p>
      <w:pPr>
        <w:spacing w:after="0" w:line="13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During the year ended December 31, 2024, ATC TIPL distributed approximately 29.6 billion INR (approximately $354.1 million) to us, which included the value of the VIL Shares and the VIL OCDs and the satisfaction of the economic benefit associated with the rights to payments on certain existing customer receivables. The distributions were deducted from the total aggregate consideration received by us at closing.</w:t>
      </w:r>
    </w:p>
    <w:p>
      <w:pPr>
        <w:spacing w:after="0" w:line="12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The ATC TIPL Transaction received all government and regulatory approvals during the three months ended September 30, 2024. On September 12, 2024, we completed the ATC TIPL Transaction and received total consideration of 182 billion INR (approximately $2.2 billion). We used the proceeds from the ATC TIPL Transaction to repay existing indebtedness under the 2021 Multicurrency Credit Facility. During the year ended December 31, 2024, we recorded a loss on the sale of ATC TIPL of $1.2 billion, which primarily included the reclassification of our cumulative translation adjustment in India upon exiting the market of $1.1 billion.</w:t>
      </w:r>
    </w:p>
    <w:p>
      <w:pPr>
        <w:spacing w:after="0" w:line="12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231F20"/>
        </w:rPr>
        <w:t>The following table presents key components of Loss from discontinued operations, net of taxes in the consolidated statements of operations:</w:t>
      </w:r>
    </w:p>
    <w:p>
      <w:pPr>
        <w:sectPr>
          <w:pgSz w:w="11880" w:h="15480" w:orient="portrait"/>
          <w:cols w:equalWidth="0" w:num="1">
            <w:col w:w="10260"/>
          </w:cols>
          <w:pgMar w:left="82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260"/>
          </w:cols>
          <w:pgMar w:left="820" w:top="393" w:right="800" w:bottom="0" w:gutter="0" w:footer="0" w:header="0"/>
          <w:type w:val="continuous"/>
        </w:sectPr>
      </w:pPr>
    </w:p>
    <w:bookmarkStart w:id="54" w:name="page55"/>
    <w:bookmarkEnd w:id="54"/>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6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800" w:type="dxa"/>
            <w:vAlign w:val="bottom"/>
            <w:tcBorders>
              <w:bottom w:val="single" w:sz="8" w:color="231F20"/>
            </w:tcBorders>
          </w:tcPr>
          <w:p>
            <w:pPr>
              <w:spacing w:after="0"/>
              <w:rPr>
                <w:sz w:val="4"/>
                <w:szCs w:val="4"/>
                <w:color w:val="auto"/>
              </w:rPr>
            </w:pPr>
          </w:p>
        </w:tc>
        <w:tc>
          <w:tcPr>
            <w:tcW w:w="36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1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66"/>
        </w:trPr>
        <w:tc>
          <w:tcPr>
            <w:tcW w:w="670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231F20"/>
              </w:rPr>
              <w:t>2024 (1)</w:t>
            </w:r>
          </w:p>
        </w:tc>
        <w:tc>
          <w:tcPr>
            <w:tcW w:w="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800" w:type="dxa"/>
            <w:vAlign w:val="bottom"/>
            <w:tcBorders>
              <w:bottom w:val="single" w:sz="8" w:color="231F20"/>
            </w:tcBorders>
            <w:vMerge w:val="continue"/>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Revenue </w:t>
            </w:r>
            <w:r>
              <w:rPr>
                <w:rFonts w:ascii="Times New Roman" w:cs="Times New Roman" w:eastAsia="Times New Roman" w:hAnsi="Times New Roman"/>
                <w:sz w:val="20"/>
                <w:szCs w:val="20"/>
                <w:color w:val="BABCBE"/>
              </w:rPr>
              <w:t>....................................................................................................................</w:t>
            </w:r>
          </w:p>
        </w:tc>
        <w:tc>
          <w:tcPr>
            <w:tcW w:w="800" w:type="dxa"/>
            <w:vAlign w:val="bottom"/>
            <w:shd w:val="clear" w:color="auto" w:fill="E3E4E5"/>
          </w:tcPr>
          <w:p>
            <w:pPr>
              <w:jc w:val="right"/>
              <w:ind w:right="568"/>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911.2</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Cost of operations</w:t>
            </w:r>
            <w:r>
              <w:rPr>
                <w:rFonts w:ascii="Times New Roman" w:cs="Times New Roman" w:eastAsia="Times New Roman" w:hAnsi="Times New Roman"/>
                <w:sz w:val="20"/>
                <w:szCs w:val="20"/>
                <w:color w:val="BABCBE"/>
              </w:rPr>
              <w:t>.....................................................................................................</w:t>
            </w:r>
          </w:p>
        </w:tc>
        <w:tc>
          <w:tcPr>
            <w:tcW w:w="80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(473.8)</w:t>
            </w:r>
          </w:p>
        </w:tc>
        <w:tc>
          <w:tcPr>
            <w:tcW w:w="8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Depreciation, amortization and accretion</w:t>
            </w:r>
            <w:r>
              <w:rPr>
                <w:rFonts w:ascii="Times New Roman" w:cs="Times New Roman" w:eastAsia="Times New Roman" w:hAnsi="Times New Roman"/>
                <w:sz w:val="20"/>
                <w:szCs w:val="20"/>
                <w:color w:val="BABCBE"/>
              </w:rPr>
              <w:t>.................................................................</w:t>
            </w:r>
          </w:p>
        </w:tc>
        <w:tc>
          <w:tcPr>
            <w:tcW w:w="800" w:type="dxa"/>
            <w:vAlign w:val="bottom"/>
            <w:shd w:val="clear" w:color="auto" w:fill="E3E4E5"/>
          </w:tcPr>
          <w:p>
            <w:pPr>
              <w:spacing w:after="0"/>
              <w:rPr>
                <w:sz w:val="24"/>
                <w:szCs w:val="24"/>
                <w:color w:val="auto"/>
              </w:rPr>
            </w:pP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(96.0)</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Selling, general, administrative and development expense</w:t>
            </w:r>
            <w:r>
              <w:rPr>
                <w:rFonts w:ascii="Times New Roman" w:cs="Times New Roman" w:eastAsia="Times New Roman" w:hAnsi="Times New Roman"/>
                <w:sz w:val="20"/>
                <w:szCs w:val="20"/>
                <w:color w:val="BABCBE"/>
              </w:rPr>
              <w:t>......................................</w:t>
            </w:r>
          </w:p>
        </w:tc>
        <w:tc>
          <w:tcPr>
            <w:tcW w:w="80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(58.7)</w:t>
            </w:r>
          </w:p>
        </w:tc>
        <w:tc>
          <w:tcPr>
            <w:tcW w:w="8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Other operating expense</w:t>
            </w:r>
            <w:r>
              <w:rPr>
                <w:rFonts w:ascii="Times New Roman" w:cs="Times New Roman" w:eastAsia="Times New Roman" w:hAnsi="Times New Roman"/>
                <w:sz w:val="20"/>
                <w:szCs w:val="20"/>
                <w:color w:val="BABCBE"/>
              </w:rPr>
              <w:t>...........................................................................................</w:t>
            </w:r>
          </w:p>
        </w:tc>
        <w:tc>
          <w:tcPr>
            <w:tcW w:w="800" w:type="dxa"/>
            <w:vAlign w:val="bottom"/>
            <w:shd w:val="clear" w:color="auto" w:fill="E3E4E5"/>
          </w:tcPr>
          <w:p>
            <w:pPr>
              <w:spacing w:after="0"/>
              <w:rPr>
                <w:sz w:val="24"/>
                <w:szCs w:val="24"/>
                <w:color w:val="auto"/>
              </w:rPr>
            </w:pP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0"/>
        </w:trPr>
        <w:tc>
          <w:tcPr>
            <w:tcW w:w="67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 xml:space="preserve">Loss on sale of ATC TIPL </w:t>
            </w:r>
            <w:r>
              <w:rPr>
                <w:rFonts w:ascii="Times New Roman" w:cs="Times New Roman" w:eastAsia="Times New Roman" w:hAnsi="Times New Roman"/>
                <w:sz w:val="20"/>
                <w:szCs w:val="20"/>
                <w:color w:val="BABCBE"/>
              </w:rPr>
              <w:t>.......................................................................................</w:t>
            </w:r>
          </w:p>
        </w:tc>
        <w:tc>
          <w:tcPr>
            <w:tcW w:w="80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(1,245.5)</w:t>
            </w:r>
          </w:p>
        </w:tc>
        <w:tc>
          <w:tcPr>
            <w:tcW w:w="80" w:type="dxa"/>
            <w:vAlign w:val="bottom"/>
            <w:tcBorders>
              <w:bottom w:val="single" w:sz="8" w:color="E3E4E5"/>
            </w:tcBorders>
          </w:tcPr>
          <w:p>
            <w:pPr>
              <w:spacing w:after="0"/>
              <w:rPr>
                <w:sz w:val="24"/>
                <w:szCs w:val="24"/>
                <w:color w:val="auto"/>
              </w:rPr>
            </w:pPr>
          </w:p>
        </w:tc>
        <w:tc>
          <w:tcPr>
            <w:tcW w:w="1100" w:type="dxa"/>
            <w:vAlign w:val="bottom"/>
            <w:tcBorders>
              <w:bottom w:val="single" w:sz="8" w:color="E3E4E5"/>
            </w:tcBorders>
          </w:tcPr>
          <w:p>
            <w:pPr>
              <w:jc w:val="right"/>
              <w:ind w:right="16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Operating loss</w:t>
            </w:r>
            <w:r>
              <w:rPr>
                <w:rFonts w:ascii="Times New Roman" w:cs="Times New Roman" w:eastAsia="Times New Roman" w:hAnsi="Times New Roman"/>
                <w:sz w:val="20"/>
                <w:szCs w:val="20"/>
                <w:color w:val="BABCBE"/>
              </w:rPr>
              <w:t>...........................................................................................................</w:t>
            </w:r>
          </w:p>
        </w:tc>
        <w:tc>
          <w:tcPr>
            <w:tcW w:w="800" w:type="dxa"/>
            <w:vAlign w:val="bottom"/>
            <w:shd w:val="clear" w:color="auto" w:fill="E3E4E5"/>
          </w:tcPr>
          <w:p>
            <w:pPr>
              <w:spacing w:after="0"/>
              <w:rPr>
                <w:sz w:val="24"/>
                <w:szCs w:val="24"/>
                <w:color w:val="auto"/>
              </w:rPr>
            </w:pP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(969.5)</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Interest income </w:t>
            </w:r>
            <w:r>
              <w:rPr>
                <w:rFonts w:ascii="Times New Roman" w:cs="Times New Roman" w:eastAsia="Times New Roman" w:hAnsi="Times New Roman"/>
                <w:sz w:val="20"/>
                <w:szCs w:val="20"/>
                <w:color w:val="BABCBE"/>
              </w:rPr>
              <w:t>.........................................................................................................</w:t>
            </w:r>
          </w:p>
        </w:tc>
        <w:tc>
          <w:tcPr>
            <w:tcW w:w="80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8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Interest expense </w:t>
            </w:r>
            <w:r>
              <w:rPr>
                <w:rFonts w:ascii="Times New Roman" w:cs="Times New Roman" w:eastAsia="Times New Roman" w:hAnsi="Times New Roman"/>
                <w:sz w:val="20"/>
                <w:szCs w:val="20"/>
                <w:color w:val="BABCBE"/>
              </w:rPr>
              <w:t>........................................................................................................</w:t>
            </w:r>
          </w:p>
        </w:tc>
        <w:tc>
          <w:tcPr>
            <w:tcW w:w="800" w:type="dxa"/>
            <w:vAlign w:val="bottom"/>
            <w:shd w:val="clear" w:color="auto" w:fill="E3E4E5"/>
          </w:tcPr>
          <w:p>
            <w:pPr>
              <w:spacing w:after="0"/>
              <w:rPr>
                <w:sz w:val="24"/>
                <w:szCs w:val="24"/>
                <w:color w:val="auto"/>
              </w:rPr>
            </w:pP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0"/>
        </w:trPr>
        <w:tc>
          <w:tcPr>
            <w:tcW w:w="67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 xml:space="preserve">Other income, net </w:t>
            </w:r>
            <w:r>
              <w:rPr>
                <w:rFonts w:ascii="Times New Roman" w:cs="Times New Roman" w:eastAsia="Times New Roman" w:hAnsi="Times New Roman"/>
                <w:sz w:val="20"/>
                <w:szCs w:val="20"/>
                <w:color w:val="BABCBE"/>
              </w:rPr>
              <w:t>.....................................................................................................</w:t>
            </w:r>
          </w:p>
        </w:tc>
        <w:tc>
          <w:tcPr>
            <w:tcW w:w="80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46.5</w:t>
            </w:r>
          </w:p>
        </w:tc>
        <w:tc>
          <w:tcPr>
            <w:tcW w:w="80" w:type="dxa"/>
            <w:vAlign w:val="bottom"/>
            <w:tcBorders>
              <w:bottom w:val="single" w:sz="8" w:color="E3E4E5"/>
            </w:tcBorders>
          </w:tcPr>
          <w:p>
            <w:pPr>
              <w:spacing w:after="0"/>
              <w:rPr>
                <w:sz w:val="24"/>
                <w:szCs w:val="24"/>
                <w:color w:val="auto"/>
              </w:rPr>
            </w:pPr>
          </w:p>
        </w:tc>
        <w:tc>
          <w:tcPr>
            <w:tcW w:w="1100" w:type="dxa"/>
            <w:vAlign w:val="bottom"/>
            <w:tcBorders>
              <w:bottom w:val="single" w:sz="8" w:color="E3E4E5"/>
            </w:tcBorders>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Loss from discontinued operations before taxes </w:t>
            </w:r>
            <w:r>
              <w:rPr>
                <w:rFonts w:ascii="Times New Roman" w:cs="Times New Roman" w:eastAsia="Times New Roman" w:hAnsi="Times New Roman"/>
                <w:sz w:val="20"/>
                <w:szCs w:val="20"/>
                <w:color w:val="BABCBE"/>
              </w:rPr>
              <w:t>......................................................</w:t>
            </w:r>
          </w:p>
        </w:tc>
        <w:tc>
          <w:tcPr>
            <w:tcW w:w="800" w:type="dxa"/>
            <w:vAlign w:val="bottom"/>
            <w:shd w:val="clear" w:color="auto" w:fill="E3E4E5"/>
          </w:tcPr>
          <w:p>
            <w:pPr>
              <w:jc w:val="right"/>
              <w:ind w:right="568"/>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(899.9)</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90"/>
        </w:trPr>
        <w:tc>
          <w:tcPr>
            <w:tcW w:w="67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 xml:space="preserve">Income tax provision </w:t>
            </w:r>
            <w:r>
              <w:rPr>
                <w:rFonts w:ascii="Times New Roman" w:cs="Times New Roman" w:eastAsia="Times New Roman" w:hAnsi="Times New Roman"/>
                <w:sz w:val="20"/>
                <w:szCs w:val="20"/>
                <w:color w:val="BABCBE"/>
              </w:rPr>
              <w:t>................................................................................................</w:t>
            </w:r>
          </w:p>
        </w:tc>
        <w:tc>
          <w:tcPr>
            <w:tcW w:w="80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(78.4)</w:t>
            </w:r>
          </w:p>
        </w:tc>
        <w:tc>
          <w:tcPr>
            <w:tcW w:w="80" w:type="dxa"/>
            <w:vAlign w:val="bottom"/>
            <w:tcBorders>
              <w:bottom w:val="single" w:sz="8" w:color="E3E4E5"/>
            </w:tcBorders>
          </w:tcPr>
          <w:p>
            <w:pPr>
              <w:spacing w:after="0"/>
              <w:rPr>
                <w:sz w:val="24"/>
                <w:szCs w:val="24"/>
                <w:color w:val="auto"/>
              </w:rPr>
            </w:pPr>
          </w:p>
        </w:tc>
        <w:tc>
          <w:tcPr>
            <w:tcW w:w="1100" w:type="dxa"/>
            <w:vAlign w:val="bottom"/>
            <w:tcBorders>
              <w:bottom w:val="single" w:sz="8" w:color="E3E4E5"/>
            </w:tcBorders>
          </w:tcPr>
          <w:p>
            <w:pPr>
              <w:jc w:val="right"/>
              <w:ind w:right="104"/>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8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Loss from discontinued operations, net of taxes </w:t>
            </w:r>
            <w:r>
              <w:rPr>
                <w:rFonts w:ascii="Times New Roman" w:cs="Times New Roman" w:eastAsia="Times New Roman" w:hAnsi="Times New Roman"/>
                <w:sz w:val="20"/>
                <w:szCs w:val="20"/>
                <w:color w:val="BABCBE"/>
              </w:rPr>
              <w:t>......................................................</w:t>
            </w:r>
          </w:p>
        </w:tc>
        <w:tc>
          <w:tcPr>
            <w:tcW w:w="800" w:type="dxa"/>
            <w:vAlign w:val="bottom"/>
            <w:shd w:val="clear" w:color="auto" w:fill="E3E4E5"/>
          </w:tcPr>
          <w:p>
            <w:pPr>
              <w:jc w:val="right"/>
              <w:ind w:right="568"/>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(978.3)</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0"/>
        </w:trPr>
        <w:tc>
          <w:tcPr>
            <w:tcW w:w="6700" w:type="dxa"/>
            <w:vAlign w:val="bottom"/>
            <w:tcBorders>
              <w:top w:val="single" w:sz="8" w:color="E3E4E5"/>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100" w:type="dxa"/>
            <w:vAlign w:val="bottom"/>
            <w:tcBorders>
              <w:top w:val="single" w:sz="8" w:color="E3E4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-2507615</wp:posOffset>
            </wp:positionV>
            <wp:extent cx="228282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282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-1364615</wp:posOffset>
            </wp:positionV>
            <wp:extent cx="153987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-602615</wp:posOffset>
            </wp:positionV>
            <wp:extent cx="15398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-221615</wp:posOffset>
            </wp:positionV>
            <wp:extent cx="153987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-43815</wp:posOffset>
            </wp:positionV>
            <wp:extent cx="153987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7" w:lineRule="exact"/>
        <w:rPr>
          <w:sz w:val="20"/>
          <w:szCs w:val="20"/>
          <w:color w:val="auto"/>
        </w:rPr>
      </w:pPr>
    </w:p>
    <w:p>
      <w:pPr>
        <w:ind w:left="370" w:hanging="370"/>
        <w:spacing w:after="0"/>
        <w:tabs>
          <w:tab w:leader="none" w:pos="37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results of operations for ATC TIPL through September 12, 2024.</w:t>
      </w:r>
    </w:p>
    <w:p>
      <w:pPr>
        <w:spacing w:after="0" w:line="151"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231F20"/>
        </w:rPr>
        <w:t>Following the rulings by the Supreme Court of India regarding carriers’ obligations for the adjusted gross revenue fees and charges prescribed by the court, we experienced variability and a level of uncertainty in collections in India. In the third quarter of 2022, one of our largest customers in India, Vodafone Idea Limited (“VIL”), communicated that it would make partial payments of its contractual amounts owed to us (the “VIL Shortfall”). We recorded reserves in late 2022 and the first half of 2023 for the VIL Shortfall. In the second half of 2023, VIL began making payments in full of its monthly contractual obligations owed to us. During the year ended December 31, 2023, we deferred recognition of revenue of approximately $27.3 million, net of recoveries, related to VIL in India. During the year ended December 31, 2024, we recognized approximately $95.7 million of this previously deferred revenue. We have fully recognized this previously deferred revenue.</w:t>
      </w:r>
    </w:p>
    <w:p>
      <w:pPr>
        <w:spacing w:after="0" w:line="133" w:lineRule="exact"/>
        <w:rPr>
          <w:sz w:val="20"/>
          <w:szCs w:val="20"/>
          <w:color w:val="auto"/>
        </w:rPr>
      </w:pPr>
    </w:p>
    <w:p>
      <w:pPr>
        <w:ind w:left="10" w:right="140"/>
        <w:spacing w:after="0" w:line="253" w:lineRule="auto"/>
        <w:rPr>
          <w:sz w:val="20"/>
          <w:szCs w:val="20"/>
          <w:color w:val="auto"/>
        </w:rPr>
      </w:pPr>
      <w:r>
        <w:rPr>
          <w:rFonts w:ascii="Times New Roman" w:cs="Times New Roman" w:eastAsia="Times New Roman" w:hAnsi="Times New Roman"/>
          <w:sz w:val="20"/>
          <w:szCs w:val="20"/>
          <w:color w:val="231F20"/>
        </w:rPr>
        <w:t>In February 2023, and as amended in August 2023, VIL issued optionally convertible debentures (the “VIL OCDs”) to ATC TIPL in exchange for VIL’s payment of certain amounts towards accounts receivables. The VIL OCDs were issued for an aggregate face value of 16.0 billion INR (approximately $193.2 million on the date of issuance). On March 23, 2024, we converted an aggregate face value of 14.4 billion INR (approximately $172.7 million) of VIL OCDs into 1,440 million shares of equity of VIL (the “VIL Shares”). On April 29, 2024, we completed the sale of 1,440 million VIL Shares at a price of 12.78 INR per share. The net proceeds for this transaction were approximately 18.0 billion INR (approximately $216.0 million at the date of settlement) after deducting commissions and fees. On June 5, 2024, we completed the sale of the remaining aggregate face value of 1.6 billion INR (approximately $19.2 million) of the VIL OCDs. The net proceeds for this transaction, excluding accrued interest, were approximately 1.8 billion INR (approximately $22.0 million at the date of settlement) after deducting fees. None of the VIL Shares or the VIL OCDs remained outstanding. During the year ended December 31, 2024, we recognized a gain of $46.4 million on the sale of the VIL Shares and the VIL OCDs.</w:t>
      </w:r>
    </w:p>
    <w:p>
      <w:pPr>
        <w:sectPr>
          <w:pgSz w:w="11880" w:h="15480" w:orient="portrait"/>
          <w:cols w:equalWidth="0" w:num="1">
            <w:col w:w="10270"/>
          </w:cols>
          <w:pgMar w:left="810" w:top="50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270"/>
          </w:cols>
          <w:pgMar w:left="810" w:top="506" w:right="800" w:bottom="0" w:gutter="0" w:footer="0" w:header="0"/>
          <w:type w:val="continuous"/>
        </w:sectPr>
      </w:pPr>
    </w:p>
    <w:bookmarkStart w:id="55" w:name="page56"/>
    <w:bookmarkEnd w:id="55"/>
    <w:p>
      <w:pPr>
        <w:ind w:left="10" w:right="980"/>
        <w:spacing w:after="0" w:line="286" w:lineRule="auto"/>
        <w:rPr>
          <w:sz w:val="20"/>
          <w:szCs w:val="20"/>
          <w:color w:val="auto"/>
        </w:rPr>
      </w:pPr>
      <w:r>
        <w:rPr>
          <w:rFonts w:ascii="Times New Roman" w:cs="Times New Roman" w:eastAsia="Times New Roman" w:hAnsi="Times New Roman"/>
          <w:sz w:val="20"/>
          <w:szCs w:val="20"/>
          <w:i w:val="1"/>
          <w:iCs w:val="1"/>
          <w:color w:val="231F20"/>
        </w:rPr>
        <w:t>Net Income / Adjusted EBITDA and Net Income / Nareit FFO attributable to American Tower Corporation common stockholders / AFFO attributable to American Tower Corporation common stockholders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2220" w:type="dxa"/>
            <w:vAlign w:val="bottom"/>
            <w:tcBorders>
              <w:bottom w:val="single" w:sz="8" w:color="231F20"/>
            </w:tcBorders>
            <w:gridSpan w:val="5"/>
            <w:vMerge w:val="continue"/>
          </w:tcPr>
          <w:p>
            <w:pPr>
              <w:spacing w:after="0"/>
              <w:rPr>
                <w:sz w:val="10"/>
                <w:szCs w:val="10"/>
                <w:color w:val="auto"/>
              </w:rPr>
            </w:pPr>
          </w:p>
        </w:tc>
        <w:tc>
          <w:tcPr>
            <w:tcW w:w="11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Net income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2,628.5</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2,280.2</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15 %</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Loss from discontinued operations, net of taxes </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978.3</w:t>
            </w:r>
          </w:p>
        </w:tc>
        <w:tc>
          <w:tcPr>
            <w:tcW w:w="80" w:type="dxa"/>
            <w:vAlign w:val="bottom"/>
          </w:tcPr>
          <w:p>
            <w:pPr>
              <w:spacing w:after="0"/>
              <w:rPr>
                <w:sz w:val="24"/>
                <w:szCs w:val="24"/>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Income tax provision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415.7</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366.3</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65"/>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Other expense (income)</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576.2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(377.6)</w:t>
            </w:r>
          </w:p>
        </w:tc>
        <w:tc>
          <w:tcPr>
            <w:tcW w:w="80" w:type="dxa"/>
            <w:vAlign w:val="bottom"/>
          </w:tcPr>
          <w:p>
            <w:pPr>
              <w:spacing w:after="0"/>
              <w:rPr>
                <w:sz w:val="24"/>
                <w:szCs w:val="24"/>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231F20"/>
              </w:rPr>
              <w:t>(253)</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Interest expense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1,359.4</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1,404.5</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5"/>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Interest income </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(135.2)</w:t>
            </w:r>
          </w:p>
        </w:tc>
        <w:tc>
          <w:tcPr>
            <w:tcW w:w="80" w:type="dxa"/>
            <w:vAlign w:val="bottom"/>
          </w:tcPr>
          <w:p>
            <w:pPr>
              <w:spacing w:after="0"/>
              <w:rPr>
                <w:sz w:val="24"/>
                <w:szCs w:val="24"/>
                <w:color w:val="auto"/>
              </w:rPr>
            </w:pPr>
          </w:p>
        </w:tc>
        <w:tc>
          <w:tcPr>
            <w:tcW w:w="11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Other operating expense</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68.4</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74.1</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5"/>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Depreciation, amortization and accretion</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2,041.6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2,028.8</w:t>
            </w:r>
          </w:p>
        </w:tc>
        <w:tc>
          <w:tcPr>
            <w:tcW w:w="80" w:type="dxa"/>
            <w:vAlign w:val="bottom"/>
          </w:tcPr>
          <w:p>
            <w:pPr>
              <w:spacing w:after="0"/>
              <w:rPr>
                <w:sz w:val="24"/>
                <w:szCs w:val="24"/>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315"/>
        </w:trPr>
        <w:tc>
          <w:tcPr>
            <w:tcW w:w="67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Stock-based compensation expense </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174.2</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80" w:type="dxa"/>
            <w:vAlign w:val="bottom"/>
            <w:tcBorders>
              <w:bottom w:val="single" w:sz="8" w:color="E3E4E5"/>
            </w:tcBorders>
            <w:shd w:val="clear" w:color="auto" w:fill="E3E4E5"/>
          </w:tcPr>
          <w:p>
            <w:pPr>
              <w:spacing w:after="0"/>
              <w:rPr>
                <w:sz w:val="24"/>
                <w:szCs w:val="24"/>
                <w:color w:val="auto"/>
              </w:rPr>
            </w:pPr>
          </w:p>
        </w:tc>
        <w:tc>
          <w:tcPr>
            <w:tcW w:w="1100" w:type="dxa"/>
            <w:vAlign w:val="bottom"/>
            <w:tcBorders>
              <w:bottom w:val="single" w:sz="8" w:color="E3E4E5"/>
            </w:tcBorders>
            <w:shd w:val="clear" w:color="auto" w:fill="E3E4E5"/>
          </w:tcPr>
          <w:p>
            <w:pPr>
              <w:jc w:val="right"/>
              <w:ind w:right="105"/>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59"/>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Adjusted EBITDA (1) </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7,130.0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6,812.1</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-1908810</wp:posOffset>
            </wp:positionV>
            <wp:extent cx="228282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282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-194310</wp:posOffset>
            </wp:positionV>
            <wp:extent cx="153987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Percent</w:t>
            </w: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2220" w:type="dxa"/>
            <w:vAlign w:val="bottom"/>
            <w:tcBorders>
              <w:bottom w:val="single" w:sz="8" w:color="231F20"/>
            </w:tcBorders>
            <w:gridSpan w:val="5"/>
            <w:vMerge w:val="continue"/>
          </w:tcPr>
          <w:p>
            <w:pPr>
              <w:spacing w:after="0"/>
              <w:rPr>
                <w:sz w:val="10"/>
                <w:szCs w:val="10"/>
                <w:color w:val="auto"/>
              </w:rPr>
            </w:pPr>
          </w:p>
        </w:tc>
        <w:tc>
          <w:tcPr>
            <w:tcW w:w="110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Change 2025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0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vs 2024</w:t>
            </w:r>
          </w:p>
        </w:tc>
        <w:tc>
          <w:tcPr>
            <w:tcW w:w="0" w:type="dxa"/>
            <w:vAlign w:val="bottom"/>
          </w:tcPr>
          <w:p>
            <w:pPr>
              <w:spacing w:after="0"/>
              <w:rPr>
                <w:sz w:val="1"/>
                <w:szCs w:val="1"/>
                <w:color w:val="auto"/>
              </w:rPr>
            </w:pPr>
          </w:p>
        </w:tc>
      </w:tr>
      <w:tr>
        <w:trPr>
          <w:trHeight w:val="29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Net income (1)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2,628.5</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2,280.2</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15 %</w:t>
            </w:r>
          </w:p>
        </w:tc>
        <w:tc>
          <w:tcPr>
            <w:tcW w:w="0" w:type="dxa"/>
            <w:vAlign w:val="bottom"/>
          </w:tcPr>
          <w:p>
            <w:pPr>
              <w:spacing w:after="0"/>
              <w:rPr>
                <w:sz w:val="1"/>
                <w:szCs w:val="1"/>
                <w:color w:val="auto"/>
              </w:rPr>
            </w:pPr>
          </w:p>
        </w:tc>
      </w:tr>
      <w:tr>
        <w:trPr>
          <w:trHeight w:val="293"/>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Real estate related depreciation, amortization and accretion</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1,899.6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1,879.6</w:t>
            </w:r>
          </w:p>
        </w:tc>
        <w:tc>
          <w:tcPr>
            <w:tcW w:w="80" w:type="dxa"/>
            <w:vAlign w:val="bottom"/>
          </w:tcPr>
          <w:p>
            <w:pPr>
              <w:spacing w:after="0"/>
              <w:rPr>
                <w:sz w:val="24"/>
                <w:szCs w:val="24"/>
                <w:color w:val="auto"/>
              </w:rPr>
            </w:pPr>
          </w:p>
        </w:tc>
        <w:tc>
          <w:tcPr>
            <w:tcW w:w="11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20"/>
        </w:trPr>
        <w:tc>
          <w:tcPr>
            <w:tcW w:w="6700" w:type="dxa"/>
            <w:vAlign w:val="bottom"/>
            <w:shd w:val="clear" w:color="auto" w:fill="E3E4E5"/>
          </w:tcPr>
          <w:p>
            <w:pPr>
              <w:ind w:left="40"/>
              <w:spacing w:after="0" w:line="220" w:lineRule="exact"/>
              <w:rPr>
                <w:sz w:val="20"/>
                <w:szCs w:val="20"/>
                <w:color w:val="auto"/>
              </w:rPr>
            </w:pPr>
            <w:r>
              <w:rPr>
                <w:rFonts w:ascii="Times New Roman" w:cs="Times New Roman" w:eastAsia="Times New Roman" w:hAnsi="Times New Roman"/>
                <w:sz w:val="20"/>
                <w:szCs w:val="20"/>
                <w:color w:val="231F20"/>
              </w:rPr>
              <w:t>Losses from sale or disposal of real estate and real estate related impairment</w:t>
            </w:r>
          </w:p>
        </w:tc>
        <w:tc>
          <w:tcPr>
            <w:tcW w:w="240" w:type="dxa"/>
            <w:vAlign w:val="bottom"/>
            <w:shd w:val="clear" w:color="auto" w:fill="E3E4E5"/>
          </w:tcPr>
          <w:p>
            <w:pPr>
              <w:spacing w:after="0"/>
              <w:rPr>
                <w:sz w:val="19"/>
                <w:szCs w:val="19"/>
                <w:color w:val="auto"/>
              </w:rPr>
            </w:pPr>
          </w:p>
        </w:tc>
        <w:tc>
          <w:tcPr>
            <w:tcW w:w="9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86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110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charges (2)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83.5</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91.6</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3"/>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14"/>
        </w:trPr>
        <w:tc>
          <w:tcPr>
            <w:tcW w:w="67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231F20"/>
              </w:rPr>
              <w:t>Adjustments and distributions for unconsolidated affiliates and noncontrolling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interests (3)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(450.7)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(352.7)</w:t>
            </w:r>
          </w:p>
        </w:tc>
        <w:tc>
          <w:tcPr>
            <w:tcW w:w="80" w:type="dxa"/>
            <w:vAlign w:val="bottom"/>
          </w:tcPr>
          <w:p>
            <w:pPr>
              <w:spacing w:after="0"/>
              <w:rPr>
                <w:sz w:val="23"/>
                <w:szCs w:val="23"/>
                <w:color w:val="auto"/>
              </w:rPr>
            </w:pPr>
          </w:p>
        </w:tc>
        <w:tc>
          <w:tcPr>
            <w:tcW w:w="11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315"/>
        </w:trPr>
        <w:tc>
          <w:tcPr>
            <w:tcW w:w="67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Adjustments for discontinued operations (4)</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1,334.5</w:t>
            </w:r>
          </w:p>
        </w:tc>
        <w:tc>
          <w:tcPr>
            <w:tcW w:w="80" w:type="dxa"/>
            <w:vAlign w:val="bottom"/>
            <w:tcBorders>
              <w:bottom w:val="single" w:sz="8" w:color="E3E4E5"/>
            </w:tcBorders>
            <w:shd w:val="clear" w:color="auto" w:fill="E3E4E5"/>
          </w:tcPr>
          <w:p>
            <w:pPr>
              <w:spacing w:after="0"/>
              <w:rPr>
                <w:sz w:val="24"/>
                <w:szCs w:val="24"/>
                <w:color w:val="auto"/>
              </w:rPr>
            </w:pPr>
          </w:p>
        </w:tc>
        <w:tc>
          <w:tcPr>
            <w:tcW w:w="1100" w:type="dxa"/>
            <w:vAlign w:val="bottom"/>
            <w:tcBorders>
              <w:bottom w:val="single" w:sz="8" w:color="E3E4E5"/>
            </w:tcBorders>
            <w:shd w:val="clear" w:color="auto" w:fill="E3E4E5"/>
          </w:tcPr>
          <w:p>
            <w:pPr>
              <w:jc w:val="right"/>
              <w:ind w:right="103"/>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185"/>
        </w:trPr>
        <w:tc>
          <w:tcPr>
            <w:tcW w:w="6700" w:type="dxa"/>
            <w:vAlign w:val="bottom"/>
          </w:tcPr>
          <w:p>
            <w:pPr>
              <w:ind w:left="400"/>
              <w:spacing w:after="0" w:line="185" w:lineRule="exact"/>
              <w:rPr>
                <w:sz w:val="20"/>
                <w:szCs w:val="20"/>
                <w:color w:val="auto"/>
              </w:rPr>
            </w:pPr>
            <w:r>
              <w:rPr>
                <w:rFonts w:ascii="Times New Roman" w:cs="Times New Roman" w:eastAsia="Times New Roman" w:hAnsi="Times New Roman"/>
                <w:sz w:val="20"/>
                <w:szCs w:val="20"/>
                <w:color w:val="231F20"/>
              </w:rPr>
              <w:t>Nareit FFO attributable to American Tower Corporation common</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stockholders</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4,160.9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5,233.2</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307"/>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Straight-line revenue</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(101.0)</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(277.6)</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3"/>
              <w:spacing w:after="0"/>
              <w:rPr>
                <w:sz w:val="20"/>
                <w:szCs w:val="20"/>
                <w:color w:val="auto"/>
              </w:rPr>
            </w:pPr>
            <w:r>
              <w:rPr>
                <w:rFonts w:ascii="Times New Roman" w:cs="Times New Roman" w:eastAsia="Times New Roman" w:hAnsi="Times New Roman"/>
                <w:sz w:val="20"/>
                <w:szCs w:val="20"/>
                <w:color w:val="231F20"/>
              </w:rPr>
              <w:t>(64)</w:t>
            </w:r>
          </w:p>
        </w:tc>
        <w:tc>
          <w:tcPr>
            <w:tcW w:w="0" w:type="dxa"/>
            <w:vAlign w:val="bottom"/>
          </w:tcPr>
          <w:p>
            <w:pPr>
              <w:spacing w:after="0"/>
              <w:rPr>
                <w:sz w:val="1"/>
                <w:szCs w:val="1"/>
                <w:color w:val="auto"/>
              </w:rPr>
            </w:pPr>
          </w:p>
        </w:tc>
      </w:tr>
      <w:tr>
        <w:trPr>
          <w:trHeight w:val="293"/>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Straight-line expense </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w:t>
            </w:r>
          </w:p>
        </w:tc>
        <w:tc>
          <w:tcPr>
            <w:tcW w:w="8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307"/>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Stock-based compensation expense</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174.2</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3"/>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93"/>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Deferred portion of income tax and other income tax adjustments (5) </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88.7</w:t>
            </w:r>
          </w:p>
        </w:tc>
        <w:tc>
          <w:tcPr>
            <w:tcW w:w="80" w:type="dxa"/>
            <w:vAlign w:val="bottom"/>
          </w:tcPr>
          <w:p>
            <w:pPr>
              <w:spacing w:after="0"/>
              <w:rPr>
                <w:sz w:val="24"/>
                <w:szCs w:val="24"/>
                <w:color w:val="auto"/>
              </w:rPr>
            </w:pPr>
          </w:p>
        </w:tc>
        <w:tc>
          <w:tcPr>
            <w:tcW w:w="11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307"/>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Non-real estate related depreciation, amortization and accretion</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142.0</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149.2</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3"/>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14"/>
        </w:trPr>
        <w:tc>
          <w:tcPr>
            <w:tcW w:w="6700" w:type="dxa"/>
            <w:vAlign w:val="bottom"/>
          </w:tcPr>
          <w:p>
            <w:pPr>
              <w:ind w:left="40"/>
              <w:spacing w:after="0" w:line="213" w:lineRule="exact"/>
              <w:rPr>
                <w:sz w:val="20"/>
                <w:szCs w:val="20"/>
                <w:color w:val="auto"/>
              </w:rPr>
            </w:pPr>
            <w:r>
              <w:rPr>
                <w:rFonts w:ascii="Times New Roman" w:cs="Times New Roman" w:eastAsia="Times New Roman" w:hAnsi="Times New Roman"/>
                <w:sz w:val="20"/>
                <w:szCs w:val="20"/>
                <w:color w:val="231F20"/>
              </w:rPr>
              <w:t>Amortization of deferred financing costs, capitalized interest, debt discounts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premiums and long-term deferred interest charges</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54.1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80" w:type="dxa"/>
            <w:vAlign w:val="bottom"/>
          </w:tcPr>
          <w:p>
            <w:pPr>
              <w:spacing w:after="0"/>
              <w:rPr>
                <w:sz w:val="23"/>
                <w:szCs w:val="23"/>
                <w:color w:val="auto"/>
              </w:rPr>
            </w:pPr>
          </w:p>
        </w:tc>
        <w:tc>
          <w:tcPr>
            <w:tcW w:w="110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Other expense (income) (6)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576.2</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(377.6)</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03"/>
              <w:spacing w:after="0"/>
              <w:rPr>
                <w:sz w:val="20"/>
                <w:szCs w:val="20"/>
                <w:color w:val="auto"/>
              </w:rPr>
            </w:pPr>
            <w:r>
              <w:rPr>
                <w:rFonts w:ascii="Times New Roman" w:cs="Times New Roman" w:eastAsia="Times New Roman" w:hAnsi="Times New Roman"/>
                <w:sz w:val="20"/>
                <w:szCs w:val="20"/>
                <w:color w:val="231F20"/>
              </w:rPr>
              <w:t>(253)</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Other operating income (7)</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w:t>
            </w:r>
          </w:p>
        </w:tc>
        <w:tc>
          <w:tcPr>
            <w:tcW w:w="8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306"/>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Capital improvement capital expenditures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(185.2)</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(157.4)</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63"/>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94"/>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Corporate capital expenditures </w:t>
            </w:r>
            <w:r>
              <w:rPr>
                <w:rFonts w:ascii="Times New Roman" w:cs="Times New Roman" w:eastAsia="Times New Roman" w:hAnsi="Times New Roman"/>
                <w:sz w:val="20"/>
                <w:szCs w:val="20"/>
                <w:color w:val="BABCBE"/>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8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231F20"/>
              </w:rPr>
              <w:t>(25)</w:t>
            </w:r>
          </w:p>
        </w:tc>
        <w:tc>
          <w:tcPr>
            <w:tcW w:w="0" w:type="dxa"/>
            <w:vAlign w:val="bottom"/>
          </w:tcPr>
          <w:p>
            <w:pPr>
              <w:spacing w:after="0"/>
              <w:rPr>
                <w:sz w:val="1"/>
                <w:szCs w:val="1"/>
                <w:color w:val="auto"/>
              </w:rPr>
            </w:pPr>
          </w:p>
        </w:tc>
      </w:tr>
      <w:tr>
        <w:trPr>
          <w:trHeight w:val="220"/>
        </w:trPr>
        <w:tc>
          <w:tcPr>
            <w:tcW w:w="6700" w:type="dxa"/>
            <w:vAlign w:val="bottom"/>
            <w:shd w:val="clear" w:color="auto" w:fill="E3E4E5"/>
          </w:tcPr>
          <w:p>
            <w:pPr>
              <w:ind w:left="40"/>
              <w:spacing w:after="0" w:line="220" w:lineRule="exact"/>
              <w:rPr>
                <w:sz w:val="20"/>
                <w:szCs w:val="20"/>
                <w:color w:val="auto"/>
              </w:rPr>
            </w:pPr>
            <w:r>
              <w:rPr>
                <w:rFonts w:ascii="Times New Roman" w:cs="Times New Roman" w:eastAsia="Times New Roman" w:hAnsi="Times New Roman"/>
                <w:sz w:val="20"/>
                <w:szCs w:val="20"/>
                <w:color w:val="231F20"/>
              </w:rPr>
              <w:t>Adjustments and distributions for unconsolidated affiliates and noncontrolling</w:t>
            </w:r>
          </w:p>
        </w:tc>
        <w:tc>
          <w:tcPr>
            <w:tcW w:w="240" w:type="dxa"/>
            <w:vAlign w:val="bottom"/>
            <w:shd w:val="clear" w:color="auto" w:fill="E3E4E5"/>
          </w:tcPr>
          <w:p>
            <w:pPr>
              <w:spacing w:after="0"/>
              <w:rPr>
                <w:sz w:val="19"/>
                <w:szCs w:val="19"/>
                <w:color w:val="auto"/>
              </w:rPr>
            </w:pPr>
          </w:p>
        </w:tc>
        <w:tc>
          <w:tcPr>
            <w:tcW w:w="9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86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110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interests (8)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59.7</w:t>
            </w: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ind w:right="163"/>
              <w:spacing w:after="0"/>
              <w:rPr>
                <w:sz w:val="20"/>
                <w:szCs w:val="20"/>
                <w:color w:val="auto"/>
              </w:rPr>
            </w:pPr>
            <w:r>
              <w:rPr>
                <w:rFonts w:ascii="Times New Roman" w:cs="Times New Roman" w:eastAsia="Times New Roman" w:hAnsi="Times New Roman"/>
                <w:sz w:val="20"/>
                <w:szCs w:val="20"/>
                <w:color w:val="231F20"/>
              </w:rPr>
              <w:t>1,257</w:t>
            </w:r>
          </w:p>
        </w:tc>
        <w:tc>
          <w:tcPr>
            <w:tcW w:w="0" w:type="dxa"/>
            <w:vAlign w:val="bottom"/>
          </w:tcPr>
          <w:p>
            <w:pPr>
              <w:spacing w:after="0"/>
              <w:rPr>
                <w:sz w:val="1"/>
                <w:szCs w:val="1"/>
                <w:color w:val="auto"/>
              </w:rPr>
            </w:pPr>
          </w:p>
        </w:tc>
      </w:tr>
      <w:tr>
        <w:trPr>
          <w:trHeight w:val="290"/>
        </w:trPr>
        <w:tc>
          <w:tcPr>
            <w:tcW w:w="67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Adjustments for discontinued operations (9)</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w:t>
            </w:r>
          </w:p>
        </w:tc>
        <w:tc>
          <w:tcPr>
            <w:tcW w:w="80" w:type="dxa"/>
            <w:vAlign w:val="bottom"/>
            <w:tcBorders>
              <w:bottom w:val="single" w:sz="8" w:color="E3E4E5"/>
            </w:tcBorders>
          </w:tcPr>
          <w:p>
            <w:pPr>
              <w:spacing w:after="0"/>
              <w:rPr>
                <w:sz w:val="24"/>
                <w:szCs w:val="24"/>
                <w:color w:val="auto"/>
              </w:rPr>
            </w:pPr>
          </w:p>
        </w:tc>
        <w:tc>
          <w:tcPr>
            <w:tcW w:w="1100" w:type="dxa"/>
            <w:vAlign w:val="bottom"/>
            <w:tcBorders>
              <w:bottom w:val="single" w:sz="8" w:color="E3E4E5"/>
            </w:tcBorders>
          </w:tcPr>
          <w:p>
            <w:pPr>
              <w:jc w:val="right"/>
              <w:ind w:right="103"/>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80"/>
        </w:trPr>
        <w:tc>
          <w:tcPr>
            <w:tcW w:w="67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AFFO attributable to American Tower Corporation common stockholders</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5,041.6</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4,934.1</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2 %</w:t>
            </w:r>
          </w:p>
        </w:tc>
        <w:tc>
          <w:tcPr>
            <w:tcW w:w="0" w:type="dxa"/>
            <w:vAlign w:val="bottom"/>
          </w:tcPr>
          <w:p>
            <w:pPr>
              <w:spacing w:after="0"/>
              <w:rPr>
                <w:sz w:val="1"/>
                <w:szCs w:val="1"/>
                <w:color w:val="auto"/>
              </w:rPr>
            </w:pPr>
          </w:p>
        </w:tc>
      </w:tr>
      <w:tr>
        <w:trPr>
          <w:trHeight w:val="20"/>
        </w:trPr>
        <w:tc>
          <w:tcPr>
            <w:tcW w:w="6700" w:type="dxa"/>
            <w:vAlign w:val="bottom"/>
            <w:tcBorders>
              <w:top w:val="single" w:sz="8" w:color="E3E4E5"/>
              <w:bottom w:val="single" w:sz="8" w:color="E3E4E5"/>
            </w:tcBorders>
            <w:vMerge w:val="restart"/>
          </w:tcPr>
          <w:p>
            <w:pPr>
              <w:ind w:left="400"/>
              <w:spacing w:after="0" w:line="204" w:lineRule="exact"/>
              <w:rPr>
                <w:sz w:val="20"/>
                <w:szCs w:val="20"/>
                <w:color w:val="auto"/>
              </w:rPr>
            </w:pPr>
            <w:r>
              <w:rPr>
                <w:rFonts w:ascii="Times New Roman" w:cs="Times New Roman" w:eastAsia="Times New Roman" w:hAnsi="Times New Roman"/>
                <w:sz w:val="20"/>
                <w:szCs w:val="20"/>
                <w:color w:val="231F20"/>
              </w:rPr>
              <w:t>AFFO attributable to American Tower Corporation common stockholders</w:t>
            </w: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100" w:type="dxa"/>
            <w:vAlign w:val="bottom"/>
            <w:tcBorders>
              <w:top w:val="single" w:sz="8" w:color="E3E4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from continuing operations</w:t>
            </w:r>
            <w:r>
              <w:rPr>
                <w:rFonts w:ascii="Times New Roman" w:cs="Times New Roman" w:eastAsia="Times New Roman" w:hAnsi="Times New Roman"/>
                <w:sz w:val="20"/>
                <w:szCs w:val="20"/>
                <w:color w:val="BABCBE"/>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5,041.6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4,568.9</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0" w:type="dxa"/>
            <w:vAlign w:val="bottom"/>
          </w:tcPr>
          <w:p>
            <w:pPr>
              <w:spacing w:after="0"/>
              <w:rPr>
                <w:sz w:val="1"/>
                <w:szCs w:val="1"/>
                <w:color w:val="auto"/>
              </w:rPr>
            </w:pPr>
          </w:p>
        </w:tc>
      </w:tr>
      <w:tr>
        <w:trPr>
          <w:trHeight w:val="220"/>
        </w:trPr>
        <w:tc>
          <w:tcPr>
            <w:tcW w:w="6700" w:type="dxa"/>
            <w:vAlign w:val="bottom"/>
            <w:shd w:val="clear" w:color="auto" w:fill="E3E4E5"/>
          </w:tcPr>
          <w:p>
            <w:pPr>
              <w:ind w:left="400"/>
              <w:spacing w:after="0" w:line="220" w:lineRule="exact"/>
              <w:rPr>
                <w:sz w:val="20"/>
                <w:szCs w:val="20"/>
                <w:color w:val="auto"/>
              </w:rPr>
            </w:pPr>
            <w:r>
              <w:rPr>
                <w:rFonts w:ascii="Times New Roman" w:cs="Times New Roman" w:eastAsia="Times New Roman" w:hAnsi="Times New Roman"/>
                <w:sz w:val="20"/>
                <w:szCs w:val="20"/>
                <w:color w:val="231F20"/>
              </w:rPr>
              <w:t>AFFO attributable to American Tower Corporation common stockholders</w:t>
            </w:r>
          </w:p>
        </w:tc>
        <w:tc>
          <w:tcPr>
            <w:tcW w:w="240" w:type="dxa"/>
            <w:vAlign w:val="bottom"/>
            <w:shd w:val="clear" w:color="auto" w:fill="E3E4E5"/>
          </w:tcPr>
          <w:p>
            <w:pPr>
              <w:spacing w:after="0"/>
              <w:rPr>
                <w:sz w:val="19"/>
                <w:szCs w:val="19"/>
                <w:color w:val="auto"/>
              </w:rPr>
            </w:pPr>
          </w:p>
        </w:tc>
        <w:tc>
          <w:tcPr>
            <w:tcW w:w="920" w:type="dxa"/>
            <w:vAlign w:val="bottom"/>
            <w:shd w:val="clear" w:color="auto" w:fill="E3E4E5"/>
          </w:tcPr>
          <w:p>
            <w:pPr>
              <w:spacing w:after="0"/>
              <w:rPr>
                <w:sz w:val="19"/>
                <w:szCs w:val="19"/>
                <w:color w:val="auto"/>
              </w:rPr>
            </w:pPr>
          </w:p>
        </w:tc>
        <w:tc>
          <w:tcPr>
            <w:tcW w:w="6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86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110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70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 xml:space="preserve">from discontinued operations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365.2</w:t>
            </w:r>
          </w:p>
        </w:tc>
        <w:tc>
          <w:tcPr>
            <w:tcW w:w="8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-4879340</wp:posOffset>
            </wp:positionV>
            <wp:extent cx="228282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282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-3679190</wp:posOffset>
            </wp:positionV>
            <wp:extent cx="153987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-831215</wp:posOffset>
            </wp:positionV>
            <wp:extent cx="15398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-653415</wp:posOffset>
            </wp:positionV>
            <wp:extent cx="153987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spacing w:after="0" w:line="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10" w:lineRule="exact"/>
        <w:rPr>
          <w:sz w:val="20"/>
          <w:szCs w:val="20"/>
          <w:color w:val="auto"/>
        </w:rPr>
      </w:pPr>
    </w:p>
    <w:p>
      <w:pPr>
        <w:ind w:left="370" w:hanging="370"/>
        <w:spacing w:after="0"/>
        <w:tabs>
          <w:tab w:leader="none" w:pos="37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2024, includes Loss from discontinued operations, net of taxes of $978.3 million.</w:t>
      </w:r>
    </w:p>
    <w:p>
      <w:pPr>
        <w:spacing w:after="0" w:line="6" w:lineRule="exact"/>
        <w:rPr>
          <w:rFonts w:ascii="Times New Roman" w:cs="Times New Roman" w:eastAsia="Times New Roman" w:hAnsi="Times New Roman"/>
          <w:sz w:val="16"/>
          <w:szCs w:val="16"/>
          <w:color w:val="231F20"/>
        </w:rPr>
      </w:pPr>
    </w:p>
    <w:p>
      <w:pPr>
        <w:ind w:left="370" w:right="340" w:hanging="370"/>
        <w:spacing w:after="0" w:line="260" w:lineRule="auto"/>
        <w:tabs>
          <w:tab w:leader="none" w:pos="37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years ended December 31, 2025 and 2024, includes impairment charges of $100.7 million and $68.6 million, respectively. For the year ended December 31, 2025, includes a gain on the sale of South Africa Fiber of $53.6 million.</w:t>
      </w:r>
    </w:p>
    <w:p>
      <w:pPr>
        <w:sectPr>
          <w:pgSz w:w="11880" w:h="15480" w:orient="portrait"/>
          <w:cols w:equalWidth="0" w:num="1">
            <w:col w:w="10270"/>
          </w:cols>
          <w:pgMar w:left="810" w:top="389" w:right="80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270"/>
          </w:cols>
          <w:pgMar w:left="810" w:top="389" w:right="800" w:bottom="0" w:gutter="0" w:footer="0" w:header="0"/>
          <w:type w:val="continuous"/>
        </w:sectPr>
      </w:pPr>
    </w:p>
    <w:bookmarkStart w:id="56" w:name="page57"/>
    <w:bookmarkEnd w:id="56"/>
    <w:p>
      <w:pPr>
        <w:ind w:left="370" w:right="100" w:hanging="370"/>
        <w:spacing w:after="0" w:line="257" w:lineRule="auto"/>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distributions to noncontrolling interest holders, distributions related to the outstanding mandatorily convertible preferred equity in connection with our agreements with certain investment vehicles affiliated with Stonepeak Partners LP and adjustments for the impact of noncontrolling interests on Nareit FFO attributable to American Tower Corporation common stockholders.</w:t>
      </w:r>
    </w:p>
    <w:p>
      <w:pPr>
        <w:spacing w:after="0" w:line="1" w:lineRule="exact"/>
        <w:rPr>
          <w:rFonts w:ascii="Times New Roman" w:cs="Times New Roman" w:eastAsia="Times New Roman" w:hAnsi="Times New Roman"/>
          <w:sz w:val="16"/>
          <w:szCs w:val="16"/>
          <w:color w:val="231F20"/>
        </w:rPr>
      </w:pPr>
    </w:p>
    <w:p>
      <w:pPr>
        <w:ind w:left="370" w:right="240" w:hanging="370"/>
        <w:spacing w:after="0" w:line="250" w:lineRule="auto"/>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2024, includes (i) real estate related depreciation, amortization and accretion for discontinued operations of $91.3 million, (ii) losses from the sale or disposal of real estate and real estate related impairment charges for discontinued operations of $1.2 billion. For the year ended December 31, 2024, includes a loss on the sale of ATC TIPL of $1.2 billion.</w:t>
      </w:r>
    </w:p>
    <w:p>
      <w:pPr>
        <w:spacing w:after="0" w:line="1"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adjustments for (i) $0.3 million of taxes paid in Singapore related to the ATC TIPL Transaction, (ii)</w:t>
      </w:r>
    </w:p>
    <w:p>
      <w:pPr>
        <w:spacing w:after="0" w:line="8" w:lineRule="exact"/>
        <w:rPr>
          <w:rFonts w:ascii="Times New Roman" w:cs="Times New Roman" w:eastAsia="Times New Roman" w:hAnsi="Times New Roman"/>
          <w:sz w:val="16"/>
          <w:szCs w:val="16"/>
          <w:color w:val="231F20"/>
        </w:rPr>
      </w:pPr>
    </w:p>
    <w:p>
      <w:pPr>
        <w:ind w:left="370"/>
        <w:spacing w:after="0" w:line="250"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$25.8 million of taxes paid in South Africa, which were incurred as a result of the sale of South Africa Fiber, (iii) $30.4 million of taxes paid related to the sale of equity securities in the U.S. and (iv) $6.5 million of other tax adjustments. For the year ended December 31, 2024, includes adjustments for withholding taxes paid in Singapore of $36.4 million, which were incurred as a result of the ATC TIPL Transaction. We believe that these tax payments are nonrecurring, and do not believe these are an indication of our operating performance. Accordingly, we believe it is more meaningful to present AFFO attributable to American Tower Corporation common stockholders excluding these amounts.</w:t>
      </w:r>
    </w:p>
    <w:p>
      <w:pPr>
        <w:spacing w:after="0" w:line="1"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losses (gains) on foreign currency exchange rate fluctuations of $809.4 million and $(308.3) million, respectively.</w:t>
      </w:r>
    </w:p>
    <w:p>
      <w:pPr>
        <w:spacing w:after="0" w:line="8"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acquisition-related costs, integration costs and disposition costs.</w:t>
      </w:r>
    </w:p>
    <w:p>
      <w:pPr>
        <w:spacing w:after="0" w:line="8" w:lineRule="exact"/>
        <w:rPr>
          <w:rFonts w:ascii="Times New Roman" w:cs="Times New Roman" w:eastAsia="Times New Roman" w:hAnsi="Times New Roman"/>
          <w:sz w:val="16"/>
          <w:szCs w:val="16"/>
          <w:color w:val="231F20"/>
        </w:rPr>
      </w:pPr>
    </w:p>
    <w:p>
      <w:pPr>
        <w:ind w:left="370" w:right="380" w:hanging="370"/>
        <w:spacing w:after="0" w:line="250" w:lineRule="auto"/>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adjustments for the impact of noncontrolling interests on other line items, excluding those already adjusted for in Nareit FFO attributable to American Tower Corporation common stockholders.</w:t>
      </w:r>
    </w:p>
    <w:p>
      <w:pPr>
        <w:ind w:left="370" w:right="440" w:hanging="370"/>
        <w:spacing w:after="0" w:line="260" w:lineRule="auto"/>
        <w:tabs>
          <w:tab w:leader="none" w:pos="37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impact of discontinued operations associated with other line items, excluding the impact already included in Nareit FFO attributable to American Tower Corporation common stockholders.</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Year Ended December 31, 2025</w:t>
      </w:r>
    </w:p>
    <w:p>
      <w:pPr>
        <w:spacing w:after="0" w:line="174" w:lineRule="exact"/>
        <w:rPr>
          <w:sz w:val="20"/>
          <w:szCs w:val="20"/>
          <w:color w:val="auto"/>
        </w:rPr>
      </w:pPr>
    </w:p>
    <w:p>
      <w:pPr>
        <w:ind w:left="10" w:right="300"/>
        <w:spacing w:after="0" w:line="281" w:lineRule="auto"/>
        <w:rPr>
          <w:sz w:val="20"/>
          <w:szCs w:val="20"/>
          <w:color w:val="auto"/>
        </w:rPr>
      </w:pPr>
      <w:r>
        <w:rPr>
          <w:rFonts w:ascii="Times New Roman" w:cs="Times New Roman" w:eastAsia="Times New Roman" w:hAnsi="Times New Roman"/>
          <w:sz w:val="20"/>
          <w:szCs w:val="20"/>
          <w:color w:val="231F20"/>
        </w:rPr>
        <w:t>The increase in net income was primarily due to losses from discontinued operations, net of tax, as a result of the ATC TIPL Transaction in the prior year.</w:t>
      </w:r>
    </w:p>
    <w:p>
      <w:pPr>
        <w:spacing w:after="0" w:line="101" w:lineRule="exact"/>
        <w:rPr>
          <w:sz w:val="20"/>
          <w:szCs w:val="20"/>
          <w:color w:val="auto"/>
        </w:rPr>
      </w:pPr>
    </w:p>
    <w:p>
      <w:pPr>
        <w:ind w:left="10" w:right="220"/>
        <w:spacing w:after="0" w:line="266" w:lineRule="auto"/>
        <w:rPr>
          <w:sz w:val="20"/>
          <w:szCs w:val="20"/>
          <w:color w:val="auto"/>
        </w:rPr>
      </w:pPr>
      <w:r>
        <w:rPr>
          <w:rFonts w:ascii="Times New Roman" w:cs="Times New Roman" w:eastAsia="Times New Roman" w:hAnsi="Times New Roman"/>
          <w:sz w:val="20"/>
          <w:szCs w:val="20"/>
          <w:color w:val="231F20"/>
        </w:rPr>
        <w:t>The decrease in net income from continuing operations was primarily due to (i) changes in other income (expense), primarily due to foreign currency exchange rate fluctuations and (ii) an increase in the income tax provision, partially offset by (y) an increase in segment operating profit and (z) a decrease in interest expense.</w:t>
      </w:r>
    </w:p>
    <w:p>
      <w:pPr>
        <w:spacing w:after="0" w:line="115" w:lineRule="exact"/>
        <w:rPr>
          <w:sz w:val="20"/>
          <w:szCs w:val="20"/>
          <w:color w:val="auto"/>
        </w:rPr>
      </w:pPr>
    </w:p>
    <w:p>
      <w:pPr>
        <w:ind w:left="10" w:right="140"/>
        <w:spacing w:after="0" w:line="281" w:lineRule="auto"/>
        <w:rPr>
          <w:sz w:val="20"/>
          <w:szCs w:val="20"/>
          <w:color w:val="auto"/>
        </w:rPr>
      </w:pPr>
      <w:r>
        <w:rPr>
          <w:rFonts w:ascii="Times New Roman" w:cs="Times New Roman" w:eastAsia="Times New Roman" w:hAnsi="Times New Roman"/>
          <w:sz w:val="20"/>
          <w:szCs w:val="20"/>
          <w:color w:val="231F20"/>
        </w:rPr>
        <w:t>The increase in Adjusted EBITDA was primarily attributable to an increase in our gross margin, partially offset by an increase in SG&amp;A, excluding the impact of stock-based compensation expense of $25.8 million.</w:t>
      </w:r>
    </w:p>
    <w:p>
      <w:pPr>
        <w:spacing w:after="0" w:line="101" w:lineRule="exact"/>
        <w:rPr>
          <w:sz w:val="20"/>
          <w:szCs w:val="20"/>
          <w:color w:val="auto"/>
        </w:rPr>
      </w:pPr>
    </w:p>
    <w:p>
      <w:pPr>
        <w:ind w:left="10" w:right="80"/>
        <w:spacing w:after="0" w:line="256" w:lineRule="auto"/>
        <w:rPr>
          <w:sz w:val="20"/>
          <w:szCs w:val="20"/>
          <w:color w:val="auto"/>
        </w:rPr>
      </w:pPr>
      <w:r>
        <w:rPr>
          <w:rFonts w:ascii="Times New Roman" w:cs="Times New Roman" w:eastAsia="Times New Roman" w:hAnsi="Times New Roman"/>
          <w:sz w:val="20"/>
          <w:szCs w:val="20"/>
          <w:color w:val="231F20"/>
        </w:rPr>
        <w:t>The increase in AFFO attributable to American Tower Corporation common stockholders was primarily attributable to (i) an increase in our operating profit, excluding the impact of straight-line accounting, and (ii) decreases in cash paid for interest and cash paid for income taxes, partially offset by (x) a decrease in AFFO attributable to American Tower Corporation common stockholders from discontinued operations as a result of the sale of ATC TIPL in the third quarter of 2024, (y) an increase in capital improvement capital expenditures and (z) an increase in distributions and adjustments for noncontrolling interests, including distributions to noncontrolling interest holders in our Data Centers segment.</w:t>
      </w:r>
    </w:p>
    <w:p>
      <w:pPr>
        <w:sectPr>
          <w:pgSz w:w="11880" w:h="15480" w:orient="portrait"/>
          <w:cols w:equalWidth="0" w:num="1">
            <w:col w:w="10250"/>
          </w:cols>
          <w:pgMar w:left="810" w:top="40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250"/>
          </w:cols>
          <w:pgMar w:left="810" w:top="405" w:right="820" w:bottom="0" w:gutter="0" w:footer="0" w:header="0"/>
          <w:type w:val="continuous"/>
        </w:sectPr>
      </w:pPr>
    </w:p>
    <w:bookmarkStart w:id="57" w:name="page58"/>
    <w:bookmarkEnd w:id="57"/>
    <w:p>
      <w:pPr>
        <w:ind w:left="10"/>
        <w:spacing w:after="0"/>
        <w:rPr>
          <w:sz w:val="20"/>
          <w:szCs w:val="20"/>
          <w:color w:val="auto"/>
        </w:rPr>
      </w:pPr>
      <w:r>
        <w:rPr>
          <w:rFonts w:ascii="Times New Roman" w:cs="Times New Roman" w:eastAsia="Times New Roman" w:hAnsi="Times New Roman"/>
          <w:sz w:val="20"/>
          <w:szCs w:val="20"/>
          <w:i w:val="1"/>
          <w:iCs w:val="1"/>
          <w:color w:val="231F20"/>
        </w:rPr>
        <w:t>Segment Gross Margin Reconciliation</w:t>
      </w:r>
    </w:p>
    <w:p>
      <w:pPr>
        <w:spacing w:after="0" w:line="174"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231F20"/>
        </w:rPr>
        <w:t>Gross margin is defined as revenue less costs of operations inclusive of real estate related depreciation, amortization and accretion. Segment gross margin excludes depreciation, amortization and accretion.</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60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231F20"/>
                <w:w w:val="97"/>
              </w:rPr>
              <w:t>Property</w:t>
            </w: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160" w:type="dxa"/>
            <w:vAlign w:val="bottom"/>
          </w:tcPr>
          <w:p>
            <w:pPr>
              <w:spacing w:after="0"/>
              <w:rPr>
                <w:sz w:val="16"/>
                <w:szCs w:val="16"/>
                <w:color w:val="auto"/>
              </w:rPr>
            </w:pP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rPr>
              <w:t>U.S. &amp;</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231F20"/>
              </w:rPr>
              <w:t>Africa &amp;</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Data</w:t>
            </w:r>
          </w:p>
        </w:tc>
        <w:tc>
          <w:tcPr>
            <w:tcW w:w="140" w:type="dxa"/>
            <w:vAlign w:val="bottom"/>
          </w:tcPr>
          <w:p>
            <w:pPr>
              <w:spacing w:after="0"/>
              <w:rPr>
                <w:sz w:val="16"/>
                <w:szCs w:val="16"/>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w w:val="99"/>
              </w:rPr>
              <w:t>Services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4"/>
        </w:trPr>
        <w:tc>
          <w:tcPr>
            <w:tcW w:w="2600" w:type="dxa"/>
            <w:vAlign w:val="bottom"/>
            <w:tcBorders>
              <w:bottom w:val="single" w:sz="8" w:color="E3E4E5"/>
            </w:tcBorders>
            <w:vMerge w:val="continue"/>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231F20"/>
              </w:rPr>
              <w:t>APAC</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w w:val="98"/>
              </w:rPr>
              <w:t>America</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rPr>
              <w:t>Centers</w:t>
            </w: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 xml:space="preserve">Gross margin </w:t>
            </w:r>
            <w:r>
              <w:rPr>
                <w:rFonts w:ascii="Times New Roman" w:cs="Times New Roman" w:eastAsia="Times New Roman" w:hAnsi="Times New Roman"/>
                <w:sz w:val="16"/>
                <w:szCs w:val="16"/>
                <w:color w:val="BABCBE"/>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3,783.1</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779.5</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287.1</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935.2</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46.4</w:t>
            </w: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5,831.3</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165.6</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3E4E5"/>
          </w:tcPr>
          <w:p>
            <w:pPr>
              <w:ind w:left="80"/>
              <w:spacing w:after="0"/>
              <w:rPr>
                <w:sz w:val="20"/>
                <w:szCs w:val="20"/>
                <w:color w:val="auto"/>
              </w:rPr>
            </w:pPr>
            <w:r>
              <w:rPr>
                <w:rFonts w:ascii="Times New Roman" w:cs="Times New Roman" w:eastAsia="Times New Roman" w:hAnsi="Times New Roman"/>
                <w:sz w:val="18"/>
                <w:szCs w:val="18"/>
                <w:color w:val="231F20"/>
              </w:rPr>
              <w:t>5,996.9</w:t>
            </w:r>
          </w:p>
        </w:tc>
        <w:tc>
          <w:tcPr>
            <w:tcW w:w="0" w:type="dxa"/>
            <w:vAlign w:val="bottom"/>
          </w:tcPr>
          <w:p>
            <w:pPr>
              <w:spacing w:after="0"/>
              <w:rPr>
                <w:sz w:val="1"/>
                <w:szCs w:val="1"/>
                <w:color w:val="auto"/>
              </w:rPr>
            </w:pPr>
          </w:p>
        </w:tc>
      </w:tr>
      <w:tr>
        <w:trPr>
          <w:trHeight w:val="186"/>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Real estate related depreciation,</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595.6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196.9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306.4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196.4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604.3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1,899.6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231F20"/>
              </w:rPr>
              <w:t>1,899.6</w:t>
            </w:r>
          </w:p>
        </w:tc>
        <w:tc>
          <w:tcPr>
            <w:tcW w:w="0" w:type="dxa"/>
            <w:vAlign w:val="bottom"/>
          </w:tcPr>
          <w:p>
            <w:pPr>
              <w:spacing w:after="0"/>
              <w:rPr>
                <w:sz w:val="1"/>
                <w:szCs w:val="1"/>
                <w:color w:val="auto"/>
              </w:rPr>
            </w:pPr>
          </w:p>
        </w:tc>
      </w:tr>
      <w:tr>
        <w:trPr>
          <w:trHeight w:val="224"/>
        </w:trPr>
        <w:tc>
          <w:tcPr>
            <w:tcW w:w="2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color w:val="231F20"/>
              </w:rPr>
              <w:t>amortization and accretion</w:t>
            </w:r>
            <w:r>
              <w:rPr>
                <w:rFonts w:ascii="Times New Roman" w:cs="Times New Roman" w:eastAsia="Times New Roman" w:hAnsi="Times New Roman"/>
                <w:sz w:val="16"/>
                <w:szCs w:val="16"/>
                <w:color w:val="BABCBE"/>
              </w:rPr>
              <w:t>..................</w:t>
            </w: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Segment gross margin</w:t>
            </w:r>
            <w:r>
              <w:rPr>
                <w:rFonts w:ascii="Times New Roman" w:cs="Times New Roman" w:eastAsia="Times New Roman" w:hAnsi="Times New Roman"/>
                <w:sz w:val="16"/>
                <w:szCs w:val="16"/>
                <w:color w:val="BABCBE"/>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4,378.7</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976.4</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593.5</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1,131.6</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650.7</w:t>
            </w: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7,730.9</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165.6</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3E4E5"/>
          </w:tcPr>
          <w:p>
            <w:pPr>
              <w:ind w:left="80"/>
              <w:spacing w:after="0"/>
              <w:rPr>
                <w:sz w:val="20"/>
                <w:szCs w:val="20"/>
                <w:color w:val="auto"/>
              </w:rPr>
            </w:pPr>
            <w:r>
              <w:rPr>
                <w:rFonts w:ascii="Times New Roman" w:cs="Times New Roman" w:eastAsia="Times New Roman" w:hAnsi="Times New Roman"/>
                <w:sz w:val="18"/>
                <w:szCs w:val="18"/>
                <w:color w:val="231F20"/>
              </w:rPr>
              <w:t>7,896.5</w:t>
            </w:r>
          </w:p>
        </w:tc>
        <w:tc>
          <w:tcPr>
            <w:tcW w:w="0" w:type="dxa"/>
            <w:vAlign w:val="bottom"/>
          </w:tcPr>
          <w:p>
            <w:pPr>
              <w:spacing w:after="0"/>
              <w:rPr>
                <w:sz w:val="1"/>
                <w:szCs w:val="1"/>
                <w:color w:val="auto"/>
              </w:rPr>
            </w:pPr>
          </w:p>
        </w:tc>
      </w:tr>
      <w:tr>
        <w:trPr>
          <w:trHeight w:val="20"/>
        </w:trPr>
        <w:tc>
          <w:tcPr>
            <w:tcW w:w="260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60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231F20"/>
                <w:w w:val="97"/>
              </w:rPr>
              <w:t>Property</w:t>
            </w:r>
          </w:p>
        </w:tc>
        <w:tc>
          <w:tcPr>
            <w:tcW w:w="6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c>
          <w:tcPr>
            <w:tcW w:w="160" w:type="dxa"/>
            <w:vAlign w:val="bottom"/>
          </w:tcPr>
          <w:p>
            <w:pPr>
              <w:spacing w:after="0"/>
              <w:rPr>
                <w:sz w:val="16"/>
                <w:szCs w:val="16"/>
                <w:color w:val="auto"/>
              </w:rPr>
            </w:pP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rPr>
              <w:t>U.S. &amp;</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231F20"/>
              </w:rPr>
              <w:t>Africa &amp;</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Data</w:t>
            </w:r>
          </w:p>
        </w:tc>
        <w:tc>
          <w:tcPr>
            <w:tcW w:w="140" w:type="dxa"/>
            <w:vAlign w:val="bottom"/>
          </w:tcPr>
          <w:p>
            <w:pPr>
              <w:spacing w:after="0"/>
              <w:rPr>
                <w:sz w:val="16"/>
                <w:szCs w:val="16"/>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w w:val="99"/>
              </w:rPr>
              <w:t>Services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4"/>
        </w:trPr>
        <w:tc>
          <w:tcPr>
            <w:tcW w:w="2600" w:type="dxa"/>
            <w:vAlign w:val="bottom"/>
            <w:tcBorders>
              <w:bottom w:val="single" w:sz="8" w:color="E3E4E5"/>
            </w:tcBorders>
            <w:vMerge w:val="continue"/>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60" w:type="dxa"/>
            <w:vAlign w:val="bottom"/>
            <w:tcBorders>
              <w:bottom w:val="single" w:sz="8" w:color="E3E4E5"/>
            </w:tcBorders>
          </w:tcPr>
          <w:p>
            <w:pPr>
              <w:spacing w:after="0"/>
              <w:rPr>
                <w:sz w:val="18"/>
                <w:szCs w:val="18"/>
                <w:color w:val="auto"/>
              </w:rPr>
            </w:pPr>
          </w:p>
        </w:tc>
        <w:tc>
          <w:tcPr>
            <w:tcW w:w="90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APAC (1)</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w w:val="98"/>
              </w:rPr>
              <w:t>America</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rPr>
              <w:t>Centers</w:t>
            </w: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 xml:space="preserve">Gross margin </w:t>
            </w:r>
            <w:r>
              <w:rPr>
                <w:rFonts w:ascii="Times New Roman" w:cs="Times New Roman" w:eastAsia="Times New Roman" w:hAnsi="Times New Roman"/>
                <w:sz w:val="16"/>
                <w:szCs w:val="16"/>
                <w:color w:val="BABCBE"/>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3,790.6</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610.9</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240.9</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985.9</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(56.2)</w:t>
            </w: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5,572.1</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101.1</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3E4E5"/>
          </w:tcPr>
          <w:p>
            <w:pPr>
              <w:ind w:left="80"/>
              <w:spacing w:after="0"/>
              <w:rPr>
                <w:sz w:val="20"/>
                <w:szCs w:val="20"/>
                <w:color w:val="auto"/>
              </w:rPr>
            </w:pPr>
            <w:r>
              <w:rPr>
                <w:rFonts w:ascii="Times New Roman" w:cs="Times New Roman" w:eastAsia="Times New Roman" w:hAnsi="Times New Roman"/>
                <w:sz w:val="18"/>
                <w:szCs w:val="18"/>
                <w:color w:val="231F20"/>
              </w:rPr>
              <w:t>5,673.2</w:t>
            </w:r>
          </w:p>
        </w:tc>
        <w:tc>
          <w:tcPr>
            <w:tcW w:w="0" w:type="dxa"/>
            <w:vAlign w:val="bottom"/>
          </w:tcPr>
          <w:p>
            <w:pPr>
              <w:spacing w:after="0"/>
              <w:rPr>
                <w:sz w:val="1"/>
                <w:szCs w:val="1"/>
                <w:color w:val="auto"/>
              </w:rPr>
            </w:pPr>
          </w:p>
        </w:tc>
      </w:tr>
      <w:tr>
        <w:trPr>
          <w:trHeight w:val="186"/>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Real estate related depreciation,</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586.6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216.6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284.4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201.8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590.2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1,879.6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231F20"/>
              </w:rPr>
              <w:t>1,879.6</w:t>
            </w:r>
          </w:p>
        </w:tc>
        <w:tc>
          <w:tcPr>
            <w:tcW w:w="0" w:type="dxa"/>
            <w:vAlign w:val="bottom"/>
          </w:tcPr>
          <w:p>
            <w:pPr>
              <w:spacing w:after="0"/>
              <w:rPr>
                <w:sz w:val="1"/>
                <w:szCs w:val="1"/>
                <w:color w:val="auto"/>
              </w:rPr>
            </w:pPr>
          </w:p>
        </w:tc>
      </w:tr>
      <w:tr>
        <w:trPr>
          <w:trHeight w:val="224"/>
        </w:trPr>
        <w:tc>
          <w:tcPr>
            <w:tcW w:w="2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color w:val="231F20"/>
              </w:rPr>
              <w:t>amortization and accretion</w:t>
            </w:r>
            <w:r>
              <w:rPr>
                <w:rFonts w:ascii="Times New Roman" w:cs="Times New Roman" w:eastAsia="Times New Roman" w:hAnsi="Times New Roman"/>
                <w:sz w:val="16"/>
                <w:szCs w:val="16"/>
                <w:color w:val="BABCBE"/>
              </w:rPr>
              <w:t>..................</w:t>
            </w: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Segment gross margin</w:t>
            </w:r>
            <w:r>
              <w:rPr>
                <w:rFonts w:ascii="Times New Roman" w:cs="Times New Roman" w:eastAsia="Times New Roman" w:hAnsi="Times New Roman"/>
                <w:sz w:val="16"/>
                <w:szCs w:val="16"/>
                <w:color w:val="BABCBE"/>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4,377.2</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827.5</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525.3</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1,187.7</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534.0</w:t>
            </w: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7,451.7</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101.1</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3E4E5"/>
          </w:tcPr>
          <w:p>
            <w:pPr>
              <w:ind w:left="80"/>
              <w:spacing w:after="0"/>
              <w:rPr>
                <w:sz w:val="20"/>
                <w:szCs w:val="20"/>
                <w:color w:val="auto"/>
              </w:rPr>
            </w:pPr>
            <w:r>
              <w:rPr>
                <w:rFonts w:ascii="Times New Roman" w:cs="Times New Roman" w:eastAsia="Times New Roman" w:hAnsi="Times New Roman"/>
                <w:sz w:val="18"/>
                <w:szCs w:val="18"/>
                <w:color w:val="231F20"/>
              </w:rPr>
              <w:t>7,552.8</w:t>
            </w:r>
          </w:p>
        </w:tc>
        <w:tc>
          <w:tcPr>
            <w:tcW w:w="0" w:type="dxa"/>
            <w:vAlign w:val="bottom"/>
          </w:tcPr>
          <w:p>
            <w:pPr>
              <w:spacing w:after="0"/>
              <w:rPr>
                <w:sz w:val="1"/>
                <w:szCs w:val="1"/>
                <w:color w:val="auto"/>
              </w:rPr>
            </w:pPr>
          </w:p>
        </w:tc>
      </w:tr>
      <w:tr>
        <w:trPr>
          <w:trHeight w:val="20"/>
        </w:trPr>
        <w:tc>
          <w:tcPr>
            <w:tcW w:w="260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-1882140</wp:posOffset>
            </wp:positionV>
            <wp:extent cx="486410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-1434465</wp:posOffset>
            </wp:positionV>
            <wp:extent cx="486410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-1266190</wp:posOffset>
            </wp:positionV>
            <wp:extent cx="486410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-926465</wp:posOffset>
            </wp:positionV>
            <wp:extent cx="6350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-659765</wp:posOffset>
            </wp:positionV>
            <wp:extent cx="486410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-212090</wp:posOffset>
            </wp:positionV>
            <wp:extent cx="486410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-43815</wp:posOffset>
            </wp:positionV>
            <wp:extent cx="486410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64100" cy="25400"/>
                    </a:xfrm>
                    <a:prstGeom prst="rect">
                      <a:avLst/>
                    </a:prstGeom>
                    <a:noFill/>
                  </pic:spPr>
                </pic:pic>
              </a:graphicData>
            </a:graphic>
          </wp:anchor>
        </w:drawing>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w:t>
      </w:r>
    </w:p>
    <w:p>
      <w:pPr>
        <w:spacing w:after="0" w:line="10" w:lineRule="exact"/>
        <w:rPr>
          <w:sz w:val="20"/>
          <w:szCs w:val="20"/>
          <w:color w:val="auto"/>
        </w:rPr>
      </w:pPr>
    </w:p>
    <w:p>
      <w:pPr>
        <w:ind w:left="370" w:hanging="370"/>
        <w:spacing w:after="0"/>
        <w:tabs>
          <w:tab w:leader="none" w:pos="37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60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231F20"/>
                <w:w w:val="97"/>
              </w:rPr>
              <w:t>Property</w:t>
            </w: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16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231F20"/>
              </w:rPr>
              <w:t>U.S. &amp;</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231F20"/>
                <w:w w:val="98"/>
              </w:rPr>
              <w:t>Africa &amp;</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Data</w:t>
            </w:r>
          </w:p>
        </w:tc>
        <w:tc>
          <w:tcPr>
            <w:tcW w:w="140" w:type="dxa"/>
            <w:vAlign w:val="bottom"/>
          </w:tcPr>
          <w:p>
            <w:pPr>
              <w:spacing w:after="0"/>
              <w:rPr>
                <w:sz w:val="16"/>
                <w:szCs w:val="16"/>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w w:val="99"/>
              </w:rPr>
              <w:t>Services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4"/>
        </w:trPr>
        <w:tc>
          <w:tcPr>
            <w:tcW w:w="2600" w:type="dxa"/>
            <w:vAlign w:val="bottom"/>
            <w:tcBorders>
              <w:bottom w:val="single" w:sz="8" w:color="E3E4E5"/>
            </w:tcBorders>
            <w:vMerge w:val="continue"/>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60" w:type="dxa"/>
            <w:vAlign w:val="bottom"/>
            <w:tcBorders>
              <w:bottom w:val="single" w:sz="8" w:color="E3E4E5"/>
            </w:tcBorders>
          </w:tcPr>
          <w:p>
            <w:pPr>
              <w:spacing w:after="0"/>
              <w:rPr>
                <w:sz w:val="18"/>
                <w:szCs w:val="18"/>
                <w:color w:val="auto"/>
              </w:rPr>
            </w:pPr>
          </w:p>
        </w:tc>
        <w:tc>
          <w:tcPr>
            <w:tcW w:w="900" w:type="dxa"/>
            <w:vAlign w:val="bottom"/>
            <w:tcBorders>
              <w:bottom w:val="single" w:sz="8" w:color="231F20"/>
            </w:tcBorders>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231F20"/>
              </w:rPr>
              <w:t>APAC (1)</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231F20"/>
                <w:w w:val="98"/>
              </w:rPr>
              <w:t>America</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231F20"/>
              </w:rPr>
              <w:t>Centers</w:t>
            </w: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231F20"/>
                <w:w w:val="97"/>
              </w:rPr>
              <w:t>Property</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 xml:space="preserve">Gross margin </w:t>
            </w:r>
            <w:r>
              <w:rPr>
                <w:rFonts w:ascii="Times New Roman" w:cs="Times New Roman" w:eastAsia="Times New Roman" w:hAnsi="Times New Roman"/>
                <w:sz w:val="16"/>
                <w:szCs w:val="16"/>
                <w:color w:val="BABCBE"/>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3,362.7</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505.0</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122.9</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890.5</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(196.0)</w:t>
            </w: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4,685.1</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82.9</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3E4E5"/>
          </w:tcPr>
          <w:p>
            <w:pPr>
              <w:ind w:left="80"/>
              <w:spacing w:after="0"/>
              <w:rPr>
                <w:sz w:val="20"/>
                <w:szCs w:val="20"/>
                <w:color w:val="auto"/>
              </w:rPr>
            </w:pPr>
            <w:r>
              <w:rPr>
                <w:rFonts w:ascii="Times New Roman" w:cs="Times New Roman" w:eastAsia="Times New Roman" w:hAnsi="Times New Roman"/>
                <w:sz w:val="18"/>
                <w:szCs w:val="18"/>
                <w:color w:val="231F20"/>
              </w:rPr>
              <w:t>4,768.0</w:t>
            </w:r>
          </w:p>
        </w:tc>
        <w:tc>
          <w:tcPr>
            <w:tcW w:w="0" w:type="dxa"/>
            <w:vAlign w:val="bottom"/>
          </w:tcPr>
          <w:p>
            <w:pPr>
              <w:spacing w:after="0"/>
              <w:rPr>
                <w:sz w:val="1"/>
                <w:szCs w:val="1"/>
                <w:color w:val="auto"/>
              </w:rPr>
            </w:pPr>
          </w:p>
        </w:tc>
      </w:tr>
      <w:tr>
        <w:trPr>
          <w:trHeight w:val="186"/>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Real estate related depreciation,</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1,003.6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301.0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353.2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341.8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683.1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2,682.7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231F20"/>
              </w:rPr>
              <w:t>2,682.7</w:t>
            </w:r>
          </w:p>
        </w:tc>
        <w:tc>
          <w:tcPr>
            <w:tcW w:w="0" w:type="dxa"/>
            <w:vAlign w:val="bottom"/>
          </w:tcPr>
          <w:p>
            <w:pPr>
              <w:spacing w:after="0"/>
              <w:rPr>
                <w:sz w:val="1"/>
                <w:szCs w:val="1"/>
                <w:color w:val="auto"/>
              </w:rPr>
            </w:pPr>
          </w:p>
        </w:tc>
      </w:tr>
      <w:tr>
        <w:trPr>
          <w:trHeight w:val="224"/>
        </w:trPr>
        <w:tc>
          <w:tcPr>
            <w:tcW w:w="26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color w:val="231F20"/>
              </w:rPr>
              <w:t>amortization and accretion</w:t>
            </w:r>
            <w:r>
              <w:rPr>
                <w:rFonts w:ascii="Times New Roman" w:cs="Times New Roman" w:eastAsia="Times New Roman" w:hAnsi="Times New Roman"/>
                <w:sz w:val="16"/>
                <w:szCs w:val="16"/>
                <w:color w:val="BABCBE"/>
              </w:rPr>
              <w:t>..................</w:t>
            </w: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vMerge w:val="continue"/>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6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Segment gross margin</w:t>
            </w:r>
            <w:r>
              <w:rPr>
                <w:rFonts w:ascii="Times New Roman" w:cs="Times New Roman" w:eastAsia="Times New Roman" w:hAnsi="Times New Roman"/>
                <w:sz w:val="16"/>
                <w:szCs w:val="16"/>
                <w:color w:val="BABCBE"/>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4,366.3</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806.0</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476.1</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1,232.3</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487.1</w:t>
            </w: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7,367.8</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82.9</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shd w:val="clear" w:color="auto" w:fill="E3E4E5"/>
          </w:tcPr>
          <w:p>
            <w:pPr>
              <w:ind w:left="80"/>
              <w:spacing w:after="0"/>
              <w:rPr>
                <w:sz w:val="20"/>
                <w:szCs w:val="20"/>
                <w:color w:val="auto"/>
              </w:rPr>
            </w:pPr>
            <w:r>
              <w:rPr>
                <w:rFonts w:ascii="Times New Roman" w:cs="Times New Roman" w:eastAsia="Times New Roman" w:hAnsi="Times New Roman"/>
                <w:sz w:val="18"/>
                <w:szCs w:val="18"/>
                <w:color w:val="231F20"/>
              </w:rPr>
              <w:t>7,450.7</w:t>
            </w:r>
          </w:p>
        </w:tc>
        <w:tc>
          <w:tcPr>
            <w:tcW w:w="0" w:type="dxa"/>
            <w:vAlign w:val="bottom"/>
          </w:tcPr>
          <w:p>
            <w:pPr>
              <w:spacing w:after="0"/>
              <w:rPr>
                <w:sz w:val="1"/>
                <w:szCs w:val="1"/>
                <w:color w:val="auto"/>
              </w:rPr>
            </w:pPr>
          </w:p>
        </w:tc>
      </w:tr>
      <w:tr>
        <w:trPr>
          <w:trHeight w:val="20"/>
        </w:trPr>
        <w:tc>
          <w:tcPr>
            <w:tcW w:w="260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-926465</wp:posOffset>
            </wp:positionV>
            <wp:extent cx="6350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-659765</wp:posOffset>
            </wp:positionV>
            <wp:extent cx="486410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-212090</wp:posOffset>
            </wp:positionV>
            <wp:extent cx="486410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-43815</wp:posOffset>
            </wp:positionV>
            <wp:extent cx="486410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64100" cy="25400"/>
                    </a:xfrm>
                    <a:prstGeom prst="rect">
                      <a:avLst/>
                    </a:prstGeom>
                    <a:noFill/>
                  </pic:spPr>
                </pic:pic>
              </a:graphicData>
            </a:graphic>
          </wp:anchor>
        </w:drawing>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231F20"/>
        </w:rPr>
        <w:t>______________</w:t>
      </w:r>
    </w:p>
    <w:p>
      <w:pPr>
        <w:spacing w:after="0" w:line="10" w:lineRule="exact"/>
        <w:rPr>
          <w:sz w:val="20"/>
          <w:szCs w:val="20"/>
          <w:color w:val="auto"/>
        </w:rPr>
      </w:pPr>
    </w:p>
    <w:p>
      <w:pPr>
        <w:ind w:left="370" w:hanging="370"/>
        <w:spacing w:after="0"/>
        <w:tabs>
          <w:tab w:leader="none" w:pos="37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ectPr>
          <w:pgSz w:w="11880" w:h="15480" w:orient="portrait"/>
          <w:cols w:equalWidth="0" w:num="1">
            <w:col w:w="10230"/>
          </w:cols>
          <w:pgMar w:left="810" w:top="3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230"/>
          </w:cols>
          <w:pgMar w:left="810" w:top="389" w:right="840" w:bottom="0" w:gutter="0" w:footer="0" w:header="0"/>
          <w:type w:val="continuous"/>
        </w:sectPr>
      </w:pPr>
    </w:p>
    <w:bookmarkStart w:id="58" w:name="page59"/>
    <w:bookmarkEnd w:id="58"/>
    <w:p>
      <w:pPr>
        <w:ind w:left="10"/>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17" w:lineRule="exact"/>
        <w:rPr>
          <w:sz w:val="20"/>
          <w:szCs w:val="20"/>
          <w:color w:val="auto"/>
        </w:rPr>
      </w:pPr>
    </w:p>
    <w:p>
      <w:pPr>
        <w:ind w:left="10" w:right="380"/>
        <w:spacing w:after="0" w:line="309" w:lineRule="auto"/>
        <w:rPr>
          <w:sz w:val="20"/>
          <w:szCs w:val="20"/>
          <w:color w:val="auto"/>
        </w:rPr>
      </w:pPr>
      <w:r>
        <w:rPr>
          <w:rFonts w:ascii="Times New Roman" w:cs="Times New Roman" w:eastAsia="Times New Roman" w:hAnsi="Times New Roman"/>
          <w:sz w:val="19"/>
          <w:szCs w:val="19"/>
          <w:color w:val="231F20"/>
        </w:rPr>
        <w:t>For a discussion of our 2024 Liquidity and Capital Resources, including a discussion of cash flows for the fiscal year ended December 31, 2024 compared to the fiscal year ended December 31, 2023, refer to Part I, Item 7 of the 2024 Form 10-K.</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119"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231F20"/>
        </w:rPr>
        <w:t>During the year ended December 31, 2025, we increased our financial flexibility and our ability to grow our business while maintaining our long-term financial policies. Our significant 2025 financing transactions included:</w:t>
      </w:r>
    </w:p>
    <w:p>
      <w:pPr>
        <w:spacing w:after="0" w:line="41" w:lineRule="exact"/>
        <w:rPr>
          <w:sz w:val="20"/>
          <w:szCs w:val="20"/>
          <w:color w:val="auto"/>
        </w:rPr>
      </w:pPr>
    </w:p>
    <w:p>
      <w:pPr>
        <w:jc w:val="both"/>
        <w:ind w:left="730" w:right="20" w:hanging="370"/>
        <w:spacing w:after="0" w:line="257" w:lineRule="auto"/>
        <w:tabs>
          <w:tab w:leader="none" w:pos="73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Redemption of our 2.950% senior unsecured notes due 2025 (the “2.950% Notes”), our 2.400% senior unsecured notes due 2025 (the “2.400% Notes”), our 1.375% senior unsecured notes due 2025 (the “1.375% Notes”), our 4.000% notes due 2025 (the “4.000% Notes”) and our 1.300% senior unsecured notes due 2025 (the “1.300% Notes”);</w:t>
      </w:r>
    </w:p>
    <w:p>
      <w:pPr>
        <w:spacing w:after="0" w:line="1" w:lineRule="exact"/>
        <w:rPr>
          <w:rFonts w:ascii="Times New Roman" w:cs="Times New Roman" w:eastAsia="Times New Roman" w:hAnsi="Times New Roman"/>
          <w:sz w:val="20"/>
          <w:szCs w:val="20"/>
          <w:color w:val="231F20"/>
        </w:rPr>
      </w:pPr>
    </w:p>
    <w:p>
      <w:pPr>
        <w:ind w:left="730" w:right="40" w:hanging="370"/>
        <w:spacing w:after="0" w:line="250" w:lineRule="auto"/>
        <w:tabs>
          <w:tab w:leader="none" w:pos="73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Repayment of $525.0 million aggregate principal amount outstanding under our Secured Tower Revenue Notes, Series 2015-2, Class A (the “Series 2015-2 Notes”);</w:t>
      </w:r>
    </w:p>
    <w:p>
      <w:pPr>
        <w:ind w:left="730" w:right="340" w:hanging="370"/>
        <w:spacing w:after="0" w:line="250" w:lineRule="auto"/>
        <w:tabs>
          <w:tab w:leader="none" w:pos="73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Registered public offering in an aggregate principal amount of $3.0 billion, including 500.0 million EUR, of senior unsecured notes with maturities ranging from 2030 to 2035; and</w:t>
      </w:r>
    </w:p>
    <w:p>
      <w:pPr>
        <w:jc w:val="both"/>
        <w:ind w:left="730" w:right="200" w:hanging="370"/>
        <w:spacing w:after="0" w:line="255" w:lineRule="auto"/>
        <w:tabs>
          <w:tab w:leader="none" w:pos="73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Amendment of the 2021 Multicurrency Credit Facility, the 2021 Credit Facility and the 2021 Term Loan (as defined below) to, among other things, (i) extend the maturity dates and (ii) update the Applicable Margins (as defined in the loan agreements).</w:t>
      </w:r>
    </w:p>
    <w:p>
      <w:pPr>
        <w:spacing w:after="0" w:line="1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following table summarizes our liquidity as of December 31, 2025 (in millions):</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1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Available under the 2021</w:t>
            </w:r>
          </w:p>
        </w:tc>
        <w:tc>
          <w:tcPr>
            <w:tcW w:w="6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9"/>
              </w:rPr>
              <w:t>Multicurrency Credit Facility</w:t>
            </w:r>
            <w:r>
              <w:rPr>
                <w:rFonts w:ascii="Times New Roman" w:cs="Times New Roman" w:eastAsia="Times New Roman" w:hAnsi="Times New Roman"/>
                <w:sz w:val="20"/>
                <w:szCs w:val="20"/>
                <w:color w:val="BABCBE"/>
                <w:w w:val="99"/>
              </w:rPr>
              <w:t>...........................................................................................</w:t>
            </w:r>
          </w:p>
        </w:tc>
        <w:tc>
          <w:tcPr>
            <w:tcW w:w="2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5,620.0</w:t>
            </w:r>
          </w:p>
        </w:tc>
        <w:tc>
          <w:tcPr>
            <w:tcW w:w="0" w:type="dxa"/>
            <w:vAlign w:val="bottom"/>
          </w:tcPr>
          <w:p>
            <w:pPr>
              <w:spacing w:after="0"/>
              <w:rPr>
                <w:sz w:val="1"/>
                <w:szCs w:val="1"/>
                <w:color w:val="auto"/>
              </w:rPr>
            </w:pPr>
          </w:p>
        </w:tc>
      </w:tr>
      <w:tr>
        <w:trPr>
          <w:trHeight w:val="293"/>
        </w:trPr>
        <w:tc>
          <w:tcPr>
            <w:tcW w:w="21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Available under the 2021</w:t>
            </w:r>
          </w:p>
        </w:tc>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Credit Facility</w:t>
            </w:r>
            <w:r>
              <w:rPr>
                <w:rFonts w:ascii="Times New Roman" w:cs="Times New Roman" w:eastAsia="Times New Roman" w:hAnsi="Times New Roman"/>
                <w:sz w:val="20"/>
                <w:szCs w:val="20"/>
                <w:color w:val="BABCBE"/>
                <w:w w:val="99"/>
              </w:rPr>
              <w: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4,000.0</w:t>
            </w:r>
          </w:p>
        </w:tc>
        <w:tc>
          <w:tcPr>
            <w:tcW w:w="0" w:type="dxa"/>
            <w:vAlign w:val="bottom"/>
          </w:tcPr>
          <w:p>
            <w:pPr>
              <w:spacing w:after="0"/>
              <w:rPr>
                <w:sz w:val="1"/>
                <w:szCs w:val="1"/>
                <w:color w:val="auto"/>
              </w:rPr>
            </w:pPr>
          </w:p>
        </w:tc>
      </w:tr>
      <w:tr>
        <w:trPr>
          <w:trHeight w:val="315"/>
        </w:trPr>
        <w:tc>
          <w:tcPr>
            <w:tcW w:w="910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Letters of credit </w:t>
            </w:r>
            <w:r>
              <w:rPr>
                <w:rFonts w:ascii="Times New Roman" w:cs="Times New Roman" w:eastAsia="Times New Roman" w:hAnsi="Times New Roman"/>
                <w:sz w:val="20"/>
                <w:szCs w:val="20"/>
                <w:color w:val="BABCBE"/>
                <w:w w:val="99"/>
              </w:rPr>
              <w:t>..........................................................................................................................................................</w:t>
            </w:r>
          </w:p>
        </w:tc>
        <w:tc>
          <w:tcPr>
            <w:tcW w:w="26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(36.8)</w:t>
            </w:r>
          </w:p>
        </w:tc>
        <w:tc>
          <w:tcPr>
            <w:tcW w:w="0" w:type="dxa"/>
            <w:vAlign w:val="bottom"/>
          </w:tcPr>
          <w:p>
            <w:pPr>
              <w:spacing w:after="0"/>
              <w:rPr>
                <w:sz w:val="1"/>
                <w:szCs w:val="1"/>
                <w:color w:val="auto"/>
              </w:rPr>
            </w:pPr>
          </w:p>
        </w:tc>
      </w:tr>
      <w:tr>
        <w:trPr>
          <w:trHeight w:val="265"/>
        </w:trPr>
        <w:tc>
          <w:tcPr>
            <w:tcW w:w="9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Totalavailableundercreditfacilities,net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9,583.2</w:t>
            </w:r>
          </w:p>
        </w:tc>
        <w:tc>
          <w:tcPr>
            <w:tcW w:w="0" w:type="dxa"/>
            <w:vAlign w:val="bottom"/>
          </w:tcPr>
          <w:p>
            <w:pPr>
              <w:spacing w:after="0"/>
              <w:rPr>
                <w:sz w:val="1"/>
                <w:szCs w:val="1"/>
                <w:color w:val="auto"/>
              </w:rPr>
            </w:pPr>
          </w:p>
        </w:tc>
      </w:tr>
      <w:tr>
        <w:trPr>
          <w:trHeight w:val="295"/>
        </w:trPr>
        <w:tc>
          <w:tcPr>
            <w:tcW w:w="910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Cash and cash equivalents </w:t>
            </w:r>
            <w:r>
              <w:rPr>
                <w:rFonts w:ascii="Times New Roman" w:cs="Times New Roman" w:eastAsia="Times New Roman" w:hAnsi="Times New Roman"/>
                <w:sz w:val="20"/>
                <w:szCs w:val="20"/>
                <w:color w:val="BABCBE"/>
              </w:rPr>
              <w:t>.........................................................................................................................................</w:t>
            </w:r>
          </w:p>
        </w:tc>
        <w:tc>
          <w:tcPr>
            <w:tcW w:w="26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1,474.8</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 xml:space="preserve">Total liquidity </w:t>
            </w:r>
            <w:r>
              <w:rPr>
                <w:rFonts w:ascii="Times New Roman" w:cs="Times New Roman" w:eastAsia="Times New Roman" w:hAnsi="Times New Roman"/>
                <w:sz w:val="20"/>
                <w:szCs w:val="20"/>
                <w:color w:val="BABCBE"/>
              </w:rPr>
              <w:t>.....................................................................................................................................................</w:t>
            </w:r>
          </w:p>
        </w:tc>
        <w:tc>
          <w:tcPr>
            <w:tcW w:w="26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120" w:type="dxa"/>
            <w:vAlign w:val="bottom"/>
            <w:vMerge w:val="continue"/>
          </w:tcPr>
          <w:p>
            <w:pPr>
              <w:spacing w:after="0"/>
              <w:rPr>
                <w:sz w:val="21"/>
                <w:szCs w:val="21"/>
                <w:color w:val="auto"/>
              </w:rPr>
            </w:pPr>
          </w:p>
        </w:tc>
        <w:tc>
          <w:tcPr>
            <w:tcW w:w="6980" w:type="dxa"/>
            <w:vAlign w:val="bottom"/>
          </w:tcPr>
          <w:p>
            <w:pPr>
              <w:spacing w:after="0"/>
              <w:rPr>
                <w:sz w:val="21"/>
                <w:szCs w:val="21"/>
                <w:color w:val="auto"/>
              </w:rPr>
            </w:pPr>
          </w:p>
        </w:tc>
        <w:tc>
          <w:tcPr>
            <w:tcW w:w="2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11,058.0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-602615</wp:posOffset>
            </wp:positionV>
            <wp:extent cx="75882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8825" cy="2540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-221615</wp:posOffset>
            </wp:positionV>
            <wp:extent cx="75882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58825" cy="25400"/>
                    </a:xfrm>
                    <a:prstGeom prst="rect">
                      <a:avLst/>
                    </a:prstGeom>
                    <a:noFill/>
                  </pic:spPr>
                </pic:pic>
              </a:graphicData>
            </a:graphic>
          </wp:anchor>
        </w:drawing>
      </w:r>
    </w:p>
    <w:p>
      <w:pPr>
        <w:spacing w:after="0" w:line="148" w:lineRule="exact"/>
        <w:rPr>
          <w:sz w:val="20"/>
          <w:szCs w:val="20"/>
          <w:color w:val="auto"/>
        </w:rPr>
      </w:pPr>
    </w:p>
    <w:p>
      <w:pPr>
        <w:ind w:left="10" w:right="360"/>
        <w:spacing w:after="0" w:line="266" w:lineRule="auto"/>
        <w:rPr>
          <w:sz w:val="20"/>
          <w:szCs w:val="20"/>
          <w:color w:val="auto"/>
        </w:rPr>
      </w:pPr>
      <w:r>
        <w:rPr>
          <w:rFonts w:ascii="Times New Roman" w:cs="Times New Roman" w:eastAsia="Times New Roman" w:hAnsi="Times New Roman"/>
          <w:sz w:val="20"/>
          <w:szCs w:val="20"/>
          <w:color w:val="231F20"/>
        </w:rPr>
        <w:t>Subsequent to December 31, 2025, we made additional borrowings of $600.0 million under the 2021 Credit Facility and net borrowings of $135.0 million under the 2021 Multicurrency Credit Facility. The borrowings were used to repay existing indebtedness and for general corporate purposes.</w:t>
      </w:r>
    </w:p>
    <w:p>
      <w:pPr>
        <w:spacing w:after="0" w:line="1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Summary cash flow information is set forth below for the years ended December 31, (in millions):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86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5"/>
        </w:trPr>
        <w:tc>
          <w:tcPr>
            <w:tcW w:w="7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Net cash provided by (used for):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8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r>
      <w:tr>
        <w:trPr>
          <w:trHeight w:val="279"/>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Operating activities </w:t>
            </w:r>
            <w:r>
              <w:rPr>
                <w:rFonts w:ascii="Times New Roman" w:cs="Times New Roman" w:eastAsia="Times New Roman" w:hAnsi="Times New Roman"/>
                <w:sz w:val="20"/>
                <w:szCs w:val="20"/>
                <w:color w:val="BABCBE"/>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5,464.0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5,290.5</w:t>
            </w:r>
          </w:p>
        </w:tc>
      </w:tr>
      <w:tr>
        <w:trPr>
          <w:trHeight w:val="291"/>
        </w:trPr>
        <w:tc>
          <w:tcPr>
            <w:tcW w:w="7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Investing activities (1)</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(1,859.8)</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410.6</w:t>
            </w:r>
          </w:p>
        </w:tc>
      </w:tr>
      <w:tr>
        <w:trPr>
          <w:trHeight w:val="279"/>
        </w:trPr>
        <w:tc>
          <w:tcPr>
            <w:tcW w:w="7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activities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(4,208.5)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(5,452.4)</w:t>
            </w:r>
          </w:p>
        </w:tc>
      </w:tr>
      <w:tr>
        <w:trPr>
          <w:trHeight w:val="219"/>
        </w:trPr>
        <w:tc>
          <w:tcPr>
            <w:tcW w:w="7860" w:type="dxa"/>
            <w:vAlign w:val="bottom"/>
            <w:shd w:val="clear" w:color="auto" w:fill="E3E4E5"/>
          </w:tcPr>
          <w:p>
            <w:pPr>
              <w:jc w:val="right"/>
              <w:ind w:right="460"/>
              <w:spacing w:after="0" w:line="219" w:lineRule="exact"/>
              <w:rPr>
                <w:sz w:val="20"/>
                <w:szCs w:val="20"/>
                <w:color w:val="auto"/>
              </w:rPr>
            </w:pPr>
            <w:r>
              <w:rPr>
                <w:rFonts w:ascii="Times New Roman" w:cs="Times New Roman" w:eastAsia="Times New Roman" w:hAnsi="Times New Roman"/>
                <w:sz w:val="20"/>
                <w:szCs w:val="20"/>
                <w:color w:val="231F20"/>
              </w:rPr>
              <w:t>Net effect of changes in foreign currency exchange rates on cash and cash equivalents, and</w:t>
            </w:r>
          </w:p>
        </w:tc>
        <w:tc>
          <w:tcPr>
            <w:tcW w:w="280" w:type="dxa"/>
            <w:vAlign w:val="bottom"/>
            <w:shd w:val="clear" w:color="auto" w:fill="E3E4E5"/>
          </w:tcPr>
          <w:p>
            <w:pPr>
              <w:spacing w:after="0"/>
              <w:rPr>
                <w:sz w:val="19"/>
                <w:szCs w:val="19"/>
                <w:color w:val="auto"/>
              </w:rPr>
            </w:pPr>
          </w:p>
        </w:tc>
        <w:tc>
          <w:tcPr>
            <w:tcW w:w="88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80" w:type="dxa"/>
            <w:vAlign w:val="bottom"/>
            <w:shd w:val="clear" w:color="auto" w:fill="E3E4E5"/>
          </w:tcPr>
          <w:p>
            <w:pPr>
              <w:spacing w:after="0"/>
              <w:rPr>
                <w:sz w:val="19"/>
                <w:szCs w:val="19"/>
                <w:color w:val="auto"/>
              </w:rPr>
            </w:pPr>
          </w:p>
        </w:tc>
      </w:tr>
      <w:tr>
        <w:trPr>
          <w:trHeight w:val="290"/>
        </w:trPr>
        <w:tc>
          <w:tcPr>
            <w:tcW w:w="78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restricted cash</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101.3</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(233.9)</w:t>
            </w:r>
          </w:p>
        </w:tc>
      </w:tr>
      <w:tr>
        <w:trPr>
          <w:trHeight w:val="226"/>
        </w:trPr>
        <w:tc>
          <w:tcPr>
            <w:tcW w:w="78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Net (decrease) increase in cash and cash equivalents, and restricted cash</w:t>
            </w:r>
            <w:r>
              <w:rPr>
                <w:rFonts w:ascii="Times New Roman" w:cs="Times New Roman" w:eastAsia="Times New Roman" w:hAnsi="Times New Roman"/>
                <w:sz w:val="20"/>
                <w:szCs w:val="20"/>
                <w:color w:val="BABCBE"/>
              </w:rPr>
              <w:t>........................................</w:t>
            </w:r>
          </w:p>
        </w:tc>
        <w:tc>
          <w:tcPr>
            <w:tcW w:w="28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(503.0)</w:t>
            </w:r>
          </w:p>
        </w:tc>
        <w:tc>
          <w:tcPr>
            <w:tcW w:w="360" w:type="dxa"/>
            <w:vAlign w:val="bottom"/>
            <w:gridSpan w:val="2"/>
          </w:tcPr>
          <w:p>
            <w:pPr>
              <w:jc w:val="right"/>
              <w:ind w:right="140"/>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231F20"/>
              </w:rPr>
              <w:t>14.8</w:t>
            </w: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-1250315</wp:posOffset>
            </wp:positionV>
            <wp:extent cx="153987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39875" cy="254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-212090</wp:posOffset>
            </wp:positionV>
            <wp:extent cx="153987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39875" cy="25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hanging="370"/>
        <w:spacing w:after="0"/>
        <w:tabs>
          <w:tab w:leader="none" w:pos="370" w:val="left"/>
        </w:tabs>
        <w:numPr>
          <w:ilvl w:val="0"/>
          <w:numId w:val="5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2024, includes $2.2 billion of proceeds from the ATC TIPL Transaction.</w:t>
      </w:r>
    </w:p>
    <w:p>
      <w:pPr>
        <w:spacing w:after="0" w:line="14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231F20"/>
        </w:rPr>
        <w:t>We use our cash flows to fund our operations and investments in our business, including maintenance and improvements, communications site and data center construction, managed network installations and acquisitions. Additionally, we use our cash flows to make distributions, including distributions of our REIT taxable income to maintain our qualification for taxation as a REIT under the Code. We may also periodically repay or repurchase our existing indebtedness or equity. We typically fund our international expansion efforts primarily through a combination of cash on hand, intercompany debt and equity contributions.</w:t>
      </w:r>
    </w:p>
    <w:p>
      <w:pPr>
        <w:spacing w:after="0" w:line="128"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231F20"/>
        </w:rPr>
        <w:t>On an on-going basis, we also perform a comprehensive assessment of our global operations to ensure our portfolio is positioned to drive sustained growth and achieve our risk-adjusted return objectives. This assessment may result in our decision to divest a portion, or all, of certain assets, including our South Africa Fiber business in 2025, our Australia and New Zealand businesses in 2024, the ATC TIPL Transaction, and our Mexico fiber and Poland businesses in 2023 and repurpose proceeds, and potential future capital, to other capital priorities.</w:t>
      </w:r>
    </w:p>
    <w:p>
      <w:pPr>
        <w:spacing w:after="0" w:line="164" w:lineRule="exact"/>
        <w:rPr>
          <w:sz w:val="20"/>
          <w:szCs w:val="20"/>
          <w:color w:val="auto"/>
        </w:rPr>
      </w:pPr>
    </w:p>
    <w:p>
      <w:pPr>
        <w:ind w:left="10" w:right="80"/>
        <w:spacing w:after="0" w:line="298" w:lineRule="auto"/>
        <w:rPr>
          <w:sz w:val="20"/>
          <w:szCs w:val="20"/>
          <w:color w:val="auto"/>
        </w:rPr>
      </w:pPr>
      <w:r>
        <w:rPr>
          <w:rFonts w:ascii="Times New Roman" w:cs="Times New Roman" w:eastAsia="Times New Roman" w:hAnsi="Times New Roman"/>
          <w:sz w:val="19"/>
          <w:szCs w:val="19"/>
          <w:color w:val="231F20"/>
        </w:rPr>
        <w:t>As of December 31, 2025, we had total outstanding indebtedness of $37.4 billion, with a current portion of $3.4 billion. During the year ended December 31, 2025, we generated sufficient cash flow from operations, together with borrowings under our</w:t>
      </w:r>
    </w:p>
    <w:p>
      <w:pPr>
        <w:sectPr>
          <w:pgSz w:w="11880" w:h="15480" w:orient="portrait"/>
          <w:cols w:equalWidth="0" w:num="1">
            <w:col w:w="10270"/>
          </w:cols>
          <w:pgMar w:left="810" w:top="386" w:right="800" w:bottom="0" w:gutter="0" w:footer="0" w:header="0"/>
        </w:sectPr>
      </w:pPr>
    </w:p>
    <w:p>
      <w:pPr>
        <w:spacing w:after="0" w:line="3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270"/>
          </w:cols>
          <w:pgMar w:left="810" w:top="386" w:right="800" w:bottom="0" w:gutter="0" w:footer="0" w:header="0"/>
          <w:type w:val="continuous"/>
        </w:sectPr>
      </w:pPr>
    </w:p>
    <w:bookmarkStart w:id="59" w:name="page60"/>
    <w:bookmarkEnd w:id="59"/>
    <w:p>
      <w:pPr>
        <w:ind w:left="10" w:right="200"/>
        <w:spacing w:after="0" w:line="267" w:lineRule="auto"/>
        <w:rPr>
          <w:sz w:val="20"/>
          <w:szCs w:val="20"/>
          <w:color w:val="auto"/>
        </w:rPr>
      </w:pPr>
      <w:r>
        <w:rPr>
          <w:rFonts w:ascii="Times New Roman" w:cs="Times New Roman" w:eastAsia="Times New Roman" w:hAnsi="Times New Roman"/>
          <w:sz w:val="19"/>
          <w:szCs w:val="19"/>
          <w:color w:val="231F20"/>
        </w:rPr>
        <w:t>credit facilities, proceeds from our debt issuances and cash on hand, to fund our acquisitions, capital expenditures and debt service obligations, as well as our required distributions. We believe the cash generated by operating activities during the year ending December 31, 2026, together with our borrowing capacity under our credit facilities, will suffice to fund our required distributions, capital expenditures, debt service obligations (interest and principal repayments) and signed acquisitions.</w:t>
      </w:r>
    </w:p>
    <w:p>
      <w:pPr>
        <w:spacing w:after="0" w:line="1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As of December 31, 2025, we had $1.5 billion of cash and cash equivalents held by our foreign subsidiaries. As of</w:t>
      </w:r>
    </w:p>
    <w:p>
      <w:pPr>
        <w:spacing w:after="0" w:line="30" w:lineRule="exact"/>
        <w:rPr>
          <w:sz w:val="20"/>
          <w:szCs w:val="20"/>
          <w:color w:val="auto"/>
        </w:rPr>
      </w:pPr>
    </w:p>
    <w:p>
      <w:pPr>
        <w:ind w:left="10" w:right="80"/>
        <w:spacing w:after="0" w:line="253" w:lineRule="auto"/>
        <w:rPr>
          <w:sz w:val="20"/>
          <w:szCs w:val="20"/>
          <w:color w:val="auto"/>
        </w:rPr>
      </w:pPr>
      <w:r>
        <w:rPr>
          <w:rFonts w:ascii="Times New Roman" w:cs="Times New Roman" w:eastAsia="Times New Roman" w:hAnsi="Times New Roman"/>
          <w:sz w:val="20"/>
          <w:szCs w:val="20"/>
          <w:color w:val="231F20"/>
        </w:rPr>
        <w:t>December 31, 2025, we had $140.7 million of cash and cash equivalents held by our joint ventures, of which $91.3 million was held by our foreign joint ventures. Certain foreign subsidiaries may pay us interest or principal on intercompany debt. Additionally, in the event that we repatriate funds from our foreign subsidiaries, we may be required to accrue and pay certain taxes.</w:t>
      </w:r>
    </w:p>
    <w:p>
      <w:pPr>
        <w:spacing w:after="0" w:line="1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Operating Activities</w:t>
      </w:r>
    </w:p>
    <w:p>
      <w:pPr>
        <w:spacing w:after="0" w:line="179"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231F20"/>
        </w:rPr>
        <w:t>For the year ended December 31, 2025, cash provided by operating activities increased $173.5 million as compared to the year ended December 31, 2024. The primary factors that impacted cash provided by operating activities as compared to the year ended December 31, 2024, include:</w:t>
      </w:r>
    </w:p>
    <w:p>
      <w:pPr>
        <w:spacing w:after="0" w:line="115" w:lineRule="exact"/>
        <w:rPr>
          <w:sz w:val="20"/>
          <w:szCs w:val="20"/>
          <w:color w:val="auto"/>
        </w:rPr>
      </w:pPr>
    </w:p>
    <w:p>
      <w:pPr>
        <w:ind w:left="730" w:hanging="370"/>
        <w:spacing w:after="0"/>
        <w:tabs>
          <w:tab w:leader="none" w:pos="73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in our operating profit, including the impact of straight-line accounting; and</w:t>
      </w:r>
    </w:p>
    <w:p>
      <w:pPr>
        <w:spacing w:after="0" w:line="30" w:lineRule="exact"/>
        <w:rPr>
          <w:rFonts w:ascii="Times New Roman" w:cs="Times New Roman" w:eastAsia="Times New Roman" w:hAnsi="Times New Roman"/>
          <w:sz w:val="20"/>
          <w:szCs w:val="20"/>
          <w:color w:val="231F20"/>
        </w:rPr>
      </w:pPr>
    </w:p>
    <w:p>
      <w:pPr>
        <w:ind w:left="730" w:right="4920" w:hanging="370"/>
        <w:spacing w:after="0" w:line="250" w:lineRule="auto"/>
        <w:tabs>
          <w:tab w:leader="none" w:pos="73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decreases in cash paid for interest and cash paid for taxes; partially offset by:</w:t>
      </w:r>
    </w:p>
    <w:p>
      <w:pPr>
        <w:ind w:left="1450" w:hanging="370"/>
        <w:spacing w:after="0"/>
        <w:tabs>
          <w:tab w:leader="none" w:pos="1450" w:val="left"/>
        </w:tabs>
        <w:numPr>
          <w:ilvl w:val="1"/>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reduction of cash flows from ATC TIPL as a result of the sale in 2024; and</w:t>
      </w:r>
    </w:p>
    <w:p>
      <w:pPr>
        <w:spacing w:after="0" w:line="10" w:lineRule="exact"/>
        <w:rPr>
          <w:rFonts w:ascii="Times New Roman" w:cs="Times New Roman" w:eastAsia="Times New Roman" w:hAnsi="Times New Roman"/>
          <w:sz w:val="20"/>
          <w:szCs w:val="20"/>
          <w:color w:val="231F20"/>
        </w:rPr>
      </w:pPr>
    </w:p>
    <w:p>
      <w:pPr>
        <w:ind w:left="1450" w:right="520" w:hanging="370"/>
        <w:spacing w:after="0" w:line="260" w:lineRule="auto"/>
        <w:tabs>
          <w:tab w:leader="none" w:pos="1450" w:val="left"/>
        </w:tabs>
        <w:numPr>
          <w:ilvl w:val="1"/>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 increase in cash required for working capital, primarily as a result of an increase in prepaid and other assets and a decrease in accounts payable.</w:t>
      </w:r>
    </w:p>
    <w:p>
      <w:pPr>
        <w:spacing w:after="0" w:line="15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Investing Activities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Our significant investing activities during the year ended December 31, 2025 are highlighted below:</w:t>
      </w:r>
    </w:p>
    <w:p>
      <w:pPr>
        <w:spacing w:after="0" w:line="170" w:lineRule="exact"/>
        <w:rPr>
          <w:sz w:val="20"/>
          <w:szCs w:val="20"/>
          <w:color w:val="auto"/>
        </w:rPr>
      </w:pPr>
    </w:p>
    <w:p>
      <w:pPr>
        <w:ind w:left="730" w:hanging="370"/>
        <w:spacing w:after="0"/>
        <w:tabs>
          <w:tab w:leader="none" w:pos="73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spent approximately $454.2 million for acquisitions.</w:t>
      </w:r>
    </w:p>
    <w:p>
      <w:pPr>
        <w:spacing w:after="0" w:line="30" w:lineRule="exact"/>
        <w:rPr>
          <w:rFonts w:ascii="Times New Roman" w:cs="Times New Roman" w:eastAsia="Times New Roman" w:hAnsi="Times New Roman"/>
          <w:sz w:val="20"/>
          <w:szCs w:val="20"/>
          <w:color w:val="231F20"/>
        </w:rPr>
      </w:pPr>
    </w:p>
    <w:p>
      <w:pPr>
        <w:ind w:left="730" w:right="40" w:hanging="370"/>
        <w:spacing w:after="0" w:line="250" w:lineRule="auto"/>
        <w:tabs>
          <w:tab w:leader="none" w:pos="73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received approximately $137.7 million from the sale of South Africa Fiber and approximately $159.6 million from the sale of equity securities in the U.S.</w:t>
      </w:r>
    </w:p>
    <w:p>
      <w:pPr>
        <w:ind w:left="730" w:hanging="370"/>
        <w:spacing w:after="0"/>
        <w:tabs>
          <w:tab w:leader="none" w:pos="73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spent $1.7 billion for capital expenditures, as follows (in millions):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Discretionary capital projects (1)</w:t>
            </w:r>
            <w:r>
              <w:rPr>
                <w:rFonts w:ascii="Times New Roman" w:cs="Times New Roman" w:eastAsia="Times New Roman" w:hAnsi="Times New Roman"/>
                <w:sz w:val="20"/>
                <w:szCs w:val="20"/>
                <w:color w:val="BABCBE"/>
              </w:rPr>
              <w:t>...............................................................................................................................</w:t>
            </w: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950.3</w:t>
            </w:r>
          </w:p>
        </w:tc>
      </w:tr>
      <w:tr>
        <w:trPr>
          <w:trHeight w:val="293"/>
        </w:trPr>
        <w:tc>
          <w:tcPr>
            <w:tcW w:w="9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Ground lease purchases (2)</w:t>
            </w:r>
            <w:r>
              <w:rPr>
                <w:rFonts w:ascii="Times New Roman" w:cs="Times New Roman" w:eastAsia="Times New Roman" w:hAnsi="Times New Roman"/>
                <w:sz w:val="20"/>
                <w:szCs w:val="20"/>
                <w:color w:val="BABCBE"/>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217.0</w:t>
            </w:r>
          </w:p>
        </w:tc>
      </w:tr>
      <w:tr>
        <w:trPr>
          <w:trHeight w:val="307"/>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Capital improvements and corporate expenditures (3) </w:t>
            </w:r>
            <w:r>
              <w:rPr>
                <w:rFonts w:ascii="Times New Roman" w:cs="Times New Roman" w:eastAsia="Times New Roman" w:hAnsi="Times New Roman"/>
                <w:sz w:val="20"/>
                <w:szCs w:val="20"/>
                <w:color w:val="BABCBE"/>
                <w:w w:val="99"/>
              </w:rPr>
              <w:t>..............................................................................................</w:t>
            </w:r>
          </w:p>
        </w:tc>
        <w:tc>
          <w:tcPr>
            <w:tcW w:w="3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195.6</w:t>
            </w:r>
          </w:p>
        </w:tc>
      </w:tr>
      <w:tr>
        <w:trPr>
          <w:trHeight w:val="293"/>
        </w:trPr>
        <w:tc>
          <w:tcPr>
            <w:tcW w:w="9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Redevelopment </w:t>
            </w:r>
            <w:r>
              <w:rPr>
                <w:rFonts w:ascii="Times New Roman" w:cs="Times New Roman" w:eastAsia="Times New Roman" w:hAnsi="Times New Roman"/>
                <w:sz w:val="20"/>
                <w:szCs w:val="20"/>
                <w:color w:val="BABCBE"/>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287.8</w:t>
            </w:r>
          </w:p>
        </w:tc>
      </w:tr>
      <w:tr>
        <w:trPr>
          <w:trHeight w:val="315"/>
        </w:trPr>
        <w:tc>
          <w:tcPr>
            <w:tcW w:w="91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Start-up capital projects </w:t>
            </w:r>
            <w:r>
              <w:rPr>
                <w:rFonts w:ascii="Times New Roman" w:cs="Times New Roman" w:eastAsia="Times New Roman" w:hAnsi="Times New Roman"/>
                <w:sz w:val="20"/>
                <w:szCs w:val="20"/>
                <w:color w:val="BABCBE"/>
              </w:rPr>
              <w:t>.............................................................................................................................................</w:t>
            </w:r>
          </w:p>
        </w:tc>
        <w:tc>
          <w:tcPr>
            <w:tcW w:w="30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70.0</w:t>
            </w:r>
          </w:p>
        </w:tc>
      </w:tr>
      <w:tr>
        <w:trPr>
          <w:trHeight w:val="259"/>
        </w:trPr>
        <w:tc>
          <w:tcPr>
            <w:tcW w:w="9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Total capital expenditures</w:t>
            </w:r>
            <w:r>
              <w:rPr>
                <w:rFonts w:ascii="Times New Roman" w:cs="Times New Roman" w:eastAsia="Times New Roman" w:hAnsi="Times New Roman"/>
                <w:sz w:val="20"/>
                <w:szCs w:val="20"/>
                <w:color w:val="BABCBE"/>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5768975</wp:posOffset>
            </wp:positionH>
            <wp:positionV relativeFrom="paragraph">
              <wp:posOffset>-194310</wp:posOffset>
            </wp:positionV>
            <wp:extent cx="75882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8825" cy="25400"/>
                    </a:xfrm>
                    <a:prstGeom prst="rect">
                      <a:avLst/>
                    </a:prstGeom>
                    <a:noFill/>
                  </pic:spPr>
                </pic:pic>
              </a:graphicData>
            </a:graphic>
          </wp:anchor>
        </w:drawing>
      </w: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hanging="370"/>
        <w:spacing w:after="0"/>
        <w:tabs>
          <w:tab w:leader="none" w:pos="37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construction of 1,918 communications sites globally and approximately $608.9 million of spend related to data center assets.</w:t>
      </w:r>
    </w:p>
    <w:p>
      <w:pPr>
        <w:spacing w:after="0" w:line="8" w:lineRule="exact"/>
        <w:rPr>
          <w:rFonts w:ascii="Times New Roman" w:cs="Times New Roman" w:eastAsia="Times New Roman" w:hAnsi="Times New Roman"/>
          <w:sz w:val="16"/>
          <w:szCs w:val="16"/>
          <w:color w:val="231F20"/>
        </w:rPr>
      </w:pPr>
    </w:p>
    <w:p>
      <w:pPr>
        <w:ind w:left="370" w:right="340" w:hanging="370"/>
        <w:spacing w:after="0" w:line="250" w:lineRule="auto"/>
        <w:tabs>
          <w:tab w:leader="none" w:pos="37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$36.0 million of perpetual land easement payments reported in Deferred financing costs and other financing activities in the cash flows from financing activities in our consolidated statements of cash flows.</w:t>
      </w:r>
    </w:p>
    <w:p>
      <w:pPr>
        <w:ind w:left="370" w:right="400" w:hanging="370"/>
        <w:spacing w:after="0" w:line="260" w:lineRule="auto"/>
        <w:tabs>
          <w:tab w:leader="none" w:pos="37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$4.3 million of finance lease payments reported in Repayments of notes payable, credit facilities, senior notes, secured debt, term loans and finance leases in the cash flows from financing activities in our consolidated statements of cash flows.</w:t>
      </w:r>
    </w:p>
    <w:p>
      <w:pPr>
        <w:spacing w:after="0" w:line="157" w:lineRule="exact"/>
        <w:rPr>
          <w:sz w:val="20"/>
          <w:szCs w:val="20"/>
          <w:color w:val="auto"/>
        </w:rPr>
      </w:pPr>
    </w:p>
    <w:p>
      <w:pPr>
        <w:ind w:left="10" w:right="40"/>
        <w:spacing w:after="0" w:line="278" w:lineRule="auto"/>
        <w:rPr>
          <w:sz w:val="20"/>
          <w:szCs w:val="20"/>
          <w:color w:val="auto"/>
        </w:rPr>
      </w:pPr>
      <w:r>
        <w:rPr>
          <w:rFonts w:ascii="Times New Roman" w:cs="Times New Roman" w:eastAsia="Times New Roman" w:hAnsi="Times New Roman"/>
          <w:sz w:val="19"/>
          <w:szCs w:val="19"/>
          <w:color w:val="231F20"/>
        </w:rPr>
        <w:t>We plan to continue to allocate our available capital, after satisfying our distribution requirements, among investment alternatives that meet our return on investment criteria, while maintaining our commitment to our long-term financial policies. Accordingly, we expect to continue to deploy capital through our annual capital expenditure program, including land purchases and new site and data center facility construction, and through acquisitions. We also regularly review our portfolios as to capital</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270"/>
          </w:cols>
          <w:pgMar w:left="810" w:top="393" w:right="800" w:bottom="0" w:gutter="0" w:footer="0" w:header="0"/>
          <w:type w:val="continuous"/>
        </w:sectPr>
      </w:pPr>
    </w:p>
    <w:bookmarkStart w:id="60" w:name="page61"/>
    <w:bookmarkEnd w:id="60"/>
    <w:p>
      <w:pPr>
        <w:ind w:left="10" w:right="520"/>
        <w:spacing w:after="0" w:line="281" w:lineRule="auto"/>
        <w:rPr>
          <w:sz w:val="20"/>
          <w:szCs w:val="20"/>
          <w:color w:val="auto"/>
        </w:rPr>
      </w:pPr>
      <w:r>
        <w:rPr>
          <w:rFonts w:ascii="Times New Roman" w:cs="Times New Roman" w:eastAsia="Times New Roman" w:hAnsi="Times New Roman"/>
          <w:sz w:val="20"/>
          <w:szCs w:val="20"/>
          <w:color w:val="231F20"/>
        </w:rPr>
        <w:t>expenditures required to upgrade our infrastructure to our structural standards or address capacity, structural or permitting issues.</w:t>
      </w:r>
    </w:p>
    <w:p>
      <w:pPr>
        <w:sectPr>
          <w:pgSz w:w="11880" w:h="15480" w:orient="portrait"/>
          <w:cols w:equalWidth="0" w:num="1">
            <w:col w:w="10270"/>
          </w:cols>
          <w:pgMar w:left="810" w:top="393" w:right="800" w:bottom="0" w:gutter="0" w:footer="0" w:header="0"/>
        </w:sectPr>
      </w:pP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We expect that our 2026 total capital expenditures will be as follows (in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45720</wp:posOffset>
                </wp:positionV>
                <wp:extent cx="6515100" cy="19050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90500"/>
                        </a:xfrm>
                        <a:prstGeom prst="rect">
                          <a:avLst/>
                        </a:prstGeom>
                        <a:solidFill>
                          <a:srgbClr val="E3E4E5"/>
                        </a:solidFill>
                      </wps:spPr>
                      <wps:bodyPr/>
                    </wps:wsp>
                  </a:graphicData>
                </a:graphic>
              </wp:anchor>
            </w:drawing>
          </mc:Choice>
          <mc:Fallback>
            <w:pict>
              <v:rect id="Shape 69" o:spid="_x0000_s1094" style="position:absolute;margin-left:0pt;margin-top:3.6pt;width:513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6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231F20"/>
        </w:rPr>
        <w:t xml:space="preserve">Discretionary capital projects (1) </w:t>
      </w: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 xml:space="preserve"> $</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231F20"/>
        </w:rPr>
        <w:t xml:space="preserve">Ground lease purchases </w:t>
      </w:r>
      <w:r>
        <w:rPr>
          <w:rFonts w:ascii="Times New Roman" w:cs="Times New Roman" w:eastAsia="Times New Roman" w:hAnsi="Times New Roman"/>
          <w:sz w:val="20"/>
          <w:szCs w:val="20"/>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36195</wp:posOffset>
                </wp:positionV>
                <wp:extent cx="6515100" cy="1905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90500"/>
                        </a:xfrm>
                        <a:prstGeom prst="rect">
                          <a:avLst/>
                        </a:prstGeom>
                        <a:solidFill>
                          <a:srgbClr val="E3E4E5"/>
                        </a:solidFill>
                      </wps:spPr>
                      <wps:bodyPr/>
                    </wps:wsp>
                  </a:graphicData>
                </a:graphic>
              </wp:anchor>
            </w:drawing>
          </mc:Choice>
          <mc:Fallback>
            <w:pict>
              <v:rect id="Shape 70" o:spid="_x0000_s1095" style="position:absolute;margin-left:0pt;margin-top:2.85pt;width:513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231F20"/>
        </w:rPr>
        <w:t>Capital improvements and corporate expenditures</w:t>
      </w:r>
      <w:r>
        <w:rPr>
          <w:rFonts w:ascii="Times New Roman" w:cs="Times New Roman" w:eastAsia="Times New Roman" w:hAnsi="Times New Roman"/>
          <w:sz w:val="20"/>
          <w:szCs w:val="20"/>
          <w:color w:val="BABCBE"/>
        </w:rPr>
        <w:t>......................................................................</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231F20"/>
        </w:rPr>
        <w:t xml:space="preserve">Redevelopment </w:t>
      </w:r>
      <w:r>
        <w:rPr>
          <w:rFonts w:ascii="Times New Roman" w:cs="Times New Roman" w:eastAsia="Times New Roman" w:hAnsi="Times New Roman"/>
          <w:sz w:val="20"/>
          <w:szCs w:val="20"/>
          <w:color w:val="BABCB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527800" cy="203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6527800" cy="203200"/>
                    </a:xfrm>
                    <a:prstGeom prst="rect">
                      <a:avLst/>
                    </a:prstGeom>
                    <a:noFill/>
                  </pic:spPr>
                </pic:pic>
              </a:graphicData>
            </a:graphic>
          </wp:anchor>
        </w:drawing>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231F20"/>
        </w:rPr>
        <w:t xml:space="preserve">Start-up capital projects </w:t>
      </w:r>
      <w:r>
        <w:rPr>
          <w:rFonts w:ascii="Times New Roman" w:cs="Times New Roman" w:eastAsia="Times New Roman" w:hAnsi="Times New Roman"/>
          <w:sz w:val="20"/>
          <w:szCs w:val="20"/>
          <w:color w:val="BABCBE"/>
        </w:rPr>
        <w:t>...............................................................................................................</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231F20"/>
        </w:rPr>
        <w:t>Total capital expenditures</w:t>
      </w: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 xml:space="preserv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1,050</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1,080</w:t>
            </w:r>
          </w:p>
        </w:tc>
      </w:tr>
      <w:tr>
        <w:trPr>
          <w:trHeight w:val="300"/>
        </w:trPr>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220</w:t>
            </w:r>
          </w:p>
        </w:tc>
      </w:tr>
      <w:tr>
        <w:trPr>
          <w:trHeight w:val="300"/>
        </w:trPr>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175</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w:t>
            </w:r>
          </w:p>
        </w:tc>
      </w:tr>
      <w:tr>
        <w:trPr>
          <w:trHeight w:val="300"/>
        </w:trPr>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w:t>
            </w:r>
          </w:p>
        </w:tc>
      </w:tr>
      <w:tr>
        <w:trPr>
          <w:trHeight w:val="303"/>
        </w:trPr>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w:t>
            </w:r>
          </w:p>
        </w:tc>
        <w:tc>
          <w:tcPr>
            <w:tcW w:w="38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w:t>
            </w:r>
          </w:p>
        </w:tc>
      </w:tr>
      <w:tr>
        <w:trPr>
          <w:trHeight w:val="277"/>
        </w:trPr>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1,795</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1,905</w:t>
            </w:r>
          </w:p>
        </w:tc>
      </w:tr>
    </w:tbl>
    <w:p>
      <w:pPr>
        <w:spacing w:after="0" w:line="63" w:lineRule="exact"/>
        <w:rPr>
          <w:sz w:val="20"/>
          <w:szCs w:val="20"/>
          <w:color w:val="auto"/>
        </w:rPr>
      </w:pPr>
    </w:p>
    <w:p>
      <w:pPr>
        <w:sectPr>
          <w:pgSz w:w="11880" w:h="15480" w:orient="portrait"/>
          <w:cols w:equalWidth="0" w:num="2">
            <w:col w:w="7750" w:space="460"/>
            <w:col w:w="2060"/>
          </w:cols>
          <w:pgMar w:left="810" w:top="393" w:right="800" w:bottom="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right="140" w:hanging="370"/>
        <w:spacing w:after="0" w:line="260" w:lineRule="auto"/>
        <w:tabs>
          <w:tab w:leader="none" w:pos="37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construction of approximately 1,700 to 2,300 communications sites globally and approximately $695 million of anticipated spend related to data center assets.</w:t>
      </w:r>
    </w:p>
    <w:p>
      <w:pPr>
        <w:spacing w:after="0" w:line="1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Financing Activities</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Our significant financing activities were as follows (in millions):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6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300" w:type="dxa"/>
            <w:vAlign w:val="bottom"/>
            <w:tcBorders>
              <w:bottom w:val="single" w:sz="8" w:color="231F20"/>
            </w:tcBorders>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80"/>
        </w:trPr>
        <w:tc>
          <w:tcPr>
            <w:tcW w:w="768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90"/>
        </w:trPr>
        <w:tc>
          <w:tcPr>
            <w:tcW w:w="7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Proceeds from issuance of senior notes, net </w:t>
            </w:r>
            <w:r>
              <w:rPr>
                <w:rFonts w:ascii="Times New Roman" w:cs="Times New Roman" w:eastAsia="Times New Roman" w:hAnsi="Times New Roman"/>
                <w:sz w:val="20"/>
                <w:szCs w:val="20"/>
                <w:color w:val="BABCBE"/>
              </w:rPr>
              <w:t>..................................................................................</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3,000.6</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3,568.6</w:t>
            </w:r>
          </w:p>
        </w:tc>
      </w:tr>
      <w:tr>
        <w:trPr>
          <w:trHeight w:val="293"/>
        </w:trPr>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Borrowings under (repayments of) credit facilities, net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362.2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(2,321.1)</w:t>
            </w:r>
          </w:p>
        </w:tc>
      </w:tr>
      <w:tr>
        <w:trPr>
          <w:trHeight w:val="307"/>
        </w:trPr>
        <w:tc>
          <w:tcPr>
            <w:tcW w:w="7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Repayments of term loans (1)</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(1,015.4)</w:t>
            </w:r>
          </w:p>
        </w:tc>
      </w:tr>
      <w:tr>
        <w:trPr>
          <w:trHeight w:val="293"/>
        </w:trPr>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 xml:space="preserve">Repayments of securitized debt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7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Repayments of senior notes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(3,206.2)</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(2,150.0)</w:t>
            </w:r>
          </w:p>
        </w:tc>
      </w:tr>
      <w:tr>
        <w:trPr>
          <w:trHeight w:val="293"/>
        </w:trPr>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Purchases of common stock</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r>
      <w:tr>
        <w:trPr>
          <w:trHeight w:val="307"/>
        </w:trPr>
        <w:tc>
          <w:tcPr>
            <w:tcW w:w="7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Distributions paid on common stock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(3,157.2)</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-1345565</wp:posOffset>
            </wp:positionV>
            <wp:extent cx="165417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1654175" cy="25400"/>
                    </a:xfrm>
                    <a:prstGeom prst="rect">
                      <a:avLst/>
                    </a:prstGeom>
                    <a:noFill/>
                  </pic:spPr>
                </pic:pic>
              </a:graphicData>
            </a:graphic>
          </wp:anchor>
        </w:drawing>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right="180" w:hanging="370"/>
        <w:spacing w:after="0" w:line="260" w:lineRule="auto"/>
        <w:tabs>
          <w:tab w:leader="none" w:pos="37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2024, includes the repayments of the 825.0 million EUR unsecured term loan, as amended in December 2021, and the 10.0 billion INR unsecured term loan in India, which was repaid in connection with the completion of the ATC TIPL Transaction.</w:t>
      </w:r>
    </w:p>
    <w:p>
      <w:pPr>
        <w:spacing w:after="0" w:line="1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Securitization</w:t>
      </w:r>
    </w:p>
    <w:p>
      <w:pPr>
        <w:spacing w:after="0" w:line="170" w:lineRule="exact"/>
        <w:rPr>
          <w:sz w:val="20"/>
          <w:szCs w:val="20"/>
          <w:color w:val="auto"/>
        </w:rPr>
      </w:pPr>
    </w:p>
    <w:p>
      <w:pPr>
        <w:ind w:left="10" w:right="120"/>
        <w:spacing w:after="0" w:line="271" w:lineRule="auto"/>
        <w:rPr>
          <w:sz w:val="20"/>
          <w:szCs w:val="20"/>
          <w:color w:val="auto"/>
        </w:rPr>
      </w:pPr>
      <w:r>
        <w:rPr>
          <w:rFonts w:ascii="Times New Roman" w:cs="Times New Roman" w:eastAsia="Times New Roman" w:hAnsi="Times New Roman"/>
          <w:sz w:val="19"/>
          <w:szCs w:val="19"/>
          <w:i w:val="1"/>
          <w:iCs w:val="1"/>
          <w:color w:val="231F20"/>
        </w:rPr>
        <w:t>American Tower Secured Revenue Notes and Repayment of Series 2015-2 Notes</w:t>
      </w:r>
      <w:r>
        <w:rPr>
          <w:rFonts w:ascii="Times New Roman" w:cs="Times New Roman" w:eastAsia="Times New Roman" w:hAnsi="Times New Roman"/>
          <w:sz w:val="19"/>
          <w:szCs w:val="19"/>
          <w:color w:val="231F20"/>
        </w:rPr>
        <w:t>—In May 2015, GTP Acquisition Partners I,</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LLC, one of our wholly owned subsidiaries, refinanced existing debt with cash on hand and proceeds from a private issuance (the “2015 Securitization”) of (i) $350.0 million of American Tower Secured Revenue Notes, Series 2015-1, Class A, which were subsequently repaid on the June 2020 payment date, and (ii) $525.0 million of the Series 2015-2 Notes. On the June 2025 payment date, we repaid $525.0 million aggregate principal amount outstanding under the Series 2015-2 Notes, pursuant to the terms of the agreements governing such securities. The repayment was funded with borrowings under the 2021 Multicurrency Credit Facility and cash on hand. Following such repayment, no notes were outstanding under the 2015 Securitization.</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Senior Notes</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Repayments of Senior Notes</w:t>
      </w:r>
    </w:p>
    <w:p>
      <w:pPr>
        <w:spacing w:after="0" w:line="170" w:lineRule="exact"/>
        <w:rPr>
          <w:sz w:val="20"/>
          <w:szCs w:val="20"/>
          <w:color w:val="auto"/>
        </w:rPr>
      </w:pPr>
    </w:p>
    <w:p>
      <w:pPr>
        <w:ind w:left="10" w:right="60"/>
        <w:spacing w:after="0" w:line="268" w:lineRule="auto"/>
        <w:rPr>
          <w:sz w:val="20"/>
          <w:szCs w:val="20"/>
          <w:color w:val="auto"/>
        </w:rPr>
      </w:pPr>
      <w:r>
        <w:rPr>
          <w:rFonts w:ascii="Times New Roman" w:cs="Times New Roman" w:eastAsia="Times New Roman" w:hAnsi="Times New Roman"/>
          <w:sz w:val="20"/>
          <w:szCs w:val="20"/>
          <w:i w:val="1"/>
          <w:iCs w:val="1"/>
          <w:color w:val="231F20"/>
        </w:rPr>
        <w:t>Repayment of 2.950% Senior Notes—</w:t>
      </w:r>
      <w:r>
        <w:rPr>
          <w:rFonts w:ascii="Times New Roman" w:cs="Times New Roman" w:eastAsia="Times New Roman" w:hAnsi="Times New Roman"/>
          <w:sz w:val="20"/>
          <w:szCs w:val="20"/>
          <w:color w:val="231F20"/>
        </w:rPr>
        <w:t>On January 14, 2025, we repaid $650.0 million aggregate principal amount of the 2.950%</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Notes upon their maturity. The 2.950% Notes were repaid using cash on hand and borrowings under the 2021 Multicurrency Credit Facility. Upon completion of the repayment, none of the 2.950% Notes remained outstanding.</w:t>
      </w:r>
    </w:p>
    <w:p>
      <w:pPr>
        <w:spacing w:after="0" w:line="110" w:lineRule="exact"/>
        <w:rPr>
          <w:sz w:val="20"/>
          <w:szCs w:val="20"/>
          <w:color w:val="auto"/>
        </w:rPr>
      </w:pPr>
    </w:p>
    <w:p>
      <w:pPr>
        <w:ind w:left="10" w:right="160"/>
        <w:spacing w:after="0" w:line="276" w:lineRule="auto"/>
        <w:rPr>
          <w:sz w:val="20"/>
          <w:szCs w:val="20"/>
          <w:color w:val="auto"/>
        </w:rPr>
      </w:pPr>
      <w:r>
        <w:rPr>
          <w:rFonts w:ascii="Times New Roman" w:cs="Times New Roman" w:eastAsia="Times New Roman" w:hAnsi="Times New Roman"/>
          <w:sz w:val="19"/>
          <w:szCs w:val="19"/>
          <w:i w:val="1"/>
          <w:iCs w:val="1"/>
          <w:color w:val="231F20"/>
        </w:rPr>
        <w:t>Repayment of 2.400% Senior Notes—</w:t>
      </w:r>
      <w:r>
        <w:rPr>
          <w:rFonts w:ascii="Times New Roman" w:cs="Times New Roman" w:eastAsia="Times New Roman" w:hAnsi="Times New Roman"/>
          <w:sz w:val="19"/>
          <w:szCs w:val="19"/>
          <w:color w:val="231F20"/>
        </w:rPr>
        <w:t>On March 14, 2025, we repaid $750.0 million aggregate principal amount of the 2.400%</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Notes upon their maturity. The 2.400% Notes were repaid using proceeds from the issuance of the 4.900% Notes and the</w:t>
      </w:r>
    </w:p>
    <w:p>
      <w:pPr>
        <w:spacing w:after="0" w:line="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5.350% Notes (each as defined below). Upon completion of the repayment, none of the 2.400% Notes remained outstanding.</w:t>
      </w:r>
    </w:p>
    <w:p>
      <w:pPr>
        <w:spacing w:after="0" w:line="146" w:lineRule="exact"/>
        <w:rPr>
          <w:sz w:val="20"/>
          <w:szCs w:val="20"/>
          <w:color w:val="auto"/>
        </w:rPr>
      </w:pPr>
    </w:p>
    <w:p>
      <w:pPr>
        <w:ind w:left="10" w:right="520"/>
        <w:spacing w:after="0" w:line="268" w:lineRule="auto"/>
        <w:rPr>
          <w:sz w:val="20"/>
          <w:szCs w:val="20"/>
          <w:color w:val="auto"/>
        </w:rPr>
      </w:pPr>
      <w:r>
        <w:rPr>
          <w:rFonts w:ascii="Times New Roman" w:cs="Times New Roman" w:eastAsia="Times New Roman" w:hAnsi="Times New Roman"/>
          <w:sz w:val="20"/>
          <w:szCs w:val="20"/>
          <w:i w:val="1"/>
          <w:iCs w:val="1"/>
          <w:color w:val="231F20"/>
        </w:rPr>
        <w:t>Repayment of 1.375% Senior Notes</w:t>
      </w:r>
      <w:r>
        <w:rPr>
          <w:rFonts w:ascii="Times New Roman" w:cs="Times New Roman" w:eastAsia="Times New Roman" w:hAnsi="Times New Roman"/>
          <w:sz w:val="20"/>
          <w:szCs w:val="20"/>
          <w:color w:val="231F20"/>
        </w:rPr>
        <w:t>—On April 3, 2025, we repaid 500.0 million EUR aggregate principal amount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1.375% Notes upon their maturity. The 1.375% Notes were repaid using borrowings under the 2021 Multicurrency Credit Facility and cash on hand. Upon completion of the repayment, none of the 1.375% Notes remained outstanding.</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Repayment of 4.000% Senior Notes</w:t>
      </w:r>
      <w:r>
        <w:rPr>
          <w:rFonts w:ascii="Times New Roman" w:cs="Times New Roman" w:eastAsia="Times New Roman" w:hAnsi="Times New Roman"/>
          <w:sz w:val="20"/>
          <w:szCs w:val="20"/>
          <w:color w:val="231F20"/>
        </w:rPr>
        <w:t>—On May 30, 2025, we repaid $750.0 million aggregate principal amount of the 4.000%</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Notes upon their maturity. The 4.000% Notes were repaid using borrowings under the 2021 Credit Facility and cash on hand.</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Upon completion of the repayment, none of the 4.000% Notes remained outstanding.</w:t>
      </w:r>
    </w:p>
    <w:p>
      <w:pPr>
        <w:sectPr>
          <w:pgSz w:w="11880" w:h="15480" w:orient="portrait"/>
          <w:cols w:equalWidth="0" w:num="1">
            <w:col w:w="10270"/>
          </w:cols>
          <w:pgMar w:left="810" w:top="393" w:right="800" w:bottom="0" w:gutter="0" w:footer="0" w:header="0"/>
          <w:type w:val="continuous"/>
        </w:sectPr>
      </w:pPr>
    </w:p>
    <w:p>
      <w:pPr>
        <w:spacing w:after="0" w:line="35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270"/>
          </w:cols>
          <w:pgMar w:left="810" w:top="393" w:right="800" w:bottom="0" w:gutter="0" w:footer="0" w:header="0"/>
          <w:type w:val="continuous"/>
        </w:sectPr>
      </w:pPr>
    </w:p>
    <w:bookmarkStart w:id="61" w:name="page62"/>
    <w:bookmarkEnd w:id="61"/>
    <w:p>
      <w:pPr>
        <w:jc w:val="both"/>
        <w:ind w:left="10" w:right="440"/>
        <w:spacing w:after="0" w:line="268" w:lineRule="auto"/>
        <w:rPr>
          <w:sz w:val="20"/>
          <w:szCs w:val="20"/>
          <w:color w:val="auto"/>
        </w:rPr>
      </w:pPr>
      <w:r>
        <w:rPr>
          <w:rFonts w:ascii="Times New Roman" w:cs="Times New Roman" w:eastAsia="Times New Roman" w:hAnsi="Times New Roman"/>
          <w:sz w:val="20"/>
          <w:szCs w:val="20"/>
          <w:i w:val="1"/>
          <w:iCs w:val="1"/>
          <w:color w:val="231F20"/>
        </w:rPr>
        <w:t>Repayment of 1.300% Senior Notes</w:t>
      </w:r>
      <w:r>
        <w:rPr>
          <w:rFonts w:ascii="Times New Roman" w:cs="Times New Roman" w:eastAsia="Times New Roman" w:hAnsi="Times New Roman"/>
          <w:sz w:val="20"/>
          <w:szCs w:val="20"/>
          <w:color w:val="231F20"/>
        </w:rPr>
        <w:t>—On September 12, 2025, we repaid $500.0 million aggregate principal amount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1.300% Notes upon their maturity. The 1.300% Notes were repaid using borrowings under the 2021 Credit Facility. Upon completion of the repayment, none of the 1.300% Notes remained outstanding.</w:t>
      </w:r>
    </w:p>
    <w:p>
      <w:pPr>
        <w:spacing w:after="0" w:line="110" w:lineRule="exact"/>
        <w:rPr>
          <w:sz w:val="20"/>
          <w:szCs w:val="20"/>
          <w:color w:val="auto"/>
        </w:rPr>
      </w:pPr>
    </w:p>
    <w:p>
      <w:pPr>
        <w:ind w:left="10" w:right="340"/>
        <w:spacing w:after="0" w:line="262" w:lineRule="auto"/>
        <w:rPr>
          <w:sz w:val="20"/>
          <w:szCs w:val="20"/>
          <w:color w:val="auto"/>
        </w:rPr>
      </w:pPr>
      <w:r>
        <w:rPr>
          <w:rFonts w:ascii="Times New Roman" w:cs="Times New Roman" w:eastAsia="Times New Roman" w:hAnsi="Times New Roman"/>
          <w:sz w:val="20"/>
          <w:szCs w:val="20"/>
          <w:i w:val="1"/>
          <w:iCs w:val="1"/>
          <w:color w:val="231F20"/>
        </w:rPr>
        <w:t>Repayment of 4.400% Senior Notes</w:t>
      </w:r>
      <w:r>
        <w:rPr>
          <w:rFonts w:ascii="Times New Roman" w:cs="Times New Roman" w:eastAsia="Times New Roman" w:hAnsi="Times New Roman"/>
          <w:sz w:val="20"/>
          <w:szCs w:val="20"/>
          <w:color w:val="231F20"/>
        </w:rPr>
        <w:t>—On February 13, 2026, we repaid $500.0 million aggregate principal amount of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4.400% senior unsecured notes due 2026 (the “4.400% Notes”) upon their maturity. The 4.400% Notes were repaid using borrowings under the 2021 Credit Facility and cash on hand. Upon completion of the repayment, none of the 4.400% Notes remained outstanding.</w:t>
      </w:r>
    </w:p>
    <w:p>
      <w:pPr>
        <w:spacing w:after="0" w:line="1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Offerings of Senior Notes</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4.900% Senior Notes and 5.350% Senior Notes Offering—</w:t>
      </w:r>
      <w:r>
        <w:rPr>
          <w:rFonts w:ascii="Times New Roman" w:cs="Times New Roman" w:eastAsia="Times New Roman" w:hAnsi="Times New Roman"/>
          <w:sz w:val="20"/>
          <w:szCs w:val="20"/>
          <w:color w:val="231F20"/>
        </w:rPr>
        <w:t>On March 14, 2025, we completed a registered public offering of</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$650.0 million aggregate principal amount of 4.900% senior unsecured notes due 2030 (the “Initial 4.900% Notes”) and</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$350.0 million aggregate principal amount of 5.350% senior unsecured notes due 2035 (the “Initial 5.350% Notes”). The net</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proceeds from this offering were approximately $988.9 million, after deducting commissions and estimated expenses. We used</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net proceeds to repay the 2.400% Notes, to repay existing indebtedness under the 2021 Multicurrency Credit Facility and</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for general corporate purposes.</w:t>
      </w:r>
    </w:p>
    <w:p>
      <w:pPr>
        <w:spacing w:after="0" w:line="1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231F20"/>
        </w:rPr>
        <w:t>On September 16, 2025, we completed a registered public offering of $200.0 million aggregate principal amount through a reopening of the Initial 4.900% Notes (the “Reopened 4.900% Notes” and, collectively with the Initial 4.900% Notes, the “4.900% Notes”) and $375.0 million aggregate principal amount through a reopening of the Initial 5.350% Notes (the “Reopened 5.350% Notes” and, collectively with the Initial 5.350% Notes, the “5.350% Notes”). The net proceeds from this offering were approximately $587.8 million, after deducting commissions and estimated expenses. We used the net proceeds to repay existing indebtedness under the 2021 Credit Facility and for general corporate purposes.</w:t>
      </w:r>
    </w:p>
    <w:p>
      <w:pPr>
        <w:spacing w:after="0" w:line="124"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20"/>
          <w:szCs w:val="20"/>
          <w:i w:val="1"/>
          <w:iCs w:val="1"/>
          <w:color w:val="231F20"/>
        </w:rPr>
        <w:t>3.625% Senior Notes Offering—</w:t>
      </w:r>
      <w:r>
        <w:rPr>
          <w:rFonts w:ascii="Times New Roman" w:cs="Times New Roman" w:eastAsia="Times New Roman" w:hAnsi="Times New Roman"/>
          <w:sz w:val="20"/>
          <w:szCs w:val="20"/>
          <w:color w:val="231F20"/>
        </w:rPr>
        <w:t>On May 30, 2025, we completed a registered public offering of 500.0 million EUR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(approximately $567.4 million at the date of issuance) aggregate principal amount of 3.625% senior unsecured notes due 2032 (the “3.625% Notes). The net proceeds from this offering were approximately 496.8 million EUR (approximately</w:t>
      </w:r>
    </w:p>
    <w:p>
      <w:pPr>
        <w:spacing w:after="0" w:line="2"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231F20"/>
        </w:rPr>
        <w:t>$563.7 million at the date of issuance), after deducting commissions and estimated expenses. We used the net proceeds to repay existing indebtedness under the 2021 Multicurrency Credit Facility and for general corporate purposes.</w:t>
      </w:r>
    </w:p>
    <w:p>
      <w:pPr>
        <w:spacing w:after="0" w:line="118" w:lineRule="exact"/>
        <w:rPr>
          <w:sz w:val="20"/>
          <w:szCs w:val="20"/>
          <w:color w:val="auto"/>
        </w:rPr>
      </w:pPr>
    </w:p>
    <w:p>
      <w:pPr>
        <w:ind w:left="10" w:right="20"/>
        <w:spacing w:after="0" w:line="259" w:lineRule="auto"/>
        <w:rPr>
          <w:sz w:val="20"/>
          <w:szCs w:val="20"/>
          <w:color w:val="auto"/>
        </w:rPr>
      </w:pPr>
      <w:r>
        <w:rPr>
          <w:rFonts w:ascii="Times New Roman" w:cs="Times New Roman" w:eastAsia="Times New Roman" w:hAnsi="Times New Roman"/>
          <w:sz w:val="20"/>
          <w:szCs w:val="20"/>
          <w:i w:val="1"/>
          <w:iCs w:val="1"/>
          <w:color w:val="231F20"/>
        </w:rPr>
        <w:t>4.700% Senior Notes Offering—</w:t>
      </w:r>
      <w:r>
        <w:rPr>
          <w:rFonts w:ascii="Times New Roman" w:cs="Times New Roman" w:eastAsia="Times New Roman" w:hAnsi="Times New Roman"/>
          <w:sz w:val="20"/>
          <w:szCs w:val="20"/>
          <w:color w:val="231F20"/>
        </w:rPr>
        <w:t>On December 5, 2025, we completed a registered public offering of $850.0 million aggregate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principal amount of 4.700% senior unsecured notes due 2032 (the “4.700% Notes,” and, collectively with the 4.900% Notes, the 5.350% Notes and the 3.625% Notes, the “Notes”). The net proceeds from this offering were approximately $839.5 million, after deducting commissions and estimated expenses. We used the net proceeds to repay existing indebtedness under the 2021 Credit Facility.</w:t>
      </w:r>
    </w:p>
    <w:p>
      <w:pPr>
        <w:spacing w:after="0" w:line="1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 key terms of the Notes are as follows: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6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Issue Date and</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Interest</w:t>
            </w: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7"/>
              <w:spacing w:after="0" w:line="160" w:lineRule="exact"/>
              <w:rPr>
                <w:sz w:val="20"/>
                <w:szCs w:val="20"/>
                <w:color w:val="auto"/>
              </w:rPr>
            </w:pPr>
            <w:r>
              <w:rPr>
                <w:rFonts w:ascii="Times New Roman" w:cs="Times New Roman" w:eastAsia="Times New Roman" w:hAnsi="Times New Roman"/>
                <w:sz w:val="16"/>
                <w:szCs w:val="16"/>
                <w:b w:val="1"/>
                <w:bCs w:val="1"/>
                <w:color w:val="231F20"/>
              </w:rPr>
              <w:t>Principal</w:t>
            </w:r>
          </w:p>
        </w:tc>
        <w:tc>
          <w:tcPr>
            <w:tcW w:w="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b w:val="1"/>
                <w:bCs w:val="1"/>
                <w:color w:val="231F20"/>
              </w:rPr>
              <w:t>First Interest</w:t>
            </w:r>
          </w:p>
        </w:tc>
        <w:tc>
          <w:tcPr>
            <w:tcW w:w="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vMerge w:val="restart"/>
          </w:tcPr>
          <w:p>
            <w:pPr>
              <w:jc w:val="right"/>
              <w:ind w:right="67"/>
              <w:spacing w:after="0"/>
              <w:rPr>
                <w:sz w:val="20"/>
                <w:szCs w:val="20"/>
                <w:color w:val="auto"/>
              </w:rPr>
            </w:pPr>
            <w:r>
              <w:rPr>
                <w:rFonts w:ascii="Times New Roman" w:cs="Times New Roman" w:eastAsia="Times New Roman" w:hAnsi="Times New Roman"/>
                <w:sz w:val="16"/>
                <w:szCs w:val="16"/>
                <w:b w:val="1"/>
                <w:bCs w:val="1"/>
                <w:color w:val="231F20"/>
              </w:rPr>
              <w:t>Par Call Date</w:t>
            </w:r>
          </w:p>
        </w:tc>
        <w:tc>
          <w:tcPr>
            <w:tcW w:w="0" w:type="dxa"/>
            <w:vAlign w:val="bottom"/>
          </w:tcPr>
          <w:p>
            <w:pPr>
              <w:spacing w:after="0"/>
              <w:rPr>
                <w:sz w:val="1"/>
                <w:szCs w:val="1"/>
                <w:color w:val="auto"/>
              </w:rPr>
            </w:pPr>
          </w:p>
        </w:tc>
      </w:tr>
      <w:tr>
        <w:trPr>
          <w:trHeight w:val="160"/>
        </w:trPr>
        <w:tc>
          <w:tcPr>
            <w:tcW w:w="1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231F20"/>
              </w:rPr>
              <w:t>Senior Notes</w:t>
            </w:r>
          </w:p>
        </w:tc>
        <w:tc>
          <w:tcPr>
            <w:tcW w:w="60" w:type="dxa"/>
            <w:vAlign w:val="bottom"/>
          </w:tcPr>
          <w:p>
            <w:pPr>
              <w:spacing w:after="0"/>
              <w:rPr>
                <w:sz w:val="13"/>
                <w:szCs w:val="13"/>
                <w:color w:val="auto"/>
              </w:rPr>
            </w:pPr>
          </w:p>
        </w:tc>
        <w:tc>
          <w:tcPr>
            <w:tcW w:w="9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231F20"/>
              </w:rPr>
              <w:t>Amount (in</w:t>
            </w:r>
          </w:p>
        </w:tc>
        <w:tc>
          <w:tcPr>
            <w:tcW w:w="6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Interest Accrual</w:t>
            </w:r>
          </w:p>
        </w:tc>
        <w:tc>
          <w:tcPr>
            <w:tcW w:w="60" w:type="dxa"/>
            <w:vAlign w:val="bottom"/>
          </w:tcPr>
          <w:p>
            <w:pPr>
              <w:spacing w:after="0"/>
              <w:rPr>
                <w:sz w:val="13"/>
                <w:szCs w:val="13"/>
                <w:color w:val="auto"/>
              </w:rPr>
            </w:pPr>
          </w:p>
        </w:tc>
        <w:tc>
          <w:tcPr>
            <w:tcW w:w="126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6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Interest</w:t>
            </w:r>
          </w:p>
        </w:tc>
        <w:tc>
          <w:tcPr>
            <w:tcW w:w="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Payments Due</w:t>
            </w:r>
          </w:p>
        </w:tc>
        <w:tc>
          <w:tcPr>
            <w:tcW w:w="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620" w:type="dxa"/>
            <w:vAlign w:val="bottom"/>
            <w:tcBorders>
              <w:bottom w:val="single" w:sz="8" w:color="231F20"/>
            </w:tcBorders>
            <w:gridSpan w:val="2"/>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rPr>
              <w:t>millions)</w:t>
            </w:r>
          </w:p>
        </w:tc>
        <w:tc>
          <w:tcPr>
            <w:tcW w:w="60" w:type="dxa"/>
            <w:vAlign w:val="bottom"/>
            <w:tcBorders>
              <w:bottom w:val="single" w:sz="8" w:color="E3E4E5"/>
            </w:tcBorders>
          </w:tcPr>
          <w:p>
            <w:pPr>
              <w:spacing w:after="0"/>
              <w:rPr>
                <w:sz w:val="18"/>
                <w:szCs w:val="18"/>
                <w:color w:val="auto"/>
              </w:rPr>
            </w:pPr>
          </w:p>
        </w:tc>
        <w:tc>
          <w:tcPr>
            <w:tcW w:w="1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60" w:type="dxa"/>
            <w:vAlign w:val="bottom"/>
            <w:tcBorders>
              <w:bottom w:val="single" w:sz="8" w:color="E3E4E5"/>
            </w:tcBorders>
          </w:tcPr>
          <w:p>
            <w:pPr>
              <w:spacing w:after="0"/>
              <w:rPr>
                <w:sz w:val="18"/>
                <w:szCs w:val="18"/>
                <w:color w:val="auto"/>
              </w:rPr>
            </w:pPr>
          </w:p>
        </w:tc>
        <w:tc>
          <w:tcPr>
            <w:tcW w:w="126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Rate</w:t>
            </w:r>
          </w:p>
        </w:tc>
        <w:tc>
          <w:tcPr>
            <w:tcW w:w="60" w:type="dxa"/>
            <w:vAlign w:val="bottom"/>
            <w:tcBorders>
              <w:bottom w:val="single" w:sz="8" w:color="E3E4E5"/>
            </w:tcBorders>
          </w:tcPr>
          <w:p>
            <w:pPr>
              <w:spacing w:after="0"/>
              <w:rPr>
                <w:sz w:val="18"/>
                <w:szCs w:val="18"/>
                <w:color w:val="auto"/>
              </w:rPr>
            </w:pPr>
          </w:p>
        </w:tc>
        <w:tc>
          <w:tcPr>
            <w:tcW w:w="1260" w:type="dxa"/>
            <w:vAlign w:val="bottom"/>
            <w:tcBorders>
              <w:bottom w:val="single" w:sz="8" w:color="231F20"/>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231F20"/>
              </w:rPr>
              <w:t>Payment</w:t>
            </w:r>
          </w:p>
        </w:tc>
        <w:tc>
          <w:tcPr>
            <w:tcW w:w="60" w:type="dxa"/>
            <w:vAlign w:val="bottom"/>
            <w:tcBorders>
              <w:bottom w:val="single" w:sz="8" w:color="E3E4E5"/>
            </w:tcBorders>
          </w:tcPr>
          <w:p>
            <w:pPr>
              <w:spacing w:after="0"/>
              <w:rPr>
                <w:sz w:val="18"/>
                <w:szCs w:val="18"/>
                <w:color w:val="auto"/>
              </w:rPr>
            </w:pPr>
          </w:p>
        </w:tc>
        <w:tc>
          <w:tcPr>
            <w:tcW w:w="12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(1)</w:t>
            </w:r>
          </w:p>
        </w:tc>
        <w:tc>
          <w:tcPr>
            <w:tcW w:w="60" w:type="dxa"/>
            <w:vAlign w:val="bottom"/>
            <w:tcBorders>
              <w:bottom w:val="single" w:sz="8" w:color="E3E4E5"/>
            </w:tcBorders>
          </w:tcPr>
          <w:p>
            <w:pPr>
              <w:spacing w:after="0"/>
              <w:rPr>
                <w:sz w:val="18"/>
                <w:szCs w:val="18"/>
                <w:color w:val="auto"/>
              </w:rPr>
            </w:pPr>
          </w:p>
        </w:tc>
        <w:tc>
          <w:tcPr>
            <w:tcW w:w="126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231F20"/>
              </w:rPr>
              <w:t>(2)</w:t>
            </w:r>
          </w:p>
        </w:tc>
        <w:tc>
          <w:tcPr>
            <w:tcW w:w="0" w:type="dxa"/>
            <w:vAlign w:val="bottom"/>
          </w:tcPr>
          <w:p>
            <w:pPr>
              <w:spacing w:after="0"/>
              <w:rPr>
                <w:sz w:val="1"/>
                <w:szCs w:val="1"/>
                <w:color w:val="auto"/>
              </w:rPr>
            </w:pPr>
          </w:p>
        </w:tc>
      </w:tr>
      <w:tr>
        <w:trPr>
          <w:trHeight w:val="204"/>
        </w:trPr>
        <w:tc>
          <w:tcPr>
            <w:tcW w:w="68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4.900%</w:t>
            </w:r>
          </w:p>
        </w:tc>
        <w:tc>
          <w:tcPr>
            <w:tcW w:w="940" w:type="dxa"/>
            <w:vAlign w:val="bottom"/>
            <w:shd w:val="clear" w:color="auto" w:fill="E3E4E5"/>
          </w:tcPr>
          <w:p>
            <w:pPr>
              <w:ind w:left="20"/>
              <w:spacing w:after="0" w:line="204" w:lineRule="exact"/>
              <w:rPr>
                <w:sz w:val="20"/>
                <w:szCs w:val="20"/>
                <w:color w:val="auto"/>
              </w:rPr>
            </w:pPr>
            <w:r>
              <w:rPr>
                <w:rFonts w:ascii="Times New Roman" w:cs="Times New Roman" w:eastAsia="Times New Roman" w:hAnsi="Times New Roman"/>
                <w:sz w:val="20"/>
                <w:szCs w:val="20"/>
                <w:color w:val="231F20"/>
              </w:rPr>
              <w:t>Notes (3)</w:t>
            </w:r>
          </w:p>
        </w:tc>
        <w:tc>
          <w:tcPr>
            <w:tcW w:w="200" w:type="dxa"/>
            <w:vAlign w:val="bottom"/>
            <w:gridSpan w:val="2"/>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850.0</w:t>
            </w:r>
          </w:p>
        </w:tc>
        <w:tc>
          <w:tcPr>
            <w:tcW w:w="60" w:type="dxa"/>
            <w:vAlign w:val="bottom"/>
            <w:shd w:val="clear" w:color="auto" w:fill="E3E4E5"/>
          </w:tcPr>
          <w:p>
            <w:pPr>
              <w:spacing w:after="0"/>
              <w:rPr>
                <w:sz w:val="17"/>
                <w:szCs w:val="17"/>
                <w:color w:val="auto"/>
              </w:rPr>
            </w:pPr>
          </w:p>
        </w:tc>
        <w:tc>
          <w:tcPr>
            <w:tcW w:w="126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March 14,</w:t>
            </w:r>
          </w:p>
        </w:tc>
        <w:tc>
          <w:tcPr>
            <w:tcW w:w="60" w:type="dxa"/>
            <w:vAlign w:val="bottom"/>
            <w:shd w:val="clear" w:color="auto" w:fill="E3E4E5"/>
          </w:tcPr>
          <w:p>
            <w:pPr>
              <w:spacing w:after="0"/>
              <w:rPr>
                <w:sz w:val="17"/>
                <w:szCs w:val="17"/>
                <w:color w:val="auto"/>
              </w:rPr>
            </w:pPr>
          </w:p>
        </w:tc>
        <w:tc>
          <w:tcPr>
            <w:tcW w:w="126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March 15,</w:t>
            </w:r>
          </w:p>
        </w:tc>
        <w:tc>
          <w:tcPr>
            <w:tcW w:w="1000" w:type="dxa"/>
            <w:vAlign w:val="bottom"/>
            <w:gridSpan w:val="2"/>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4.900%</w:t>
            </w:r>
          </w:p>
        </w:tc>
        <w:tc>
          <w:tcPr>
            <w:tcW w:w="60" w:type="dxa"/>
            <w:vAlign w:val="bottom"/>
            <w:shd w:val="clear" w:color="auto" w:fill="E3E4E5"/>
          </w:tcPr>
          <w:p>
            <w:pPr>
              <w:spacing w:after="0"/>
              <w:rPr>
                <w:sz w:val="17"/>
                <w:szCs w:val="17"/>
                <w:color w:val="auto"/>
              </w:rPr>
            </w:pPr>
          </w:p>
        </w:tc>
        <w:tc>
          <w:tcPr>
            <w:tcW w:w="126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September 15,</w:t>
            </w:r>
          </w:p>
        </w:tc>
        <w:tc>
          <w:tcPr>
            <w:tcW w:w="60" w:type="dxa"/>
            <w:vAlign w:val="bottom"/>
            <w:shd w:val="clear" w:color="auto" w:fill="E3E4E5"/>
          </w:tcPr>
          <w:p>
            <w:pPr>
              <w:spacing w:after="0"/>
              <w:rPr>
                <w:sz w:val="17"/>
                <w:szCs w:val="17"/>
                <w:color w:val="auto"/>
              </w:rPr>
            </w:pPr>
          </w:p>
        </w:tc>
        <w:tc>
          <w:tcPr>
            <w:tcW w:w="126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March 15 and</w:t>
            </w:r>
          </w:p>
        </w:tc>
        <w:tc>
          <w:tcPr>
            <w:tcW w:w="60" w:type="dxa"/>
            <w:vAlign w:val="bottom"/>
            <w:shd w:val="clear" w:color="auto" w:fill="E3E4E5"/>
          </w:tcPr>
          <w:p>
            <w:pPr>
              <w:spacing w:after="0"/>
              <w:rPr>
                <w:sz w:val="17"/>
                <w:szCs w:val="17"/>
                <w:color w:val="auto"/>
              </w:rPr>
            </w:pPr>
          </w:p>
        </w:tc>
        <w:tc>
          <w:tcPr>
            <w:tcW w:w="1260" w:type="dxa"/>
            <w:vAlign w:val="bottom"/>
            <w:shd w:val="clear" w:color="auto" w:fill="E3E4E5"/>
          </w:tcPr>
          <w:p>
            <w:pPr>
              <w:jc w:val="right"/>
              <w:spacing w:after="0" w:line="204" w:lineRule="exact"/>
              <w:rPr>
                <w:sz w:val="20"/>
                <w:szCs w:val="20"/>
                <w:color w:val="auto"/>
              </w:rPr>
            </w:pPr>
            <w:r>
              <w:rPr>
                <w:rFonts w:ascii="Times New Roman" w:cs="Times New Roman" w:eastAsia="Times New Roman" w:hAnsi="Times New Roman"/>
                <w:sz w:val="20"/>
                <w:szCs w:val="20"/>
                <w:color w:val="231F20"/>
              </w:rPr>
              <w:t>February 15,</w:t>
            </w:r>
          </w:p>
        </w:tc>
        <w:tc>
          <w:tcPr>
            <w:tcW w:w="0" w:type="dxa"/>
            <w:vAlign w:val="bottom"/>
          </w:tcPr>
          <w:p>
            <w:pPr>
              <w:spacing w:after="0"/>
              <w:rPr>
                <w:sz w:val="1"/>
                <w:szCs w:val="1"/>
                <w:color w:val="auto"/>
              </w:rPr>
            </w:pPr>
          </w:p>
        </w:tc>
      </w:tr>
      <w:tr>
        <w:trPr>
          <w:trHeight w:val="266"/>
        </w:trPr>
        <w:tc>
          <w:tcPr>
            <w:tcW w:w="680" w:type="dxa"/>
            <w:vAlign w:val="bottom"/>
            <w:shd w:val="clear" w:color="auto" w:fill="E3E4E5"/>
          </w:tcPr>
          <w:p>
            <w:pPr>
              <w:spacing w:after="0"/>
              <w:rPr>
                <w:sz w:val="23"/>
                <w:szCs w:val="23"/>
                <w:color w:val="auto"/>
              </w:rPr>
            </w:pPr>
          </w:p>
        </w:tc>
        <w:tc>
          <w:tcPr>
            <w:tcW w:w="94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spacing w:after="0"/>
              <w:rPr>
                <w:sz w:val="23"/>
                <w:szCs w:val="23"/>
                <w:color w:val="auto"/>
              </w:rPr>
            </w:pPr>
          </w:p>
        </w:tc>
        <w:tc>
          <w:tcPr>
            <w:tcW w:w="800" w:type="dxa"/>
            <w:vAlign w:val="bottom"/>
            <w:shd w:val="clear" w:color="auto" w:fill="E3E4E5"/>
          </w:tcPr>
          <w:p>
            <w:pPr>
              <w:spacing w:after="0"/>
              <w:rPr>
                <w:sz w:val="23"/>
                <w:szCs w:val="23"/>
                <w:color w:val="auto"/>
              </w:rPr>
            </w:pPr>
          </w:p>
        </w:tc>
        <w:tc>
          <w:tcPr>
            <w:tcW w:w="13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13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2030</w:t>
            </w:r>
          </w:p>
        </w:tc>
        <w:tc>
          <w:tcPr>
            <w:tcW w:w="60" w:type="dxa"/>
            <w:vAlign w:val="bottom"/>
            <w:shd w:val="clear" w:color="auto" w:fill="E3E4E5"/>
          </w:tcPr>
          <w:p>
            <w:pPr>
              <w:spacing w:after="0"/>
              <w:rPr>
                <w:sz w:val="23"/>
                <w:szCs w:val="23"/>
                <w:color w:val="auto"/>
              </w:rPr>
            </w:pPr>
          </w:p>
        </w:tc>
        <w:tc>
          <w:tcPr>
            <w:tcW w:w="940" w:type="dxa"/>
            <w:vAlign w:val="bottom"/>
            <w:shd w:val="clear" w:color="auto" w:fill="E3E4E5"/>
          </w:tcPr>
          <w:p>
            <w:pPr>
              <w:spacing w:after="0"/>
              <w:rPr>
                <w:sz w:val="23"/>
                <w:szCs w:val="23"/>
                <w:color w:val="auto"/>
              </w:rPr>
            </w:pPr>
          </w:p>
        </w:tc>
        <w:tc>
          <w:tcPr>
            <w:tcW w:w="13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60" w:type="dxa"/>
            <w:vAlign w:val="bottom"/>
            <w:shd w:val="clear" w:color="auto" w:fill="E3E4E5"/>
          </w:tcPr>
          <w:p>
            <w:pPr>
              <w:spacing w:after="0"/>
              <w:rPr>
                <w:sz w:val="23"/>
                <w:szCs w:val="23"/>
                <w:color w:val="auto"/>
              </w:rPr>
            </w:pPr>
          </w:p>
        </w:tc>
        <w:tc>
          <w:tcPr>
            <w:tcW w:w="12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September 15</w:t>
            </w:r>
          </w:p>
        </w:tc>
        <w:tc>
          <w:tcPr>
            <w:tcW w:w="13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2030</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5.350%</w:t>
            </w:r>
          </w:p>
        </w:tc>
        <w:tc>
          <w:tcPr>
            <w:tcW w:w="94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231F20"/>
              </w:rPr>
              <w:t>Notes (3)</w:t>
            </w:r>
          </w:p>
        </w:tc>
        <w:tc>
          <w:tcPr>
            <w:tcW w:w="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725.0</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March 14,</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March 15,</w:t>
            </w: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231F20"/>
              </w:rPr>
              <w:t>5.350%</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September 15,</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March 15 and</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December 15,</w:t>
            </w: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2035</w:t>
            </w: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2034</w:t>
            </w:r>
          </w:p>
        </w:tc>
        <w:tc>
          <w:tcPr>
            <w:tcW w:w="0" w:type="dxa"/>
            <w:vAlign w:val="bottom"/>
          </w:tcPr>
          <w:p>
            <w:pPr>
              <w:spacing w:after="0"/>
              <w:rPr>
                <w:sz w:val="1"/>
                <w:szCs w:val="1"/>
                <w:color w:val="auto"/>
              </w:rPr>
            </w:pPr>
          </w:p>
        </w:tc>
      </w:tr>
      <w:tr>
        <w:trPr>
          <w:trHeight w:val="217"/>
        </w:trPr>
        <w:tc>
          <w:tcPr>
            <w:tcW w:w="68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3.625%</w:t>
            </w:r>
          </w:p>
        </w:tc>
        <w:tc>
          <w:tcPr>
            <w:tcW w:w="940" w:type="dxa"/>
            <w:vAlign w:val="bottom"/>
            <w:shd w:val="clear" w:color="auto" w:fill="E3E4E5"/>
          </w:tcPr>
          <w:p>
            <w:pPr>
              <w:ind w:left="20"/>
              <w:spacing w:after="0" w:line="217" w:lineRule="exact"/>
              <w:rPr>
                <w:sz w:val="20"/>
                <w:szCs w:val="20"/>
                <w:color w:val="auto"/>
              </w:rPr>
            </w:pPr>
            <w:r>
              <w:rPr>
                <w:rFonts w:ascii="Times New Roman" w:cs="Times New Roman" w:eastAsia="Times New Roman" w:hAnsi="Times New Roman"/>
                <w:sz w:val="20"/>
                <w:szCs w:val="20"/>
                <w:color w:val="231F20"/>
              </w:rPr>
              <w:t>Notes (4)</w:t>
            </w:r>
          </w:p>
        </w:tc>
        <w:tc>
          <w:tcPr>
            <w:tcW w:w="200" w:type="dxa"/>
            <w:vAlign w:val="bottom"/>
            <w:gridSpan w:val="2"/>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567.4</w:t>
            </w:r>
          </w:p>
        </w:tc>
        <w:tc>
          <w:tcPr>
            <w:tcW w:w="60" w:type="dxa"/>
            <w:vAlign w:val="bottom"/>
            <w:shd w:val="clear" w:color="auto" w:fill="E3E4E5"/>
          </w:tcPr>
          <w:p>
            <w:pPr>
              <w:spacing w:after="0"/>
              <w:rPr>
                <w:sz w:val="18"/>
                <w:szCs w:val="18"/>
                <w:color w:val="auto"/>
              </w:rPr>
            </w:pPr>
          </w:p>
        </w:tc>
        <w:tc>
          <w:tcPr>
            <w:tcW w:w="126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May 30, 2025</w:t>
            </w:r>
          </w:p>
        </w:tc>
        <w:tc>
          <w:tcPr>
            <w:tcW w:w="60" w:type="dxa"/>
            <w:vAlign w:val="bottom"/>
            <w:shd w:val="clear" w:color="auto" w:fill="E3E4E5"/>
          </w:tcPr>
          <w:p>
            <w:pPr>
              <w:spacing w:after="0"/>
              <w:rPr>
                <w:sz w:val="18"/>
                <w:szCs w:val="18"/>
                <w:color w:val="auto"/>
              </w:rPr>
            </w:pPr>
          </w:p>
        </w:tc>
        <w:tc>
          <w:tcPr>
            <w:tcW w:w="126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May 30, 2032</w:t>
            </w:r>
          </w:p>
        </w:tc>
        <w:tc>
          <w:tcPr>
            <w:tcW w:w="60" w:type="dxa"/>
            <w:vAlign w:val="bottom"/>
            <w:shd w:val="clear" w:color="auto" w:fill="E3E4E5"/>
          </w:tcPr>
          <w:p>
            <w:pPr>
              <w:spacing w:after="0"/>
              <w:rPr>
                <w:sz w:val="18"/>
                <w:szCs w:val="18"/>
                <w:color w:val="auto"/>
              </w:rPr>
            </w:pPr>
          </w:p>
        </w:tc>
        <w:tc>
          <w:tcPr>
            <w:tcW w:w="94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3.625%</w:t>
            </w:r>
          </w:p>
        </w:tc>
        <w:tc>
          <w:tcPr>
            <w:tcW w:w="60" w:type="dxa"/>
            <w:vAlign w:val="bottom"/>
            <w:shd w:val="clear" w:color="auto" w:fill="E3E4E5"/>
          </w:tcPr>
          <w:p>
            <w:pPr>
              <w:spacing w:after="0"/>
              <w:rPr>
                <w:sz w:val="18"/>
                <w:szCs w:val="18"/>
                <w:color w:val="auto"/>
              </w:rPr>
            </w:pPr>
          </w:p>
        </w:tc>
        <w:tc>
          <w:tcPr>
            <w:tcW w:w="126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May 30, 2026</w:t>
            </w:r>
          </w:p>
        </w:tc>
        <w:tc>
          <w:tcPr>
            <w:tcW w:w="60" w:type="dxa"/>
            <w:vAlign w:val="bottom"/>
            <w:shd w:val="clear" w:color="auto" w:fill="E3E4E5"/>
          </w:tcPr>
          <w:p>
            <w:pPr>
              <w:spacing w:after="0"/>
              <w:rPr>
                <w:sz w:val="18"/>
                <w:szCs w:val="18"/>
                <w:color w:val="auto"/>
              </w:rPr>
            </w:pPr>
          </w:p>
        </w:tc>
        <w:tc>
          <w:tcPr>
            <w:tcW w:w="126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May 30</w:t>
            </w:r>
          </w:p>
        </w:tc>
        <w:tc>
          <w:tcPr>
            <w:tcW w:w="60" w:type="dxa"/>
            <w:vAlign w:val="bottom"/>
            <w:shd w:val="clear" w:color="auto" w:fill="E3E4E5"/>
          </w:tcPr>
          <w:p>
            <w:pPr>
              <w:spacing w:after="0"/>
              <w:rPr>
                <w:sz w:val="18"/>
                <w:szCs w:val="18"/>
                <w:color w:val="auto"/>
              </w:rPr>
            </w:pPr>
          </w:p>
        </w:tc>
        <w:tc>
          <w:tcPr>
            <w:tcW w:w="1260" w:type="dxa"/>
            <w:vAlign w:val="bottom"/>
            <w:shd w:val="clear" w:color="auto" w:fill="E3E4E5"/>
          </w:tcPr>
          <w:p>
            <w:pPr>
              <w:jc w:val="right"/>
              <w:spacing w:after="0" w:line="217" w:lineRule="exact"/>
              <w:rPr>
                <w:sz w:val="20"/>
                <w:szCs w:val="20"/>
                <w:color w:val="auto"/>
              </w:rPr>
            </w:pPr>
            <w:r>
              <w:rPr>
                <w:rFonts w:ascii="Times New Roman" w:cs="Times New Roman" w:eastAsia="Times New Roman" w:hAnsi="Times New Roman"/>
                <w:sz w:val="20"/>
                <w:szCs w:val="20"/>
                <w:color w:val="231F20"/>
              </w:rPr>
              <w:t>March 30,</w:t>
            </w:r>
          </w:p>
        </w:tc>
        <w:tc>
          <w:tcPr>
            <w:tcW w:w="0" w:type="dxa"/>
            <w:vAlign w:val="bottom"/>
          </w:tcPr>
          <w:p>
            <w:pPr>
              <w:spacing w:after="0"/>
              <w:rPr>
                <w:sz w:val="1"/>
                <w:szCs w:val="1"/>
                <w:color w:val="auto"/>
              </w:rPr>
            </w:pPr>
          </w:p>
        </w:tc>
      </w:tr>
      <w:tr>
        <w:trPr>
          <w:trHeight w:val="266"/>
        </w:trPr>
        <w:tc>
          <w:tcPr>
            <w:tcW w:w="680" w:type="dxa"/>
            <w:vAlign w:val="bottom"/>
            <w:shd w:val="clear" w:color="auto" w:fill="E3E4E5"/>
          </w:tcPr>
          <w:p>
            <w:pPr>
              <w:spacing w:after="0"/>
              <w:rPr>
                <w:sz w:val="23"/>
                <w:szCs w:val="23"/>
                <w:color w:val="auto"/>
              </w:rPr>
            </w:pPr>
          </w:p>
        </w:tc>
        <w:tc>
          <w:tcPr>
            <w:tcW w:w="94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40" w:type="dxa"/>
            <w:vAlign w:val="bottom"/>
            <w:shd w:val="clear" w:color="auto" w:fill="E3E4E5"/>
          </w:tcPr>
          <w:p>
            <w:pPr>
              <w:spacing w:after="0"/>
              <w:rPr>
                <w:sz w:val="23"/>
                <w:szCs w:val="23"/>
                <w:color w:val="auto"/>
              </w:rPr>
            </w:pPr>
          </w:p>
        </w:tc>
        <w:tc>
          <w:tcPr>
            <w:tcW w:w="80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26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26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94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26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260" w:type="dxa"/>
            <w:vAlign w:val="bottom"/>
            <w:shd w:val="clear" w:color="auto" w:fill="E3E4E5"/>
          </w:tcPr>
          <w:p>
            <w:pPr>
              <w:spacing w:after="0"/>
              <w:rPr>
                <w:sz w:val="23"/>
                <w:szCs w:val="23"/>
                <w:color w:val="auto"/>
              </w:rPr>
            </w:pPr>
          </w:p>
        </w:tc>
        <w:tc>
          <w:tcPr>
            <w:tcW w:w="13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4.700%</w:t>
            </w:r>
          </w:p>
        </w:tc>
        <w:tc>
          <w:tcPr>
            <w:tcW w:w="94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231F20"/>
              </w:rPr>
              <w:t>Notes</w:t>
            </w:r>
          </w:p>
        </w:tc>
        <w:tc>
          <w:tcPr>
            <w:tcW w:w="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850.0</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December 5,</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December 15,</w:t>
            </w:r>
          </w:p>
        </w:tc>
        <w:tc>
          <w:tcPr>
            <w:tcW w:w="10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231F20"/>
              </w:rPr>
              <w:t>4.700%</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June 15, 2026</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June 15 and</w:t>
            </w:r>
          </w:p>
        </w:tc>
        <w:tc>
          <w:tcPr>
            <w:tcW w:w="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31F20"/>
              </w:rPr>
              <w:t>October 15,</w:t>
            </w:r>
          </w:p>
        </w:tc>
        <w:tc>
          <w:tcPr>
            <w:tcW w:w="0" w:type="dxa"/>
            <w:vAlign w:val="bottom"/>
          </w:tcPr>
          <w:p>
            <w:pPr>
              <w:spacing w:after="0"/>
              <w:rPr>
                <w:sz w:val="1"/>
                <w:szCs w:val="1"/>
                <w:color w:val="auto"/>
              </w:rPr>
            </w:pPr>
          </w:p>
        </w:tc>
      </w:tr>
      <w:tr>
        <w:trPr>
          <w:trHeight w:val="260"/>
        </w:trPr>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December 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-1227455</wp:posOffset>
            </wp:positionV>
            <wp:extent cx="65214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6521450" cy="25400"/>
                    </a:xfrm>
                    <a:prstGeom prst="rect">
                      <a:avLst/>
                    </a:prstGeom>
                    <a:noFill/>
                  </pic:spPr>
                </pic:pic>
              </a:graphicData>
            </a:graphic>
          </wp:anchor>
        </w:drawing>
      </w:r>
    </w:p>
    <w:p>
      <w:pPr>
        <w:spacing w:after="0" w:line="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right="80" w:hanging="370"/>
        <w:spacing w:after="0" w:line="250" w:lineRule="auto"/>
        <w:tabs>
          <w:tab w:leader="none" w:pos="37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Accrued and unpaid interest on U.S. Dollar (“USD”) denominated notes is payable in USD semi-annually in arrears and will be computed from the issue date on the basis of a 360-day year comprised of twelve 30-day months. 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spacing w:after="0" w:line="1" w:lineRule="exact"/>
        <w:rPr>
          <w:rFonts w:ascii="Times New Roman" w:cs="Times New Roman" w:eastAsia="Times New Roman" w:hAnsi="Times New Roman"/>
          <w:sz w:val="16"/>
          <w:szCs w:val="16"/>
          <w:color w:val="231F20"/>
        </w:rPr>
      </w:pPr>
    </w:p>
    <w:p>
      <w:pPr>
        <w:ind w:left="370" w:right="140" w:hanging="370"/>
        <w:spacing w:after="0" w:line="250" w:lineRule="auto"/>
        <w:tabs>
          <w:tab w:leader="none" w:pos="37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redeem the Notes at any time, in whole or in part, at a redemption price equal to 100% of the principal amount of the Notes plus a make-whole premium, together with accrued interest to the redemption date. If we redeem the Notes on or after the par call date, we will not be required to pay a make-whole premium.</w:t>
      </w:r>
    </w:p>
    <w:p>
      <w:pPr>
        <w:spacing w:after="0" w:line="1" w:lineRule="exact"/>
        <w:rPr>
          <w:rFonts w:ascii="Times New Roman" w:cs="Times New Roman" w:eastAsia="Times New Roman" w:hAnsi="Times New Roman"/>
          <w:sz w:val="16"/>
          <w:szCs w:val="16"/>
          <w:color w:val="231F20"/>
        </w:rPr>
      </w:pPr>
    </w:p>
    <w:p>
      <w:pPr>
        <w:ind w:left="370" w:right="240" w:hanging="370"/>
        <w:spacing w:after="0" w:line="250" w:lineRule="auto"/>
        <w:tabs>
          <w:tab w:leader="none" w:pos="37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Initial 4.900% Notes and the Initial 5.350% Notes were issued on March 14, 2025. The Reopened 4.900% Notes and the Reopened 5.350% Notes were issued on September 16, 2025. The first interest payments made on September 15, 2025 related solely to the Initial 4.900% Notes and the Initial 5.350% Notes. The first interest payments on the Reopened 4.900% Notes and the Reopened 5.350% Notes are due on March 15, 2026.</w:t>
      </w:r>
    </w:p>
    <w:p>
      <w:pPr>
        <w:spacing w:after="0" w:line="1"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3.625% Notes are denominated in EUR; dollar amounts represent the aggregate principal amount at the issuance date.</w:t>
      </w:r>
    </w:p>
    <w:p>
      <w:pPr>
        <w:sectPr>
          <w:pgSz w:w="11880" w:h="15480" w:orient="portrait"/>
          <w:cols w:equalWidth="0" w:num="1">
            <w:col w:w="10230"/>
          </w:cols>
          <w:pgMar w:left="810" w:top="38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230"/>
          </w:cols>
          <w:pgMar w:left="810" w:top="389" w:right="840" w:bottom="0" w:gutter="0" w:footer="0" w:header="0"/>
          <w:type w:val="continuous"/>
        </w:sectPr>
      </w:pPr>
    </w:p>
    <w:bookmarkStart w:id="62" w:name="page63"/>
    <w:bookmarkEnd w:id="62"/>
    <w:p>
      <w:pPr>
        <w:ind w:left="10" w:right="40"/>
        <w:spacing w:after="0" w:line="258" w:lineRule="auto"/>
        <w:rPr>
          <w:sz w:val="20"/>
          <w:szCs w:val="20"/>
          <w:color w:val="auto"/>
        </w:rPr>
      </w:pPr>
      <w:r>
        <w:rPr>
          <w:rFonts w:ascii="Times New Roman" w:cs="Times New Roman" w:eastAsia="Times New Roman" w:hAnsi="Times New Roman"/>
          <w:sz w:val="20"/>
          <w:szCs w:val="20"/>
          <w:color w:val="231F20"/>
        </w:rPr>
        <w:t>If we undergo a change of control and corresponding ratings decline, each as defined in the applicable supplemental indenture for the Notes, we may be required to repurchase all of the Notes at a purchase price equal to 101% of the aggregate principal amount of the Notes repurchased, plus accrued and unpaid interest (including additional interest, if any), up to but not including the repurchase date. The Notes rank equally in right of payment with all of our other senior unsecured debt obligations and are structurally subordinated to all existing and future indebtedness and other obligations of our subsidiaries.</w:t>
      </w:r>
    </w:p>
    <w:p>
      <w:pPr>
        <w:spacing w:after="0" w:line="124"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231F20"/>
        </w:rPr>
        <w:t>Each applicable supplemental indenture contains certain covenants that restrict our ability to merge, consolidate or sell assets and our (together with our subsidiaries’) ability to incur liens. These covenants are subject to a number of exceptions, including that we and our subsidiaries may incur certain liens on assets, mortgages or other liens securing indebtedness if the aggregate amount of indebtedness secured by such liens does not exceed 3.5x Adjusted EBITDA, as defined in the applicable supplemental indenture.</w:t>
      </w:r>
    </w:p>
    <w:p>
      <w:pPr>
        <w:spacing w:after="0" w:line="1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231F20"/>
        </w:rPr>
        <w:t>Bank Facilities</w:t>
      </w:r>
    </w:p>
    <w:p>
      <w:pPr>
        <w:spacing w:after="0" w:line="170" w:lineRule="exact"/>
        <w:rPr>
          <w:sz w:val="20"/>
          <w:szCs w:val="20"/>
          <w:color w:val="auto"/>
        </w:rPr>
      </w:pPr>
    </w:p>
    <w:p>
      <w:pPr>
        <w:ind w:left="10" w:right="80"/>
        <w:spacing w:after="0" w:line="268" w:lineRule="auto"/>
        <w:rPr>
          <w:sz w:val="20"/>
          <w:szCs w:val="20"/>
          <w:color w:val="auto"/>
        </w:rPr>
      </w:pPr>
      <w:r>
        <w:rPr>
          <w:rFonts w:ascii="Times New Roman" w:cs="Times New Roman" w:eastAsia="Times New Roman" w:hAnsi="Times New Roman"/>
          <w:sz w:val="20"/>
          <w:szCs w:val="20"/>
          <w:i w:val="1"/>
          <w:iCs w:val="1"/>
          <w:color w:val="231F20"/>
        </w:rPr>
        <w:t>Amendments to Bank Facilities—</w:t>
      </w:r>
      <w:r>
        <w:rPr>
          <w:rFonts w:ascii="Times New Roman" w:cs="Times New Roman" w:eastAsia="Times New Roman" w:hAnsi="Times New Roman"/>
          <w:sz w:val="20"/>
          <w:szCs w:val="20"/>
          <w:color w:val="231F20"/>
        </w:rPr>
        <w:t>On January 28, 2025, we amended our (i) 2021 Multicurrency Credit Facility, (ii) 2021 Credit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Facility and (iii) $1.0 billion unsecured term loan, as amended and restated in December 2021, as further amended (the “2021 Term Loan”).</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These amendments, among other things,</w:t>
      </w:r>
    </w:p>
    <w:p>
      <w:pPr>
        <w:spacing w:after="0" w:line="170" w:lineRule="exact"/>
        <w:rPr>
          <w:sz w:val="20"/>
          <w:szCs w:val="20"/>
          <w:color w:val="auto"/>
        </w:rPr>
      </w:pPr>
    </w:p>
    <w:p>
      <w:pPr>
        <w:ind w:left="730" w:right="260" w:hanging="370"/>
        <w:spacing w:after="0" w:line="281" w:lineRule="auto"/>
        <w:tabs>
          <w:tab w:leader="none" w:pos="73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extend the maturity dates of the 2021 Multicurrency Credit Facility and the 2021 Credit Facility to January 28, 2028 and January 28, 2030, respectively;</w:t>
      </w:r>
    </w:p>
    <w:p>
      <w:pPr>
        <w:spacing w:after="0" w:line="101" w:lineRule="exact"/>
        <w:rPr>
          <w:rFonts w:ascii="Times New Roman" w:cs="Times New Roman" w:eastAsia="Times New Roman" w:hAnsi="Times New Roman"/>
          <w:sz w:val="20"/>
          <w:szCs w:val="20"/>
          <w:color w:val="231F20"/>
        </w:rPr>
      </w:pPr>
    </w:p>
    <w:p>
      <w:pPr>
        <w:ind w:left="730" w:hanging="370"/>
        <w:spacing w:after="0"/>
        <w:tabs>
          <w:tab w:leader="none" w:pos="73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extend the maturity date of the 2021 Term Loan to January 28, 2028; and</w:t>
      </w:r>
    </w:p>
    <w:p>
      <w:pPr>
        <w:spacing w:after="0" w:line="170" w:lineRule="exact"/>
        <w:rPr>
          <w:rFonts w:ascii="Times New Roman" w:cs="Times New Roman" w:eastAsia="Times New Roman" w:hAnsi="Times New Roman"/>
          <w:sz w:val="20"/>
          <w:szCs w:val="20"/>
          <w:color w:val="231F20"/>
        </w:rPr>
      </w:pPr>
    </w:p>
    <w:p>
      <w:pPr>
        <w:ind w:left="730" w:hanging="370"/>
        <w:spacing w:after="0"/>
        <w:tabs>
          <w:tab w:leader="none" w:pos="73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update the Applicable Margins (as defined in the loan agreements).</w:t>
      </w:r>
    </w:p>
    <w:p>
      <w:pPr>
        <w:spacing w:after="0" w:line="166"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i w:val="1"/>
          <w:iCs w:val="1"/>
          <w:color w:val="231F20"/>
        </w:rPr>
        <w:t>2021 Multicurrency Credit Facility—</w:t>
      </w:r>
      <w:r>
        <w:rPr>
          <w:rFonts w:ascii="Times New Roman" w:cs="Times New Roman" w:eastAsia="Times New Roman" w:hAnsi="Times New Roman"/>
          <w:sz w:val="20"/>
          <w:szCs w:val="20"/>
          <w:color w:val="231F20"/>
        </w:rPr>
        <w:t>As of December 31, 2025, we had the ability to borrow up to a total of $6.0 billion under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2021 Multicurrency Credit Facility, which includes a $3.5 billion sublimit for multicurrency borrowings, a $200.0 million sublimit for letters of credit and a $50.0 million sublimit for swingline loans. During the year ended December 31, 2025, we borrowed an aggregate of $2.4 billion, including 492.0 million EUR ($529.1 million as of the borrowing date) and repaid an aggregate of $2.0 billion, including 492.0 million EUR ($549.9 million as of the repayment date), of revolving indebtedness under the 2021 Multicurrency Credit Facility. We used the borrowings to repay outstanding indebtedness, including the 2.950% Notes, the 1.375% Notes and the Series 2015-2 Notes, and for general corporate purposes. As of December 31, 2025, there are no EUR borrowings outstanding under the 2021 Multicurrency Credit Facility.</w:t>
      </w:r>
    </w:p>
    <w:p>
      <w:pPr>
        <w:spacing w:after="0" w:line="125" w:lineRule="exact"/>
        <w:rPr>
          <w:sz w:val="20"/>
          <w:szCs w:val="20"/>
          <w:color w:val="auto"/>
        </w:rPr>
      </w:pPr>
    </w:p>
    <w:p>
      <w:pPr>
        <w:jc w:val="both"/>
        <w:ind w:left="10" w:right="60"/>
        <w:spacing w:after="0" w:line="272" w:lineRule="auto"/>
        <w:rPr>
          <w:sz w:val="20"/>
          <w:szCs w:val="20"/>
          <w:color w:val="auto"/>
        </w:rPr>
      </w:pPr>
      <w:r>
        <w:rPr>
          <w:rFonts w:ascii="Times New Roman" w:cs="Times New Roman" w:eastAsia="Times New Roman" w:hAnsi="Times New Roman"/>
          <w:sz w:val="19"/>
          <w:szCs w:val="19"/>
          <w:i w:val="1"/>
          <w:iCs w:val="1"/>
          <w:color w:val="231F20"/>
        </w:rPr>
        <w:t>2021 Credit Facility—</w:t>
      </w:r>
      <w:r>
        <w:rPr>
          <w:rFonts w:ascii="Times New Roman" w:cs="Times New Roman" w:eastAsia="Times New Roman" w:hAnsi="Times New Roman"/>
          <w:sz w:val="19"/>
          <w:szCs w:val="19"/>
          <w:color w:val="231F20"/>
        </w:rPr>
        <w:t>As of December 31, 2025, we had the ability to borrow up to a total of $4.0 billion under the 2021 Credit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Facility, which includes a $2.5 billion sublimit for multicurrency borrowings, $200.0 million sublimit for letters of credit and a $50.0 million sublimit for swingline loans. During the year ended December 31, 2025, we borrowed an aggregate of</w:t>
      </w:r>
    </w:p>
    <w:p>
      <w:pPr>
        <w:spacing w:after="0" w:line="1" w:lineRule="exact"/>
        <w:rPr>
          <w:sz w:val="20"/>
          <w:szCs w:val="20"/>
          <w:color w:val="auto"/>
        </w:rPr>
      </w:pPr>
    </w:p>
    <w:p>
      <w:pPr>
        <w:ind w:left="10" w:right="340"/>
        <w:spacing w:after="0" w:line="255" w:lineRule="auto"/>
        <w:rPr>
          <w:sz w:val="20"/>
          <w:szCs w:val="20"/>
          <w:color w:val="auto"/>
        </w:rPr>
      </w:pPr>
      <w:r>
        <w:rPr>
          <w:rFonts w:ascii="Times New Roman" w:cs="Times New Roman" w:eastAsia="Times New Roman" w:hAnsi="Times New Roman"/>
          <w:sz w:val="20"/>
          <w:szCs w:val="20"/>
          <w:color w:val="231F20"/>
        </w:rPr>
        <w:t>$3.7 billion and repaid an aggregate of $3.7 billion of revolving indebtedness under our 2021 Credit Facility. We used the borrowings to repay outstanding indebtedness, including the 4.000% Notes and the 1.300% Notes, and for general corporate purposes.</w:t>
      </w:r>
    </w:p>
    <w:p>
      <w:pPr>
        <w:spacing w:after="0" w:line="1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As of December 31, 2025, the key terms under the 2021 Multicurrency Credit Facility, the 2021 Credit Facility and the 2021</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231F20"/>
        </w:rPr>
        <w:t>Term Loan were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SOFR or EURIBOR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Base rate borrowing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Current margin over</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208"/>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Principal</w:t>
            </w: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SOFR or EURIBOR</w:t>
            </w:r>
          </w:p>
        </w:tc>
        <w:tc>
          <w:tcPr>
            <w:tcW w:w="0" w:type="dxa"/>
            <w:vAlign w:val="bottom"/>
          </w:tcPr>
          <w:p>
            <w:pPr>
              <w:spacing w:after="0"/>
              <w:rPr>
                <w:sz w:val="1"/>
                <w:szCs w:val="1"/>
                <w:color w:val="auto"/>
              </w:rPr>
            </w:pPr>
          </w:p>
        </w:tc>
      </w:tr>
      <w:tr>
        <w:trPr>
          <w:trHeight w:val="160"/>
        </w:trPr>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Bank Facility</w:t>
            </w:r>
          </w:p>
        </w:tc>
        <w:tc>
          <w:tcPr>
            <w:tcW w:w="360" w:type="dxa"/>
            <w:vAlign w:val="bottom"/>
          </w:tcPr>
          <w:p>
            <w:pPr>
              <w:spacing w:after="0"/>
              <w:rPr>
                <w:sz w:val="13"/>
                <w:szCs w:val="13"/>
                <w:color w:val="auto"/>
              </w:rPr>
            </w:pPr>
          </w:p>
        </w:tc>
        <w:tc>
          <w:tcPr>
            <w:tcW w:w="1140" w:type="dxa"/>
            <w:vAlign w:val="bottom"/>
            <w:gridSpan w:val="2"/>
          </w:tcPr>
          <w:p>
            <w:pPr>
              <w:jc w:val="center"/>
              <w:ind w:right="28"/>
              <w:spacing w:after="0" w:line="160" w:lineRule="exact"/>
              <w:rPr>
                <w:sz w:val="20"/>
                <w:szCs w:val="20"/>
                <w:color w:val="auto"/>
              </w:rPr>
            </w:pPr>
            <w:r>
              <w:rPr>
                <w:rFonts w:ascii="Times New Roman" w:cs="Times New Roman" w:eastAsia="Times New Roman" w:hAnsi="Times New Roman"/>
                <w:sz w:val="16"/>
                <w:szCs w:val="16"/>
                <w:b w:val="1"/>
                <w:bCs w:val="1"/>
                <w:color w:val="231F20"/>
              </w:rPr>
              <w:t>Balance ($ in</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36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borrowing interest</w:t>
            </w: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interest rate range</w:t>
            </w: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and the base rate,</w:t>
            </w:r>
          </w:p>
        </w:tc>
        <w:tc>
          <w:tcPr>
            <w:tcW w:w="0" w:type="dxa"/>
            <w:vAlign w:val="bottom"/>
          </w:tcPr>
          <w:p>
            <w:pPr>
              <w:spacing w:after="0"/>
              <w:rPr>
                <w:sz w:val="1"/>
                <w:szCs w:val="1"/>
                <w:color w:val="auto"/>
              </w:rPr>
            </w:pPr>
          </w:p>
        </w:tc>
      </w:tr>
      <w:tr>
        <w:trPr>
          <w:trHeight w:val="214"/>
        </w:trPr>
        <w:tc>
          <w:tcPr>
            <w:tcW w:w="1920" w:type="dxa"/>
            <w:vAlign w:val="bottom"/>
            <w:tcBorders>
              <w:bottom w:val="single" w:sz="8" w:color="E3E4E5"/>
            </w:tcBorders>
            <w:gridSpan w:val="2"/>
            <w:vMerge w:val="continue"/>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center"/>
              <w:ind w:right="208"/>
              <w:spacing w:after="0"/>
              <w:rPr>
                <w:sz w:val="20"/>
                <w:szCs w:val="20"/>
                <w:color w:val="auto"/>
              </w:rPr>
            </w:pPr>
            <w:r>
              <w:rPr>
                <w:rFonts w:ascii="Times New Roman" w:cs="Times New Roman" w:eastAsia="Times New Roman" w:hAnsi="Times New Roman"/>
                <w:sz w:val="16"/>
                <w:szCs w:val="16"/>
                <w:b w:val="1"/>
                <w:bCs w:val="1"/>
                <w:color w:val="231F20"/>
                <w:w w:val="97"/>
              </w:rPr>
              <w:t>millions)</w:t>
            </w:r>
          </w:p>
        </w:tc>
        <w:tc>
          <w:tcPr>
            <w:tcW w:w="1640" w:type="dxa"/>
            <w:vAlign w:val="bottom"/>
            <w:tcBorders>
              <w:bottom w:val="single" w:sz="8" w:color="231F20"/>
            </w:tcBorders>
            <w:vMerge w:val="continue"/>
          </w:tcPr>
          <w:p>
            <w:pPr>
              <w:spacing w:after="0"/>
              <w:rPr>
                <w:sz w:val="18"/>
                <w:szCs w:val="18"/>
                <w:color w:val="auto"/>
              </w:rPr>
            </w:pPr>
          </w:p>
        </w:tc>
        <w:tc>
          <w:tcPr>
            <w:tcW w:w="360" w:type="dxa"/>
            <w:vAlign w:val="bottom"/>
            <w:tcBorders>
              <w:bottom w:val="single" w:sz="8" w:color="231F20"/>
            </w:tcBorders>
          </w:tcPr>
          <w:p>
            <w:pPr>
              <w:spacing w:after="0"/>
              <w:rPr>
                <w:sz w:val="18"/>
                <w:szCs w:val="18"/>
                <w:color w:val="auto"/>
              </w:rPr>
            </w:pPr>
          </w:p>
        </w:tc>
        <w:tc>
          <w:tcPr>
            <w:tcW w:w="15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rate range (1)</w:t>
            </w:r>
          </w:p>
        </w:tc>
        <w:tc>
          <w:tcPr>
            <w:tcW w:w="15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(1)</w:t>
            </w:r>
          </w:p>
        </w:tc>
        <w:tc>
          <w:tcPr>
            <w:tcW w:w="1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respectively</w:t>
            </w:r>
          </w:p>
        </w:tc>
        <w:tc>
          <w:tcPr>
            <w:tcW w:w="0" w:type="dxa"/>
            <w:vAlign w:val="bottom"/>
          </w:tcPr>
          <w:p>
            <w:pPr>
              <w:spacing w:after="0"/>
              <w:rPr>
                <w:sz w:val="1"/>
                <w:szCs w:val="1"/>
                <w:color w:val="auto"/>
              </w:rPr>
            </w:pPr>
          </w:p>
        </w:tc>
      </w:tr>
      <w:tr>
        <w:trPr>
          <w:trHeight w:val="182"/>
        </w:trPr>
        <w:tc>
          <w:tcPr>
            <w:tcW w:w="460" w:type="dxa"/>
            <w:vAlign w:val="bottom"/>
            <w:shd w:val="clear" w:color="auto" w:fill="E3E4E5"/>
          </w:tcPr>
          <w:p>
            <w:pPr>
              <w:ind w:left="40"/>
              <w:spacing w:after="0" w:line="182" w:lineRule="exact"/>
              <w:rPr>
                <w:sz w:val="20"/>
                <w:szCs w:val="20"/>
                <w:color w:val="auto"/>
              </w:rPr>
            </w:pPr>
            <w:r>
              <w:rPr>
                <w:rFonts w:ascii="Times New Roman" w:cs="Times New Roman" w:eastAsia="Times New Roman" w:hAnsi="Times New Roman"/>
                <w:sz w:val="20"/>
                <w:szCs w:val="20"/>
                <w:color w:val="231F20"/>
                <w:w w:val="99"/>
              </w:rPr>
              <w:t>2021</w:t>
            </w:r>
          </w:p>
        </w:tc>
        <w:tc>
          <w:tcPr>
            <w:tcW w:w="1460" w:type="dxa"/>
            <w:vAlign w:val="bottom"/>
            <w:shd w:val="clear" w:color="auto" w:fill="E3E4E5"/>
          </w:tcPr>
          <w:p>
            <w:pPr>
              <w:ind w:left="40"/>
              <w:spacing w:after="0" w:line="182" w:lineRule="exact"/>
              <w:rPr>
                <w:sz w:val="20"/>
                <w:szCs w:val="20"/>
                <w:color w:val="auto"/>
              </w:rPr>
            </w:pPr>
            <w:r>
              <w:rPr>
                <w:rFonts w:ascii="Times New Roman" w:cs="Times New Roman" w:eastAsia="Times New Roman" w:hAnsi="Times New Roman"/>
                <w:sz w:val="20"/>
                <w:szCs w:val="20"/>
                <w:color w:val="231F20"/>
              </w:rPr>
              <w:t>Multicurrency</w:t>
            </w:r>
          </w:p>
        </w:tc>
        <w:tc>
          <w:tcPr>
            <w:tcW w:w="3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vMerge w:val="restart"/>
            <w:shd w:val="clear" w:color="auto" w:fill="E3E4E5"/>
          </w:tcPr>
          <w:p>
            <w:pPr>
              <w:jc w:val="right"/>
              <w:ind w:right="128"/>
              <w:spacing w:after="0"/>
              <w:rPr>
                <w:sz w:val="20"/>
                <w:szCs w:val="20"/>
                <w:color w:val="auto"/>
              </w:rPr>
            </w:pPr>
            <w:r>
              <w:rPr>
                <w:rFonts w:ascii="Times New Roman" w:cs="Times New Roman" w:eastAsia="Times New Roman" w:hAnsi="Times New Roman"/>
                <w:sz w:val="20"/>
                <w:szCs w:val="20"/>
                <w:color w:val="231F20"/>
              </w:rPr>
              <w:t>380.0</w:t>
            </w:r>
          </w:p>
        </w:tc>
        <w:tc>
          <w:tcPr>
            <w:tcW w:w="1640" w:type="dxa"/>
            <w:vAlign w:val="bottom"/>
            <w:vMerge w:val="restart"/>
            <w:shd w:val="clear" w:color="auto" w:fill="E3E4E5"/>
          </w:tcPr>
          <w:p>
            <w:pPr>
              <w:ind w:left="200"/>
              <w:spacing w:after="0"/>
              <w:rPr>
                <w:sz w:val="20"/>
                <w:szCs w:val="20"/>
                <w:color w:val="auto"/>
              </w:rPr>
            </w:pPr>
            <w:r>
              <w:rPr>
                <w:rFonts w:ascii="Times New Roman" w:cs="Times New Roman" w:eastAsia="Times New Roman" w:hAnsi="Times New Roman"/>
                <w:sz w:val="20"/>
                <w:szCs w:val="20"/>
                <w:color w:val="231F20"/>
              </w:rPr>
              <w:t>January 28, 2028</w:t>
            </w:r>
          </w:p>
        </w:tc>
        <w:tc>
          <w:tcPr>
            <w:tcW w:w="3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54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0.750% - 1.375%</w:t>
            </w:r>
          </w:p>
        </w:tc>
        <w:tc>
          <w:tcPr>
            <w:tcW w:w="154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0.000% - 0.375%</w:t>
            </w:r>
          </w:p>
        </w:tc>
        <w:tc>
          <w:tcPr>
            <w:tcW w:w="176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0.875% and 0.000%</w:t>
            </w:r>
          </w:p>
        </w:tc>
        <w:tc>
          <w:tcPr>
            <w:tcW w:w="0" w:type="dxa"/>
            <w:vAlign w:val="bottom"/>
          </w:tcPr>
          <w:p>
            <w:pPr>
              <w:spacing w:after="0"/>
              <w:rPr>
                <w:sz w:val="1"/>
                <w:szCs w:val="1"/>
                <w:color w:val="auto"/>
              </w:rPr>
            </w:pPr>
          </w:p>
        </w:tc>
      </w:tr>
      <w:tr>
        <w:trPr>
          <w:trHeight w:val="273"/>
        </w:trPr>
        <w:tc>
          <w:tcPr>
            <w:tcW w:w="1920" w:type="dxa"/>
            <w:vAlign w:val="bottom"/>
            <w:gridSpan w:val="2"/>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Credit Facility</w:t>
            </w:r>
            <w:r>
              <w:rPr>
                <w:rFonts w:ascii="Times New Roman" w:cs="Times New Roman" w:eastAsia="Times New Roman" w:hAnsi="Times New Roman"/>
                <w:sz w:val="20"/>
                <w:szCs w:val="20"/>
                <w:color w:val="BABCBE"/>
              </w:rPr>
              <w:t>.............</w:t>
            </w:r>
          </w:p>
        </w:tc>
        <w:tc>
          <w:tcPr>
            <w:tcW w:w="360" w:type="dxa"/>
            <w:vAlign w:val="bottom"/>
            <w:vMerge w:val="continue"/>
            <w:shd w:val="clear" w:color="auto" w:fill="E3E4E5"/>
          </w:tcPr>
          <w:p>
            <w:pPr>
              <w:spacing w:after="0"/>
              <w:rPr>
                <w:sz w:val="23"/>
                <w:szCs w:val="23"/>
                <w:color w:val="auto"/>
              </w:rPr>
            </w:pPr>
          </w:p>
        </w:tc>
        <w:tc>
          <w:tcPr>
            <w:tcW w:w="180" w:type="dxa"/>
            <w:vAlign w:val="bottom"/>
            <w:vMerge w:val="continue"/>
            <w:shd w:val="clear" w:color="auto" w:fill="E3E4E5"/>
          </w:tcPr>
          <w:p>
            <w:pPr>
              <w:spacing w:after="0"/>
              <w:rPr>
                <w:sz w:val="23"/>
                <w:szCs w:val="23"/>
                <w:color w:val="auto"/>
              </w:rPr>
            </w:pPr>
          </w:p>
        </w:tc>
        <w:tc>
          <w:tcPr>
            <w:tcW w:w="960" w:type="dxa"/>
            <w:vAlign w:val="bottom"/>
            <w:vMerge w:val="continue"/>
            <w:shd w:val="clear" w:color="auto" w:fill="E3E4E5"/>
          </w:tcPr>
          <w:p>
            <w:pPr>
              <w:spacing w:after="0"/>
              <w:rPr>
                <w:sz w:val="23"/>
                <w:szCs w:val="23"/>
                <w:color w:val="auto"/>
              </w:rPr>
            </w:pPr>
          </w:p>
        </w:tc>
        <w:tc>
          <w:tcPr>
            <w:tcW w:w="1640" w:type="dxa"/>
            <w:vAlign w:val="bottom"/>
            <w:vMerge w:val="continue"/>
            <w:shd w:val="clear" w:color="auto" w:fill="E3E4E5"/>
          </w:tcPr>
          <w:p>
            <w:pPr>
              <w:spacing w:after="0"/>
              <w:rPr>
                <w:sz w:val="23"/>
                <w:szCs w:val="23"/>
                <w:color w:val="auto"/>
              </w:rPr>
            </w:pPr>
          </w:p>
        </w:tc>
        <w:tc>
          <w:tcPr>
            <w:tcW w:w="360" w:type="dxa"/>
            <w:vAlign w:val="bottom"/>
            <w:vMerge w:val="continue"/>
            <w:shd w:val="clear" w:color="auto" w:fill="E3E4E5"/>
          </w:tcPr>
          <w:p>
            <w:pPr>
              <w:spacing w:after="0"/>
              <w:rPr>
                <w:sz w:val="23"/>
                <w:szCs w:val="23"/>
                <w:color w:val="auto"/>
              </w:rPr>
            </w:pPr>
          </w:p>
        </w:tc>
        <w:tc>
          <w:tcPr>
            <w:tcW w:w="1540" w:type="dxa"/>
            <w:vAlign w:val="bottom"/>
            <w:vMerge w:val="continue"/>
            <w:shd w:val="clear" w:color="auto" w:fill="E3E4E5"/>
          </w:tcPr>
          <w:p>
            <w:pPr>
              <w:spacing w:after="0"/>
              <w:rPr>
                <w:sz w:val="23"/>
                <w:szCs w:val="23"/>
                <w:color w:val="auto"/>
              </w:rPr>
            </w:pPr>
          </w:p>
        </w:tc>
        <w:tc>
          <w:tcPr>
            <w:tcW w:w="1540" w:type="dxa"/>
            <w:vAlign w:val="bottom"/>
            <w:vMerge w:val="continue"/>
            <w:shd w:val="clear" w:color="auto" w:fill="E3E4E5"/>
          </w:tcPr>
          <w:p>
            <w:pPr>
              <w:spacing w:after="0"/>
              <w:rPr>
                <w:sz w:val="23"/>
                <w:szCs w:val="23"/>
                <w:color w:val="auto"/>
              </w:rPr>
            </w:pPr>
          </w:p>
        </w:tc>
        <w:tc>
          <w:tcPr>
            <w:tcW w:w="176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2021</w:t>
            </w:r>
          </w:p>
        </w:tc>
        <w:tc>
          <w:tcPr>
            <w:tcW w:w="14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Credit Facility</w:t>
            </w:r>
            <w:r>
              <w:rPr>
                <w:rFonts w:ascii="Times New Roman" w:cs="Times New Roman" w:eastAsia="Times New Roman" w:hAnsi="Times New Roman"/>
                <w:sz w:val="20"/>
                <w:szCs w:val="20"/>
                <w:color w:val="BABCBE"/>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20"/>
                <w:szCs w:val="20"/>
                <w:color w:val="231F20"/>
              </w:rPr>
              <w:t>—</w:t>
            </w:r>
          </w:p>
        </w:tc>
        <w:tc>
          <w:tcPr>
            <w:tcW w:w="1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January 28, 2030</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0.750% - 1.375%</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0.000% - 0.375%</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0.875% and 0.000%</w:t>
            </w:r>
          </w:p>
        </w:tc>
        <w:tc>
          <w:tcPr>
            <w:tcW w:w="0" w:type="dxa"/>
            <w:vAlign w:val="bottom"/>
          </w:tcPr>
          <w:p>
            <w:pPr>
              <w:spacing w:after="0"/>
              <w:rPr>
                <w:sz w:val="1"/>
                <w:szCs w:val="1"/>
                <w:color w:val="auto"/>
              </w:rPr>
            </w:pPr>
          </w:p>
        </w:tc>
      </w:tr>
      <w:tr>
        <w:trPr>
          <w:trHeight w:val="306"/>
        </w:trPr>
        <w:tc>
          <w:tcPr>
            <w:tcW w:w="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2021</w:t>
            </w:r>
          </w:p>
        </w:tc>
        <w:tc>
          <w:tcPr>
            <w:tcW w:w="1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 xml:space="preserve">Term Loan </w:t>
            </w:r>
            <w:r>
              <w:rPr>
                <w:rFonts w:ascii="Times New Roman" w:cs="Times New Roman" w:eastAsia="Times New Roman" w:hAnsi="Times New Roman"/>
                <w:sz w:val="20"/>
                <w:szCs w:val="20"/>
                <w:color w:val="BABCBE"/>
              </w:rPr>
              <w:t>.........</w:t>
            </w:r>
          </w:p>
        </w:tc>
        <w:tc>
          <w:tcPr>
            <w:tcW w:w="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80" w:type="dxa"/>
            <w:vAlign w:val="bottom"/>
            <w:shd w:val="clear" w:color="auto" w:fill="E3E4E5"/>
          </w:tcPr>
          <w:p>
            <w:pPr>
              <w:spacing w:after="0"/>
              <w:rPr>
                <w:sz w:val="24"/>
                <w:szCs w:val="24"/>
                <w:color w:val="auto"/>
              </w:rPr>
            </w:pPr>
          </w:p>
        </w:tc>
        <w:tc>
          <w:tcPr>
            <w:tcW w:w="960" w:type="dxa"/>
            <w:vAlign w:val="bottom"/>
            <w:shd w:val="clear" w:color="auto" w:fill="E3E4E5"/>
          </w:tcPr>
          <w:p>
            <w:pPr>
              <w:jc w:val="right"/>
              <w:ind w:right="128"/>
              <w:spacing w:after="0"/>
              <w:rPr>
                <w:sz w:val="20"/>
                <w:szCs w:val="20"/>
                <w:color w:val="auto"/>
              </w:rPr>
            </w:pPr>
            <w:r>
              <w:rPr>
                <w:rFonts w:ascii="Times New Roman" w:cs="Times New Roman" w:eastAsia="Times New Roman" w:hAnsi="Times New Roman"/>
                <w:sz w:val="20"/>
                <w:szCs w:val="20"/>
                <w:color w:val="231F20"/>
              </w:rPr>
              <w:t>1,000.0</w:t>
            </w:r>
          </w:p>
        </w:tc>
        <w:tc>
          <w:tcPr>
            <w:tcW w:w="16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231F20"/>
              </w:rPr>
              <w:t>January 28, 2028</w:t>
            </w:r>
          </w:p>
        </w:tc>
        <w:tc>
          <w:tcPr>
            <w:tcW w:w="360" w:type="dxa"/>
            <w:vAlign w:val="bottom"/>
            <w:shd w:val="clear" w:color="auto" w:fill="E3E4E5"/>
          </w:tcPr>
          <w:p>
            <w:pPr>
              <w:spacing w:after="0"/>
              <w:rPr>
                <w:sz w:val="24"/>
                <w:szCs w:val="24"/>
                <w:color w:val="auto"/>
              </w:rPr>
            </w:pPr>
          </w:p>
        </w:tc>
        <w:tc>
          <w:tcPr>
            <w:tcW w:w="154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0.750% - 1.375%</w:t>
            </w:r>
          </w:p>
        </w:tc>
        <w:tc>
          <w:tcPr>
            <w:tcW w:w="154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0.000% - 0.375%</w:t>
            </w:r>
          </w:p>
        </w:tc>
        <w:tc>
          <w:tcPr>
            <w:tcW w:w="176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0.875% and 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-688340</wp:posOffset>
            </wp:positionV>
            <wp:extent cx="444500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4445000" cy="25400"/>
                    </a:xfrm>
                    <a:prstGeom prst="rect">
                      <a:avLst/>
                    </a:prstGeom>
                    <a:noFill/>
                  </pic:spPr>
                </pic:pic>
              </a:graphicData>
            </a:graphic>
          </wp:anchor>
        </w:drawing>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right="820" w:hanging="370"/>
        <w:spacing w:after="0" w:line="267" w:lineRule="auto"/>
        <w:tabs>
          <w:tab w:leader="none" w:pos="370" w:val="left"/>
        </w:tabs>
        <w:numPr>
          <w:ilvl w:val="0"/>
          <w:numId w:val="5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interest rate above: (a) Secured Overnight Financing Rate (“SOFR”) for SOFR based borrowings, (b) Euro Interbank Offer Rate (“EURIBOR”) for EURIBOR based borrowings and (c) the defined base rate for base rate borrowings, in each case based on our debt ratings.</w:t>
      </w:r>
    </w:p>
    <w:p>
      <w:pPr>
        <w:ind w:left="370" w:hanging="370"/>
        <w:spacing w:after="0"/>
        <w:tabs>
          <w:tab w:leader="none" w:pos="37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Currently borrowed at SOFR.</w:t>
      </w:r>
    </w:p>
    <w:p>
      <w:pPr>
        <w:spacing w:after="0" w:line="8"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Subject to two optional renewal periods.</w:t>
      </w:r>
    </w:p>
    <w:p>
      <w:pPr>
        <w:spacing w:after="0" w:line="140"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231F20"/>
        </w:rPr>
        <w:t>We must pay a quarterly commitment fee on the undrawn portion of each of the 2021 Multicurrency Credit Facility and the 2021 Credit Facility. The commitment fee for the 2021 Multicurrency Credit Facility and the 2021 Credit Facility ranges from 0.080% to 0.200% per annum, based upon our debt ratings, and is currently 0.100%.</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270"/>
          </w:cols>
          <w:pgMar w:left="810" w:top="393" w:right="800" w:bottom="0" w:gutter="0" w:footer="0" w:header="0"/>
          <w:type w:val="continuous"/>
        </w:sectPr>
      </w:pPr>
    </w:p>
    <w:bookmarkStart w:id="63" w:name="page64"/>
    <w:bookmarkEnd w:id="63"/>
    <w:p>
      <w:pPr>
        <w:ind w:right="80"/>
        <w:spacing w:after="0" w:line="260" w:lineRule="auto"/>
        <w:rPr>
          <w:sz w:val="20"/>
          <w:szCs w:val="20"/>
          <w:color w:val="auto"/>
        </w:rPr>
      </w:pPr>
      <w:r>
        <w:rPr>
          <w:rFonts w:ascii="Times New Roman" w:cs="Times New Roman" w:eastAsia="Times New Roman" w:hAnsi="Times New Roman"/>
          <w:sz w:val="20"/>
          <w:szCs w:val="20"/>
          <w:color w:val="231F20"/>
        </w:rPr>
        <w:t>The 2021 Multicurrency Credit Facility, the 2021 Credit Facility and the 2021 Term Loan and the associated loan agreements (the “Bank Loan Agreements”) do not require amortization of principal and may be paid prior to maturity in whole or in part at our option without penalty or premium. We have the option of choosing either a defined base rate, SOFR or EURIBOR as the applicable base rate for borrowings under these bank facilities.</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Each Bank Loan Agreement contains certain reporting, information, financial and operating covenants and other restrictions (including limitations on additional debt, guaranties, sales of assets and liens) with which we must comply. Failure to comply with the financial and operating covenants of the loan agreements could not only prevent us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spacing w:after="0" w:line="12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0"/>
          <w:szCs w:val="20"/>
          <w:i w:val="1"/>
          <w:iCs w:val="1"/>
          <w:color w:val="231F20"/>
        </w:rPr>
        <w:t xml:space="preserve">Other Subsidiary Debt— </w:t>
      </w:r>
      <w:r>
        <w:rPr>
          <w:rFonts w:ascii="Times New Roman" w:cs="Times New Roman" w:eastAsia="Times New Roman" w:hAnsi="Times New Roman"/>
          <w:sz w:val="20"/>
          <w:szCs w:val="20"/>
          <w:color w:val="231F20"/>
        </w:rPr>
        <w:t>Each of the agreements governing the other subsidiary debt contains contractual covenants and other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restrictions. Failure to comply with certain of the financial and operating covenants could constitute a default under the applicable debt agreement, which could result in, among other things, the amounts outstanding, including all accrued interest and unpaid fees, becoming immediately due and payable.</w:t>
      </w:r>
    </w:p>
    <w:p>
      <w:pPr>
        <w:spacing w:after="0" w:line="1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i w:val="1"/>
          <w:iCs w:val="1"/>
          <w:color w:val="231F20"/>
        </w:rPr>
        <w:t>Bangladesh Term Loan—</w:t>
      </w:r>
      <w:r>
        <w:rPr>
          <w:rFonts w:ascii="Times New Roman" w:cs="Times New Roman" w:eastAsia="Times New Roman" w:hAnsi="Times New Roman"/>
          <w:sz w:val="20"/>
          <w:szCs w:val="20"/>
          <w:color w:val="231F20"/>
        </w:rPr>
        <w:t>In March 2025, we entered into a 400.0 million BDT (approximately $3.3 million) term loan with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maturity date that is eight years from the date of the first draw thereunder (the “Bangladesh Term Loan”). On March 24, 2025, we borrowed 150.0 million BDT (approximately $1.2 million) under the Bangladesh Term Loan. The Bangladesh Term Loan bears interest at 13.50% per annum, subject to quarterly resets. Interest is payable quarterly. Any outstanding principal and accrued but unpaid interest will be due and payable in full at maturity. The Bangladesh Term Loan does not require amortization of principal and may be paid prior to maturity in whole or in part at our option without penalty or premium.</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i w:val="1"/>
          <w:iCs w:val="1"/>
          <w:color w:val="231F20"/>
        </w:rPr>
        <w:t>CoreSite DE1 Note—</w:t>
      </w:r>
      <w:r>
        <w:rPr>
          <w:rFonts w:ascii="Times New Roman" w:cs="Times New Roman" w:eastAsia="Times New Roman" w:hAnsi="Times New Roman"/>
          <w:sz w:val="20"/>
          <w:szCs w:val="20"/>
          <w:color w:val="231F20"/>
        </w:rPr>
        <w:t>On April 1, 2025, in connection with our acquisition of a multi-tenant data center facility in Denver,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Colorado, in which we previously leased space (“DE1”), we entered into an agreement to pay $5.0 million of purchase price to the seller in monthly installments through March 31, 2028 (the “CoreSite DE1 Note”). The CoreSite DE1 Note accrues interest at the prime rate as announced by Bank of America, N.A plus 200 basis points. As of December 31, 2025, the interest rate was 9.50% per annum. Interest is payable monthly in arrears. Any outstanding principal and accrued but unpaid interest will be due and payable in full at maturity. The CoreSite DE1 Note may be paid prior to maturity in whole or in part at our option without penalty or premium, provided that if such prepayment is made prior to April 1, 2027, we are required to pay any additional interest which would have accrued under the CoreSite DE1 Note in the ordinary course through April 1, 2027.</w:t>
      </w:r>
    </w:p>
    <w:p>
      <w:pPr>
        <w:spacing w:after="0" w:line="1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i w:val="1"/>
          <w:iCs w:val="1"/>
          <w:color w:val="231F20"/>
        </w:rPr>
        <w:t>Stock Repurchase Programs</w:t>
      </w:r>
      <w:r>
        <w:rPr>
          <w:rFonts w:ascii="Times New Roman" w:cs="Times New Roman" w:eastAsia="Times New Roman" w:hAnsi="Times New Roman"/>
          <w:sz w:val="20"/>
          <w:szCs w:val="20"/>
          <w:color w:val="231F20"/>
        </w:rPr>
        <w:t>—During the year ended December 31, 2025, we repurchased 2,036,100 shares of our common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stock for an aggregate of $364.6 million, including commissions and fees, under both the 2011 Buyback and the 2017 Buyback. As of December 31, 2025, we have no amounts remaining under the 2011 Buyback.</w:t>
      </w:r>
    </w:p>
    <w:p>
      <w:pPr>
        <w:spacing w:after="0" w:line="1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Under the 2017 Buyback, we are authorized to purchase shares from time to time through open market purchases or in privately negotiated transactions not to exceed market prices and subject to market conditions and other factors. With respect to open market purchases, we may use plans adopted in accordance with Rule 10b5-1 under the Exchange Act in accordance with securities laws and other legal requirements, which allows us to repurchase shares during periods when it may otherwise be prevented from doing so under insider trading laws or because of self-imposed trading blackout periods.</w:t>
      </w:r>
    </w:p>
    <w:p>
      <w:pPr>
        <w:spacing w:after="0" w:line="12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231F20"/>
        </w:rPr>
        <w:t>Subsequent to December 31, 2025, through February 17, 2026, we repurchased 312,352 shares of our common stock for an aggregate of approximately $53.0 million, including commissions and fees, under the 2017 Buyback.</w:t>
      </w:r>
    </w:p>
    <w:p>
      <w:pPr>
        <w:spacing w:after="0" w:line="101"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9"/>
          <w:szCs w:val="19"/>
          <w:color w:val="231F20"/>
        </w:rPr>
        <w:t>Through February 17, 2026, we have repurchased a total of 2,253,664 shares of our common stock under the 2017 Buyback for an aggregate of $400.0 million, including commissions and fees. We expect to continue to manage the pacing of the remaining $1.6 billion under the 2017 Buyback in response to general market conditions and other relevant factors. We expect to fund any further repurchases of our common stock through a combination of cash on hand, cash generated by operations and borrowings under our credit facilities. Purchases under the 2017 Buyback are subject to our having available cash to fund repurchases.</w:t>
      </w:r>
    </w:p>
    <w:p>
      <w:pPr>
        <w:spacing w:after="0" w:line="10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0"/>
          <w:szCs w:val="20"/>
          <w:i w:val="1"/>
          <w:iCs w:val="1"/>
          <w:color w:val="231F20"/>
        </w:rPr>
        <w:t>Sales of Equity Securities</w:t>
      </w:r>
      <w:r>
        <w:rPr>
          <w:rFonts w:ascii="Times New Roman" w:cs="Times New Roman" w:eastAsia="Times New Roman" w:hAnsi="Times New Roman"/>
          <w:sz w:val="20"/>
          <w:szCs w:val="20"/>
          <w:color w:val="231F20"/>
        </w:rPr>
        <w:t>—We receive proceeds from sales of our equity securities pursuant to our employee stock purchase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plan (the “ESPP”) and upon exercise of stock options granted under our equity incentive plan, as amended (the “2007 Plan”). During the year ended December 31, 2025, we received an aggregate of $41.7 million in proceeds upon exercises of stock options and sales pursuant to the ESPP.</w:t>
      </w:r>
    </w:p>
    <w:p>
      <w:pPr>
        <w:spacing w:after="0" w:line="11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i w:val="1"/>
          <w:iCs w:val="1"/>
          <w:color w:val="231F20"/>
        </w:rPr>
        <w:t>Future Financing Transactions</w:t>
      </w:r>
      <w:r>
        <w:rPr>
          <w:rFonts w:ascii="Times New Roman" w:cs="Times New Roman" w:eastAsia="Times New Roman" w:hAnsi="Times New Roman"/>
          <w:sz w:val="20"/>
          <w:szCs w:val="20"/>
          <w:color w:val="231F20"/>
        </w:rPr>
        <w:t>—We regularly consider various options to obtain financing and access the capital markets,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subject to market conditions, to meet our funding needs. Such capital raising alternatives, in addition to those noted above, may include amendments and extensions of our bank facilities, entry into new bank facilities, transactions with private equity funds or partnerships, additional senior note and equity offerings and securitization transactions. No assurance can be given as to whether any such financing transactions will be completed or as to the timing or terms thereof.</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240"/>
          </w:cols>
          <w:pgMar w:left="820" w:top="393" w:right="820" w:bottom="0" w:gutter="0" w:footer="0" w:header="0"/>
          <w:type w:val="continuous"/>
        </w:sectPr>
      </w:pPr>
    </w:p>
    <w:bookmarkStart w:id="64" w:name="page65"/>
    <w:bookmarkEnd w:id="64"/>
    <w:p>
      <w:pPr>
        <w:ind w:left="10"/>
        <w:spacing w:after="0" w:line="256" w:lineRule="auto"/>
        <w:rPr>
          <w:sz w:val="20"/>
          <w:szCs w:val="20"/>
          <w:color w:val="auto"/>
        </w:rPr>
      </w:pPr>
      <w:r>
        <w:rPr>
          <w:rFonts w:ascii="Times New Roman" w:cs="Times New Roman" w:eastAsia="Times New Roman" w:hAnsi="Times New Roman"/>
          <w:sz w:val="20"/>
          <w:szCs w:val="20"/>
          <w:i w:val="1"/>
          <w:iCs w:val="1"/>
          <w:color w:val="231F20"/>
        </w:rPr>
        <w:t>Distributions—</w:t>
      </w:r>
      <w:r>
        <w:rPr>
          <w:rFonts w:ascii="Times New Roman" w:cs="Times New Roman" w:eastAsia="Times New Roman" w:hAnsi="Times New Roman"/>
          <w:sz w:val="20"/>
          <w:szCs w:val="20"/>
          <w:color w:val="231F20"/>
        </w:rPr>
        <w:t>As a REIT, we must annually distribute to our stockholders an amount equal to at least 90% of our REIT taxable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income (determined before the deduction for distributed earnings and excluding any net capital gain). Generally, we have distributed, and expect to continue to distribute, all or substantially all of our REIT taxable income after taking into consideration our utilization of NOLs. We have distributed an aggregate of approximately $23.7 billion to our common stockholders, including the dividend paid in February 2026. The dividends paid to common stockholders in 2025 were primarily classified as ordinary income that may be treated as qualified REIT dividends under Section 199A of the Code and we currently expect the 2026 dividends to be similarly classified.</w:t>
      </w:r>
    </w:p>
    <w:p>
      <w:pPr>
        <w:spacing w:after="0" w:line="127"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231F20"/>
        </w:rPr>
        <w:t>During the year ended December 31, 2025, we paid $6.72 per share, or $3.1 billion, to our common stockholders of record. In addition, we declared a distribution of $1.70 per share, or $792.9 million, paid on February 2, 2026 to our common stockholders of record at the close of business on December 29, 2025.</w:t>
      </w:r>
    </w:p>
    <w:p>
      <w:pPr>
        <w:spacing w:after="0" w:line="115" w:lineRule="exact"/>
        <w:rPr>
          <w:sz w:val="20"/>
          <w:szCs w:val="20"/>
          <w:color w:val="auto"/>
        </w:rPr>
      </w:pPr>
    </w:p>
    <w:p>
      <w:pPr>
        <w:ind w:left="10" w:right="240"/>
        <w:spacing w:after="0" w:line="260" w:lineRule="auto"/>
        <w:rPr>
          <w:sz w:val="20"/>
          <w:szCs w:val="20"/>
          <w:color w:val="auto"/>
        </w:rPr>
      </w:pPr>
      <w:r>
        <w:rPr>
          <w:rFonts w:ascii="Times New Roman" w:cs="Times New Roman" w:eastAsia="Times New Roman" w:hAnsi="Times New Roman"/>
          <w:sz w:val="20"/>
          <w:szCs w:val="20"/>
          <w:color w:val="231F20"/>
        </w:rPr>
        <w:t>We accrue distributions on unvested restricted stock units, which are payable upon vesting. The amount accrued for distributions payable related to unvested restricted stock units was $20.8 million and $22.5 million as of December 31, 2025 and 2024, respectively. During the year ended December 31, 2025, we paid $12.2 million of distributions upon the vesting of restricted stock units.</w:t>
      </w:r>
    </w:p>
    <w:p>
      <w:pPr>
        <w:spacing w:after="0" w:line="123" w:lineRule="exact"/>
        <w:rPr>
          <w:sz w:val="20"/>
          <w:szCs w:val="20"/>
          <w:color w:val="auto"/>
        </w:rPr>
      </w:pPr>
    </w:p>
    <w:p>
      <w:pPr>
        <w:ind w:left="10" w:right="100"/>
        <w:spacing w:after="0" w:line="256" w:lineRule="auto"/>
        <w:rPr>
          <w:sz w:val="20"/>
          <w:szCs w:val="20"/>
          <w:color w:val="auto"/>
        </w:rPr>
      </w:pPr>
      <w:r>
        <w:rPr>
          <w:rFonts w:ascii="Times New Roman" w:cs="Times New Roman" w:eastAsia="Times New Roman" w:hAnsi="Times New Roman"/>
          <w:sz w:val="20"/>
          <w:szCs w:val="20"/>
          <w:color w:val="231F20"/>
        </w:rPr>
        <w:t>The amount, timing and frequency of future distributions will be at the sole discretion of our Board and will depend 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TRSs and other factors that our Board may deem relevant.</w:t>
      </w:r>
    </w:p>
    <w:p>
      <w:pPr>
        <w:spacing w:after="0" w:line="128" w:lineRule="exact"/>
        <w:rPr>
          <w:sz w:val="20"/>
          <w:szCs w:val="20"/>
          <w:color w:val="auto"/>
        </w:rPr>
      </w:pPr>
    </w:p>
    <w:p>
      <w:pPr>
        <w:ind w:left="10" w:right="60"/>
        <w:spacing w:after="0" w:line="281" w:lineRule="auto"/>
        <w:rPr>
          <w:sz w:val="20"/>
          <w:szCs w:val="20"/>
          <w:color w:val="auto"/>
        </w:rPr>
      </w:pPr>
      <w:r>
        <w:rPr>
          <w:rFonts w:ascii="Times New Roman" w:cs="Times New Roman" w:eastAsia="Times New Roman" w:hAnsi="Times New Roman"/>
          <w:sz w:val="20"/>
          <w:szCs w:val="20"/>
          <w:color w:val="231F20"/>
        </w:rPr>
        <w:t>For more details on the cash distributions paid to our common stockholders during the year ended December 31, 2025, see note 13 to our consolidated financial statements included in this Annual Report.</w:t>
      </w:r>
    </w:p>
    <w:p>
      <w:pPr>
        <w:spacing w:after="0" w:line="101" w:lineRule="exact"/>
        <w:rPr>
          <w:sz w:val="20"/>
          <w:szCs w:val="20"/>
          <w:color w:val="auto"/>
        </w:rPr>
      </w:pPr>
    </w:p>
    <w:p>
      <w:pPr>
        <w:ind w:left="10" w:right="200"/>
        <w:spacing w:after="0" w:line="281" w:lineRule="auto"/>
        <w:rPr>
          <w:sz w:val="20"/>
          <w:szCs w:val="20"/>
          <w:color w:val="auto"/>
        </w:rPr>
      </w:pPr>
      <w:r>
        <w:rPr>
          <w:rFonts w:ascii="Times New Roman" w:cs="Times New Roman" w:eastAsia="Times New Roman" w:hAnsi="Times New Roman"/>
          <w:sz w:val="20"/>
          <w:szCs w:val="20"/>
          <w:color w:val="231F20"/>
        </w:rPr>
        <w:t>We utilize notional cash pooling arrangements with financial institutions for cash management purposes. These arrangements allow for cash withdrawals based upon aggregate cash balances on deposit at the same financial institution.</w:t>
      </w:r>
    </w:p>
    <w:p>
      <w:pPr>
        <w:spacing w:after="0" w:line="95" w:lineRule="exact"/>
        <w:rPr>
          <w:sz w:val="20"/>
          <w:szCs w:val="20"/>
          <w:color w:val="auto"/>
        </w:rPr>
      </w:pPr>
    </w:p>
    <w:p>
      <w:pPr>
        <w:ind w:left="10"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Material Cash Requirements</w:t>
      </w:r>
      <w:r>
        <w:rPr>
          <w:rFonts w:ascii="Times New Roman" w:cs="Times New Roman" w:eastAsia="Times New Roman" w:hAnsi="Times New Roman"/>
          <w:sz w:val="16"/>
          <w:szCs w:val="16"/>
          <w:color w:val="231F20"/>
        </w:rPr>
        <w:t>—</w:t>
      </w:r>
      <w:r>
        <w:rPr>
          <w:rFonts w:ascii="Times New Roman" w:cs="Times New Roman" w:eastAsia="Times New Roman" w:hAnsi="Times New Roman"/>
          <w:sz w:val="20"/>
          <w:szCs w:val="20"/>
          <w:color w:val="231F20"/>
        </w:rPr>
        <w:t>The following table summarizes material cash requirements from known contractual and other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obligations as of December 31, 2025 (in millions):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940" w:type="dxa"/>
            <w:vAlign w:val="bottom"/>
            <w:tcBorders>
              <w:bottom w:val="single" w:sz="8" w:color="E3E4E5"/>
            </w:tcBorders>
          </w:tcPr>
          <w:p>
            <w:pPr>
              <w:spacing w:after="0"/>
              <w:rPr>
                <w:sz w:val="18"/>
                <w:szCs w:val="18"/>
                <w:color w:val="auto"/>
              </w:rPr>
            </w:pPr>
          </w:p>
        </w:tc>
        <w:tc>
          <w:tcPr>
            <w:tcW w:w="980" w:type="dxa"/>
            <w:vAlign w:val="bottom"/>
            <w:tcBorders>
              <w:bottom w:val="single" w:sz="8" w:color="231F20"/>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60" w:type="dxa"/>
            <w:vAlign w:val="bottom"/>
            <w:tcBorders>
              <w:bottom w:val="single" w:sz="8" w:color="E3E4E5"/>
            </w:tcBorders>
          </w:tcPr>
          <w:p>
            <w:pPr>
              <w:spacing w:after="0"/>
              <w:rPr>
                <w:sz w:val="18"/>
                <w:szCs w:val="18"/>
                <w:color w:val="auto"/>
              </w:rPr>
            </w:pPr>
          </w:p>
        </w:tc>
        <w:tc>
          <w:tcPr>
            <w:tcW w:w="100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60" w:type="dxa"/>
            <w:vAlign w:val="bottom"/>
            <w:tcBorders>
              <w:bottom w:val="single" w:sz="8" w:color="E3E4E5"/>
            </w:tcBorders>
          </w:tcPr>
          <w:p>
            <w:pPr>
              <w:spacing w:after="0"/>
              <w:rPr>
                <w:sz w:val="18"/>
                <w:szCs w:val="18"/>
                <w:color w:val="auto"/>
              </w:rPr>
            </w:pPr>
          </w:p>
        </w:tc>
        <w:tc>
          <w:tcPr>
            <w:tcW w:w="98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60" w:type="dxa"/>
            <w:vAlign w:val="bottom"/>
            <w:tcBorders>
              <w:bottom w:val="single" w:sz="8" w:color="E3E4E5"/>
            </w:tcBorders>
          </w:tcPr>
          <w:p>
            <w:pPr>
              <w:spacing w:after="0"/>
              <w:rPr>
                <w:sz w:val="18"/>
                <w:szCs w:val="18"/>
                <w:color w:val="auto"/>
              </w:rPr>
            </w:pPr>
          </w:p>
        </w:tc>
        <w:tc>
          <w:tcPr>
            <w:tcW w:w="100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60" w:type="dxa"/>
            <w:vAlign w:val="bottom"/>
            <w:tcBorders>
              <w:bottom w:val="single" w:sz="8" w:color="E3E4E5"/>
            </w:tcBorders>
          </w:tcPr>
          <w:p>
            <w:pPr>
              <w:spacing w:after="0"/>
              <w:rPr>
                <w:sz w:val="18"/>
                <w:szCs w:val="18"/>
                <w:color w:val="auto"/>
              </w:rPr>
            </w:pPr>
          </w:p>
        </w:tc>
        <w:tc>
          <w:tcPr>
            <w:tcW w:w="98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60" w:type="dxa"/>
            <w:vAlign w:val="bottom"/>
            <w:tcBorders>
              <w:bottom w:val="single" w:sz="8" w:color="E3E4E5"/>
            </w:tcBorders>
          </w:tcPr>
          <w:p>
            <w:pPr>
              <w:spacing w:after="0"/>
              <w:rPr>
                <w:sz w:val="18"/>
                <w:szCs w:val="18"/>
                <w:color w:val="auto"/>
              </w:rPr>
            </w:pPr>
          </w:p>
        </w:tc>
        <w:tc>
          <w:tcPr>
            <w:tcW w:w="100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Thereafter</w:t>
            </w:r>
          </w:p>
        </w:tc>
        <w:tc>
          <w:tcPr>
            <w:tcW w:w="60" w:type="dxa"/>
            <w:vAlign w:val="bottom"/>
            <w:tcBorders>
              <w:bottom w:val="single" w:sz="8" w:color="E3E4E5"/>
            </w:tcBorders>
          </w:tcPr>
          <w:p>
            <w:pPr>
              <w:spacing w:after="0"/>
              <w:rPr>
                <w:sz w:val="18"/>
                <w:szCs w:val="18"/>
                <w:color w:val="auto"/>
              </w:rPr>
            </w:pPr>
          </w:p>
        </w:tc>
        <w:tc>
          <w:tcPr>
            <w:tcW w:w="98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305"/>
        </w:trPr>
        <w:tc>
          <w:tcPr>
            <w:tcW w:w="2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Debt obligations (1)</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3,387.8</w:t>
            </w:r>
          </w:p>
        </w:tc>
        <w:tc>
          <w:tcPr>
            <w:tcW w:w="10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  4,726.7</w:t>
            </w:r>
          </w:p>
        </w:tc>
        <w:tc>
          <w:tcPr>
            <w:tcW w:w="10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7,513.2</w:t>
            </w:r>
          </w:p>
        </w:tc>
        <w:tc>
          <w:tcPr>
            <w:tcW w:w="10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  3,782.0</w:t>
            </w:r>
          </w:p>
        </w:tc>
        <w:tc>
          <w:tcPr>
            <w:tcW w:w="10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4,925.3</w:t>
            </w:r>
          </w:p>
        </w:tc>
        <w:tc>
          <w:tcPr>
            <w:tcW w:w="10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$ 13,099.9</w:t>
            </w:r>
          </w:p>
        </w:tc>
        <w:tc>
          <w:tcPr>
            <w:tcW w:w="10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$ 37,434.9</w:t>
            </w:r>
          </w:p>
        </w:tc>
      </w:tr>
      <w:tr>
        <w:trPr>
          <w:trHeight w:val="302"/>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Operating lease obligations (2)</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959.3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916.1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865.6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7,201.7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11,976.6</w:t>
            </w:r>
          </w:p>
        </w:tc>
      </w:tr>
      <w:tr>
        <w:trPr>
          <w:trHeight w:val="272"/>
        </w:trPr>
        <w:tc>
          <w:tcPr>
            <w:tcW w:w="2940" w:type="dxa"/>
            <w:vAlign w:val="bottom"/>
          </w:tcPr>
          <w:p>
            <w:pPr>
              <w:jc w:val="right"/>
              <w:ind w:right="1727"/>
              <w:spacing w:after="0"/>
              <w:rPr>
                <w:sz w:val="20"/>
                <w:szCs w:val="20"/>
                <w:color w:val="auto"/>
              </w:rPr>
            </w:pPr>
            <w:r>
              <w:rPr>
                <w:rFonts w:ascii="Times New Roman" w:cs="Times New Roman" w:eastAsia="Times New Roman" w:hAnsi="Times New Roman"/>
                <w:sz w:val="16"/>
                <w:szCs w:val="16"/>
                <w:color w:val="231F20"/>
                <w:w w:val="98"/>
              </w:rPr>
              <w:t>______________</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-576580</wp:posOffset>
            </wp:positionV>
            <wp:extent cx="46545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4654550" cy="25400"/>
                    </a:xfrm>
                    <a:prstGeom prst="rect">
                      <a:avLst/>
                    </a:prstGeom>
                    <a:noFill/>
                  </pic:spPr>
                </pic:pic>
              </a:graphicData>
            </a:graphic>
          </wp:anchor>
        </w:drawing>
      </w:r>
    </w:p>
    <w:p>
      <w:pPr>
        <w:ind w:left="370" w:right="20" w:hanging="370"/>
        <w:spacing w:after="0" w:line="250" w:lineRule="auto"/>
        <w:tabs>
          <w:tab w:leader="none" w:pos="37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aggregate principal maturities of long-term debt, including finance lease obligations (see note 8 to our consolidated financial statements included in this Annual Report).</w:t>
      </w:r>
    </w:p>
    <w:p>
      <w:pPr>
        <w:ind w:left="370" w:right="160" w:hanging="370"/>
        <w:spacing w:after="0" w:line="255" w:lineRule="auto"/>
        <w:tabs>
          <w:tab w:leader="none" w:pos="37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payments under non-cancellable initial terms, as well as payments for certain renewal periods at our option, which we expect to renew because failure to do so could result in a loss of the applicable communications sites and related revenues from tenant leases (see note 4 to our consolidated financial statements included in this Annual Report).</w:t>
      </w:r>
    </w:p>
    <w:p>
      <w:pPr>
        <w:spacing w:after="0" w:line="149" w:lineRule="exact"/>
        <w:rPr>
          <w:sz w:val="20"/>
          <w:szCs w:val="20"/>
          <w:color w:val="auto"/>
        </w:rPr>
      </w:pPr>
    </w:p>
    <w:p>
      <w:pPr>
        <w:ind w:left="10" w:right="560"/>
        <w:spacing w:after="0" w:line="285" w:lineRule="auto"/>
        <w:rPr>
          <w:sz w:val="20"/>
          <w:szCs w:val="20"/>
          <w:color w:val="auto"/>
        </w:rPr>
      </w:pPr>
      <w:r>
        <w:rPr>
          <w:rFonts w:ascii="Times New Roman" w:cs="Times New Roman" w:eastAsia="Times New Roman" w:hAnsi="Times New Roman"/>
          <w:sz w:val="20"/>
          <w:szCs w:val="20"/>
          <w:i w:val="1"/>
          <w:iCs w:val="1"/>
          <w:color w:val="231F20"/>
        </w:rPr>
        <w:t>Distributions—</w:t>
      </w:r>
      <w:r>
        <w:rPr>
          <w:rFonts w:ascii="Times New Roman" w:cs="Times New Roman" w:eastAsia="Times New Roman" w:hAnsi="Times New Roman"/>
          <w:sz w:val="20"/>
          <w:szCs w:val="20"/>
          <w:color w:val="231F20"/>
        </w:rPr>
        <w:t>We expect that our 2026 total distributions declared to our common stockholders will be $3.3 billion.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amount, timing and frequency of future distributions will be at the sole discretion of our Board.</w:t>
      </w:r>
    </w:p>
    <w:p>
      <w:pPr>
        <w:spacing w:after="0" w:line="94" w:lineRule="exact"/>
        <w:rPr>
          <w:sz w:val="20"/>
          <w:szCs w:val="20"/>
          <w:color w:val="auto"/>
        </w:rPr>
      </w:pPr>
    </w:p>
    <w:p>
      <w:pPr>
        <w:ind w:left="10" w:right="60"/>
        <w:spacing w:after="0" w:line="268" w:lineRule="auto"/>
        <w:rPr>
          <w:sz w:val="20"/>
          <w:szCs w:val="20"/>
          <w:color w:val="auto"/>
        </w:rPr>
      </w:pPr>
      <w:r>
        <w:rPr>
          <w:rFonts w:ascii="Times New Roman" w:cs="Times New Roman" w:eastAsia="Times New Roman" w:hAnsi="Times New Roman"/>
          <w:sz w:val="20"/>
          <w:szCs w:val="20"/>
          <w:i w:val="1"/>
          <w:iCs w:val="1"/>
          <w:color w:val="231F20"/>
        </w:rPr>
        <w:t>Asset Retirement Obligations—</w:t>
      </w:r>
      <w:r>
        <w:rPr>
          <w:rFonts w:ascii="Times New Roman" w:cs="Times New Roman" w:eastAsia="Times New Roman" w:hAnsi="Times New Roman"/>
          <w:sz w:val="20"/>
          <w:szCs w:val="20"/>
          <w:color w:val="231F20"/>
        </w:rPr>
        <w:t>We are required to remove our assets and remediate the leased sites upon which certain of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assets are located. As of December 31, 2025, the estimated undiscounted future cash outlay for asset retirement obligations was $4.6 billion.</w:t>
      </w:r>
    </w:p>
    <w:p>
      <w:pPr>
        <w:spacing w:after="0" w:line="1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Factors Affecting Sources of Liquidity</w:t>
      </w:r>
    </w:p>
    <w:p>
      <w:pPr>
        <w:spacing w:after="0" w:line="179"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231F20"/>
        </w:rPr>
        <w:t>Our liquidity depends on our ability to generate cash flow from operating activities, borrow funds under our credit facilities and maintain compliance with the contractual agreements governing our indebtedness. We believe that the debt agreements discussed below represent our material debt agreements that contain covenants, our compliance with which would be material to an investor’s understanding of our financial results and the impact of those results on our liquidity.</w:t>
      </w:r>
    </w:p>
    <w:p>
      <w:pPr>
        <w:spacing w:after="0" w:line="120" w:lineRule="exact"/>
        <w:rPr>
          <w:sz w:val="20"/>
          <w:szCs w:val="20"/>
          <w:color w:val="auto"/>
        </w:rPr>
      </w:pPr>
    </w:p>
    <w:p>
      <w:pPr>
        <w:ind w:left="10" w:right="80"/>
        <w:spacing w:after="0" w:line="259" w:lineRule="auto"/>
        <w:rPr>
          <w:sz w:val="20"/>
          <w:szCs w:val="20"/>
          <w:color w:val="auto"/>
        </w:rPr>
      </w:pPr>
      <w:r>
        <w:rPr>
          <w:rFonts w:ascii="Times New Roman" w:cs="Times New Roman" w:eastAsia="Times New Roman" w:hAnsi="Times New Roman"/>
          <w:sz w:val="20"/>
          <w:szCs w:val="20"/>
          <w:i w:val="1"/>
          <w:iCs w:val="1"/>
          <w:color w:val="231F20"/>
        </w:rPr>
        <w:t>Internally Generated Funds</w:t>
      </w:r>
      <w:r>
        <w:rPr>
          <w:rFonts w:ascii="Times New Roman" w:cs="Times New Roman" w:eastAsia="Times New Roman" w:hAnsi="Times New Roman"/>
          <w:sz w:val="20"/>
          <w:szCs w:val="20"/>
          <w:color w:val="231F20"/>
        </w:rPr>
        <w:t>—Because the majority of our customer leases are multiyear contracts, a significant majority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revenues generated by our property operations as of the end of 2025 is recurring revenue that we should continue to receive in future periods. Accordingly, a key factor affecting our ability to generate cash flow from operating activities is to maintain this recurring revenue and to convert it into operating profit by minimizing operating costs and fully achieving our operating efficiencies. In addition, our ability to increase cash flow from operating activities depends upon the demand for our</w:t>
      </w:r>
    </w:p>
    <w:p>
      <w:pPr>
        <w:sectPr>
          <w:pgSz w:w="11880" w:h="15480" w:orient="portrait"/>
          <w:cols w:equalWidth="0" w:num="1">
            <w:col w:w="10250"/>
          </w:cols>
          <w:pgMar w:left="810" w:top="38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250"/>
          </w:cols>
          <w:pgMar w:left="810" w:top="389" w:right="820" w:bottom="0" w:gutter="0" w:footer="0" w:header="0"/>
          <w:type w:val="continuous"/>
        </w:sectPr>
      </w:pPr>
    </w:p>
    <w:bookmarkStart w:id="65" w:name="page66"/>
    <w:bookmarkEnd w:id="65"/>
    <w:p>
      <w:pPr>
        <w:ind w:left="10" w:right="20"/>
        <w:spacing w:after="0" w:line="281" w:lineRule="auto"/>
        <w:rPr>
          <w:sz w:val="20"/>
          <w:szCs w:val="20"/>
          <w:color w:val="auto"/>
        </w:rPr>
      </w:pPr>
      <w:r>
        <w:rPr>
          <w:rFonts w:ascii="Times New Roman" w:cs="Times New Roman" w:eastAsia="Times New Roman" w:hAnsi="Times New Roman"/>
          <w:sz w:val="20"/>
          <w:szCs w:val="20"/>
          <w:color w:val="231F20"/>
        </w:rPr>
        <w:t>communications infrastructure and our related services and our ability to increase the utilization of our existing communications infrastructure.</w:t>
      </w:r>
    </w:p>
    <w:p>
      <w:pPr>
        <w:spacing w:after="0" w:line="98" w:lineRule="exact"/>
        <w:rPr>
          <w:sz w:val="20"/>
          <w:szCs w:val="20"/>
          <w:color w:val="auto"/>
        </w:rPr>
      </w:pPr>
    </w:p>
    <w:p>
      <w:pPr>
        <w:ind w:left="10" w:right="40"/>
        <w:spacing w:after="0" w:line="257" w:lineRule="auto"/>
        <w:rPr>
          <w:sz w:val="20"/>
          <w:szCs w:val="20"/>
          <w:color w:val="auto"/>
        </w:rPr>
      </w:pPr>
      <w:r>
        <w:rPr>
          <w:rFonts w:ascii="Times New Roman" w:cs="Times New Roman" w:eastAsia="Times New Roman" w:hAnsi="Times New Roman"/>
          <w:sz w:val="20"/>
          <w:szCs w:val="20"/>
          <w:i w:val="1"/>
          <w:iCs w:val="1"/>
          <w:color w:val="231F20"/>
        </w:rPr>
        <w:t>Restrictions Under Loan Agreements Relating to Our Credit Facilities</w:t>
      </w:r>
      <w:r>
        <w:rPr>
          <w:rFonts w:ascii="Times New Roman" w:cs="Times New Roman" w:eastAsia="Times New Roman" w:hAnsi="Times New Roman"/>
          <w:sz w:val="20"/>
          <w:szCs w:val="20"/>
          <w:color w:val="231F20"/>
        </w:rPr>
        <w:t>—Each Bank Loan Agreement contains certain financial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operating covenants and other restrictions applicable to us and our subsidiaries that are not designated as unrestricted subsidiaries on a consolidated basis. These restrictions include limitations on additional debt, distributions and dividends, guaranties, sales of assets and liens. The Bank Loan Agreements also contain covenants that establish financial tests with which we and our restricted subsidiaries must comply related to total leverage and senior secured leverage, as set forth in the table below. As of December 31, 2025, we were in compliance with each of these covenants.</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color w:val="231F20"/>
        </w:rPr>
        <w:t>Consolidated Total Leverage Ratio</w:t>
      </w:r>
    </w:p>
    <w:p>
      <w:pPr>
        <w:spacing w:after="0" w:line="31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b w:val="1"/>
          <w:bCs w:val="1"/>
          <w:color w:val="231F20"/>
        </w:rPr>
        <w:t>Consolidated Senior Secured Leverage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47"/>
        <w:spacing w:after="0"/>
        <w:rPr>
          <w:sz w:val="20"/>
          <w:szCs w:val="20"/>
          <w:color w:val="auto"/>
        </w:rPr>
      </w:pPr>
      <w:r>
        <w:rPr>
          <w:rFonts w:ascii="Times New Roman" w:cs="Times New Roman" w:eastAsia="Times New Roman" w:hAnsi="Times New Roman"/>
          <w:sz w:val="16"/>
          <w:szCs w:val="16"/>
          <w:b w:val="1"/>
          <w:bCs w:val="1"/>
          <w:color w:val="231F20"/>
        </w:rPr>
        <w:t>Ratio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14605</wp:posOffset>
            </wp:positionV>
            <wp:extent cx="6540500" cy="279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6540500" cy="279400"/>
                    </a:xfrm>
                    <a:prstGeom prst="rect">
                      <a:avLst/>
                    </a:prstGeom>
                    <a:noFill/>
                  </pic:spPr>
                </pic:pic>
              </a:graphicData>
            </a:graphic>
          </wp:anchor>
        </w:drawing>
      </w:r>
    </w:p>
    <w:p>
      <w:pPr>
        <w:spacing w:after="0" w:line="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Total Debt to Adjusted EBITDA</w:t>
      </w:r>
    </w:p>
    <w:p>
      <w:pPr>
        <w:ind w:left="127" w:hanging="127"/>
        <w:spacing w:after="0"/>
        <w:tabs>
          <w:tab w:leader="none" w:pos="127"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6.00:1.00</w:t>
      </w:r>
    </w:p>
    <w:p>
      <w:pPr>
        <w:spacing w:after="0" w:line="63" w:lineRule="exact"/>
        <w:rPr>
          <w:sz w:val="20"/>
          <w:szCs w:val="20"/>
          <w:color w:val="auto"/>
        </w:rPr>
      </w:pPr>
    </w:p>
    <w:p>
      <w:pPr>
        <w:ind w:left="7"/>
        <w:spacing w:after="0" w:line="220" w:lineRule="auto"/>
        <w:rPr>
          <w:sz w:val="20"/>
          <w:szCs w:val="20"/>
          <w:color w:val="auto"/>
        </w:rPr>
      </w:pPr>
      <w:r>
        <w:rPr>
          <w:rFonts w:ascii="Times New Roman" w:cs="Times New Roman" w:eastAsia="Times New Roman" w:hAnsi="Times New Roman"/>
          <w:sz w:val="16"/>
          <w:szCs w:val="16"/>
          <w:color w:val="231F20"/>
        </w:rPr>
        <w:t>Senior Secured Debt to Adjusted EBITDA</w:t>
      </w:r>
    </w:p>
    <w:p>
      <w:pPr>
        <w:spacing w:after="0" w:line="1" w:lineRule="exact"/>
        <w:rPr>
          <w:sz w:val="20"/>
          <w:szCs w:val="20"/>
          <w:color w:val="auto"/>
        </w:rPr>
      </w:pPr>
    </w:p>
    <w:p>
      <w:pPr>
        <w:ind w:left="127" w:hanging="127"/>
        <w:spacing w:after="0"/>
        <w:tabs>
          <w:tab w:leader="none" w:pos="127" w:val="left"/>
        </w:tabs>
        <w:numPr>
          <w:ilvl w:val="0"/>
          <w:numId w:val="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3.00:1.00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Compliance Tests For The 12 Months Ended</w:t>
      </w:r>
    </w:p>
    <w:p>
      <w:pPr>
        <w:jc w:val="center"/>
        <w:ind w:right="20"/>
        <w:spacing w:after="0" w:line="208" w:lineRule="auto"/>
        <w:rPr>
          <w:sz w:val="20"/>
          <w:szCs w:val="20"/>
          <w:color w:val="auto"/>
        </w:rPr>
      </w:pPr>
      <w:r>
        <w:rPr>
          <w:rFonts w:ascii="Times New Roman" w:cs="Times New Roman" w:eastAsia="Times New Roman" w:hAnsi="Times New Roman"/>
          <w:sz w:val="16"/>
          <w:szCs w:val="16"/>
          <w:b w:val="1"/>
          <w:bCs w:val="1"/>
          <w:color w:val="231F20"/>
        </w:rPr>
        <w:t>December 31,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256222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2562225" cy="1270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Additional Debt Capacity</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Capacity for Adjusted</w:t>
            </w:r>
          </w:p>
        </w:tc>
        <w:tc>
          <w:tcPr>
            <w:tcW w:w="0" w:type="dxa"/>
            <w:vAlign w:val="bottom"/>
          </w:tcPr>
          <w:p>
            <w:pPr>
              <w:spacing w:after="0"/>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EBITDA Decrease</w:t>
            </w:r>
          </w:p>
        </w:tc>
        <w:tc>
          <w:tcPr>
            <w:tcW w:w="0" w:type="dxa"/>
            <w:vAlign w:val="bottom"/>
          </w:tcPr>
          <w:p>
            <w:pPr>
              <w:spacing w:after="0"/>
              <w:rPr>
                <w:sz w:val="1"/>
                <w:szCs w:val="1"/>
                <w:color w:val="auto"/>
              </w:rPr>
            </w:pPr>
          </w:p>
        </w:tc>
      </w:tr>
      <w:tr>
        <w:trPr>
          <w:trHeight w:val="214"/>
        </w:trPr>
        <w:tc>
          <w:tcPr>
            <w:tcW w:w="2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Under Covenants (2)</w:t>
            </w:r>
          </w:p>
        </w:tc>
        <w:tc>
          <w:tcPr>
            <w:tcW w:w="100" w:type="dxa"/>
            <w:vAlign w:val="bottom"/>
          </w:tcPr>
          <w:p>
            <w:pPr>
              <w:spacing w:after="0"/>
              <w:rPr>
                <w:sz w:val="18"/>
                <w:szCs w:val="18"/>
                <w:color w:val="auto"/>
              </w:rPr>
            </w:pPr>
          </w:p>
        </w:tc>
        <w:tc>
          <w:tcPr>
            <w:tcW w:w="1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Under Covenants (3)</w:t>
            </w:r>
          </w:p>
        </w:tc>
        <w:tc>
          <w:tcPr>
            <w:tcW w:w="0" w:type="dxa"/>
            <w:vAlign w:val="bottom"/>
          </w:tcPr>
          <w:p>
            <w:pPr>
              <w:spacing w:after="0"/>
              <w:rPr>
                <w:sz w:val="1"/>
                <w:szCs w:val="1"/>
                <w:color w:val="auto"/>
              </w:rPr>
            </w:pPr>
          </w:p>
        </w:tc>
      </w:tr>
      <w:tr>
        <w:trPr>
          <w:trHeight w:val="309"/>
        </w:trPr>
        <w:tc>
          <w:tcPr>
            <w:tcW w:w="214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231F20"/>
              </w:rPr>
              <w:t>~5.6</w:t>
            </w: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231F20"/>
              </w:rPr>
              <w:t>~0.9</w:t>
            </w:r>
          </w:p>
        </w:tc>
        <w:tc>
          <w:tcPr>
            <w:tcW w:w="0" w:type="dxa"/>
            <w:vAlign w:val="bottom"/>
          </w:tcPr>
          <w:p>
            <w:pPr>
              <w:spacing w:after="0"/>
              <w:rPr>
                <w:sz w:val="1"/>
                <w:szCs w:val="1"/>
                <w:color w:val="auto"/>
              </w:rPr>
            </w:pPr>
          </w:p>
        </w:tc>
      </w:tr>
      <w:tr>
        <w:trPr>
          <w:trHeight w:val="503"/>
        </w:trPr>
        <w:tc>
          <w:tcPr>
            <w:tcW w:w="214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231F20"/>
              </w:rPr>
              <w:t>~19.8 (4)</w:t>
            </w: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231F20"/>
              </w:rPr>
              <w:t>~6.6 (4)</w:t>
            </w:r>
          </w:p>
        </w:tc>
        <w:tc>
          <w:tcPr>
            <w:tcW w:w="0" w:type="dxa"/>
            <w:vAlign w:val="bottom"/>
          </w:tcPr>
          <w:p>
            <w:pPr>
              <w:spacing w:after="0"/>
              <w:rPr>
                <w:sz w:val="1"/>
                <w:szCs w:val="1"/>
                <w:color w:val="auto"/>
              </w:rPr>
            </w:pPr>
          </w:p>
        </w:tc>
      </w:tr>
    </w:tbl>
    <w:p>
      <w:pPr>
        <w:spacing w:after="0" w:line="233" w:lineRule="exact"/>
        <w:rPr>
          <w:sz w:val="20"/>
          <w:szCs w:val="20"/>
          <w:color w:val="auto"/>
        </w:rPr>
      </w:pPr>
    </w:p>
    <w:p>
      <w:pPr>
        <w:sectPr>
          <w:pgSz w:w="11880" w:h="15480" w:orient="portrait"/>
          <w:cols w:equalWidth="0" w:num="3">
            <w:col w:w="3110" w:space="693"/>
            <w:col w:w="2107" w:space="320"/>
            <w:col w:w="4040"/>
          </w:cols>
          <w:pgMar w:left="810" w:top="393" w:right="800" w:bottom="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hanging="370"/>
        <w:spacing w:after="0"/>
        <w:tabs>
          <w:tab w:leader="none" w:pos="37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Each component of the ratio as defined in the applicable loan agreement.</w:t>
      </w:r>
    </w:p>
    <w:p>
      <w:pPr>
        <w:spacing w:after="0" w:line="8"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Assumes no change to Adjusted EBITDA.</w:t>
      </w:r>
    </w:p>
    <w:p>
      <w:pPr>
        <w:spacing w:after="0" w:line="8"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Assumes no change to our debt levels.</w:t>
      </w:r>
    </w:p>
    <w:p>
      <w:pPr>
        <w:spacing w:after="0" w:line="8" w:lineRule="exact"/>
        <w:rPr>
          <w:rFonts w:ascii="Times New Roman" w:cs="Times New Roman" w:eastAsia="Times New Roman" w:hAnsi="Times New Roman"/>
          <w:sz w:val="16"/>
          <w:szCs w:val="16"/>
          <w:color w:val="231F20"/>
        </w:rPr>
      </w:pPr>
    </w:p>
    <w:p>
      <w:pPr>
        <w:ind w:left="370" w:hanging="370"/>
        <w:spacing w:after="0"/>
        <w:tabs>
          <w:tab w:leader="none" w:pos="37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Effectively, however, additional Senior Secured Debt under this ratio would be limited to the capacity under the Consolidated Total Leverage Ratio.</w:t>
      </w:r>
    </w:p>
    <w:p>
      <w:pPr>
        <w:spacing w:after="0" w:line="140"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231F20"/>
        </w:rPr>
        <w:t>The Bank Loan Agreements also contain reporting and information covenants that require us to provide financial and operating information to the lenders within certain time periods. If we are unable to provide the required information on a timely basis, we would be in breach of these covenants.</w:t>
      </w:r>
    </w:p>
    <w:p>
      <w:pPr>
        <w:spacing w:after="0" w:line="115"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231F20"/>
        </w:rPr>
        <w:t>Failure to comply with the financial maintenance tests and certain other covenants of the Bank Loan Agreements could not only prevent us from being able to borrow additional funds under the revolving credit facilities, but may also constitute a default under these credit facilities, which could result in, among other things, the amounts outstanding, including all accrued interest and unpaid fees, becoming immediately due and payable. If this were to occur, we may not have sufficient cash on hand to repay such indebtedness. The key factors affecting our ability to comply with the debt covenants described above are our financial performance relative to the financial maintenance tests defined in the Bank Loan Agreements and our ability to fund our debt service obligations. Based upon our current expectations, we believe our operating results during the next 12 months will be sufficient to comply with these covenants.</w:t>
      </w:r>
    </w:p>
    <w:p>
      <w:pPr>
        <w:spacing w:after="0" w:line="129"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i w:val="1"/>
          <w:iCs w:val="1"/>
          <w:color w:val="231F20"/>
        </w:rPr>
        <w:t>Restrictions Under Agreements Relating to the Trust Securitization—</w:t>
      </w:r>
      <w:r>
        <w:rPr>
          <w:rFonts w:ascii="Times New Roman" w:cs="Times New Roman" w:eastAsia="Times New Roman" w:hAnsi="Times New Roman"/>
          <w:sz w:val="20"/>
          <w:szCs w:val="20"/>
          <w:color w:val="231F20"/>
        </w:rPr>
        <w:t>The indenture and related supplemental indenture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governing the loan agreement related to the securitization transactions completed in March 2018 (the “2018 Securitization”) and March 2023 (the “2023 Securitization” and, together with the 2018 Securitization, the “Trust Securitization”) (the “Securitization Loan Agreements”) include certain financial ratios and operating covenants and other restrictions customary for transactions subject to rated securitizations. Among other things, American Tower Asset Sub, LLC and American Tower Asset Sub II, LLC (together, the “AMT Asset Subs”) are prohibited from incurring other indebtedness for borrowed money or further encumbering their assets, subject to customary carve-outs for ordinary course trade payables and permitted encumbrances (as defined in the applicable agreements).</w:t>
      </w:r>
    </w:p>
    <w:p>
      <w:pPr>
        <w:spacing w:after="0" w:line="129" w:lineRule="exact"/>
        <w:rPr>
          <w:sz w:val="20"/>
          <w:szCs w:val="20"/>
          <w:color w:val="auto"/>
        </w:rPr>
      </w:pPr>
    </w:p>
    <w:p>
      <w:pPr>
        <w:ind w:left="10" w:right="140"/>
        <w:spacing w:after="0" w:line="253" w:lineRule="auto"/>
        <w:rPr>
          <w:sz w:val="20"/>
          <w:szCs w:val="20"/>
          <w:color w:val="auto"/>
        </w:rPr>
      </w:pPr>
      <w:r>
        <w:rPr>
          <w:rFonts w:ascii="Times New Roman" w:cs="Times New Roman" w:eastAsia="Times New Roman" w:hAnsi="Times New Roman"/>
          <w:sz w:val="20"/>
          <w:szCs w:val="20"/>
          <w:color w:val="231F20"/>
        </w:rPr>
        <w:t>Under the Securitization Loan Agreements, amounts due will be paid from the cash flows generated by the assets securing the nonrecourse loan that secures the Secured Tower Revenue Securities, Series 2018-1, Subclass A (the “Series 2018-1A Securities”), the Secured Tower Revenue Securities, Series 2018-1, Subclass R (the “Series 2018-1R Securities” and, together with the Series 2018-1A Securities, the “2018 Securities”), the Secured Tower Revenue Securities 2023-1, Subclass A (the “Series 2023-1A Securities”), the Secured Tower Revenue Securities, Series 2023-1, Subclass R (the “Series 2023-1R Securities” and, together with the Series 2023-1A Securities, the “2023 Securities”) issued in the Trust Securitization (the “Loan”), as applicable, which must be deposited into certain reserve accounts, and thereafter distributed, solely pursuant to the terms of the applicable agreement. On a monthly basis, after paying all required amounts under the applicable agreement, subject to the conditions described in the table below, the excess cash flows generated from the operation of these assets are released to the AMT Asset Subs, which can then be distributed to us for use. As of December 31, 2025, $69.0 million held in such reserve accounts was classified as restricted cash.</w:t>
      </w:r>
    </w:p>
    <w:p>
      <w:pPr>
        <w:spacing w:after="0" w:line="133"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231F20"/>
        </w:rPr>
        <w:t>Certain information with respect to the Trust Securitization is set forth below. The debt service coverage ratio (“DSCR”) is generally calculated as the ratio of the net cash flow (as defined in the applicable agreement) to the amount of interest, servicing</w:t>
      </w:r>
    </w:p>
    <w:p>
      <w:pPr>
        <w:sectPr>
          <w:pgSz w:w="11880" w:h="15480" w:orient="portrait"/>
          <w:cols w:equalWidth="0" w:num="1">
            <w:col w:w="10270"/>
          </w:cols>
          <w:pgMar w:left="810" w:top="39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270"/>
          </w:cols>
          <w:pgMar w:left="810" w:top="393" w:right="800" w:bottom="0" w:gutter="0" w:footer="0" w:header="0"/>
          <w:type w:val="continuous"/>
        </w:sectPr>
      </w:pPr>
    </w:p>
    <w:bookmarkStart w:id="66" w:name="page67"/>
    <w:bookmarkEnd w:id="66"/>
    <w:p>
      <w:pPr>
        <w:ind w:left="10" w:right="700"/>
        <w:spacing w:after="0" w:line="281" w:lineRule="auto"/>
        <w:rPr>
          <w:sz w:val="20"/>
          <w:szCs w:val="20"/>
          <w:color w:val="auto"/>
        </w:rPr>
      </w:pPr>
      <w:r>
        <w:rPr>
          <w:rFonts w:ascii="Times New Roman" w:cs="Times New Roman" w:eastAsia="Times New Roman" w:hAnsi="Times New Roman"/>
          <w:sz w:val="20"/>
          <w:szCs w:val="20"/>
          <w:color w:val="231F20"/>
        </w:rPr>
        <w:t>fees and trustee fees required to be paid over the succeeding 12 months on the principal amount of the Loan that will be outstanding on the payment date following such date of determination.</w:t>
      </w:r>
    </w:p>
    <w:p>
      <w:pPr>
        <w:spacing w:after="0" w:line="175" w:lineRule="exact"/>
        <w:rPr>
          <w:sz w:val="20"/>
          <w:szCs w:val="20"/>
          <w:color w:val="auto"/>
        </w:rPr>
      </w:pPr>
    </w:p>
    <w:tbl>
      <w:tblPr>
        <w:tblLayout w:type="fixed"/>
        <w:tblInd w:w="17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Conditions Limiting</w:t>
            </w: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Capacity for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Capacity for</w:t>
            </w:r>
          </w:p>
        </w:tc>
        <w:tc>
          <w:tcPr>
            <w:tcW w:w="0" w:type="dxa"/>
            <w:vAlign w:val="bottom"/>
          </w:tcPr>
          <w:p>
            <w:pPr>
              <w:spacing w:after="0"/>
              <w:rPr>
                <w:sz w:val="1"/>
                <w:szCs w:val="1"/>
                <w:color w:val="auto"/>
              </w:rPr>
            </w:pPr>
          </w:p>
        </w:tc>
      </w:tr>
      <w:tr>
        <w:trPr>
          <w:trHeight w:val="55"/>
        </w:trPr>
        <w:tc>
          <w:tcPr>
            <w:tcW w:w="1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Distributions of Excess Cash</w:t>
            </w: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Borders>
              <w:bottom w:val="single" w:sz="8" w:color="231F20"/>
            </w:tcBorders>
            <w:gridSpan w:val="2"/>
            <w:vMerge w:val="continue"/>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231F20"/>
                <w:w w:val="99"/>
              </w:rPr>
              <w:t>Excess Cash</w:t>
            </w:r>
          </w:p>
        </w:tc>
        <w:tc>
          <w:tcPr>
            <w:tcW w:w="90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231F20"/>
                <w:w w:val="99"/>
              </w:rPr>
              <w:t>Decrease in</w:t>
            </w: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231F20"/>
              </w:rPr>
              <w:t>Decrease in</w:t>
            </w:r>
          </w:p>
        </w:tc>
        <w:tc>
          <w:tcPr>
            <w:tcW w:w="0" w:type="dxa"/>
            <w:vAlign w:val="bottom"/>
          </w:tcPr>
          <w:p>
            <w:pPr>
              <w:spacing w:after="0"/>
              <w:rPr>
                <w:sz w:val="1"/>
                <w:szCs w:val="1"/>
                <w:color w:val="auto"/>
              </w:rPr>
            </w:pPr>
          </w:p>
        </w:tc>
      </w:tr>
      <w:tr>
        <w:trPr>
          <w:trHeight w:val="141"/>
        </w:trPr>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231F20"/>
                <w:w w:val="99"/>
              </w:rPr>
              <w:t>Distributed</w:t>
            </w:r>
          </w:p>
        </w:tc>
        <w:tc>
          <w:tcPr>
            <w:tcW w:w="90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231F20"/>
                <w:w w:val="99"/>
              </w:rPr>
              <w:t>Net Cash Flow</w:t>
            </w:r>
          </w:p>
        </w:tc>
        <w:tc>
          <w:tcPr>
            <w:tcW w:w="1140" w:type="dxa"/>
            <w:vAlign w:val="bottom"/>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231F20"/>
                <w:w w:val="99"/>
              </w:rPr>
              <w:t>Net Cash Flow</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During Year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DSCR as of</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Before</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6"/>
              </w:rPr>
              <w:t>Before</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Issuer 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Notes/Securities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Cash Trap</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Amortization</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Ended</w:t>
            </w:r>
          </w:p>
        </w:tc>
        <w:tc>
          <w:tcPr>
            <w:tcW w:w="900" w:type="dxa"/>
            <w:vAlign w:val="bottom"/>
            <w:vMerge w:val="continue"/>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Triggering</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Triggering</w:t>
            </w: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December 31,</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December</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Cash Trap</w:t>
            </w: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Minimum</w:t>
            </w:r>
          </w:p>
        </w:tc>
        <w:tc>
          <w:tcPr>
            <w:tcW w:w="0" w:type="dxa"/>
            <w:vAlign w:val="bottom"/>
          </w:tcPr>
          <w:p>
            <w:pPr>
              <w:spacing w:after="0"/>
              <w:rPr>
                <w:sz w:val="1"/>
                <w:szCs w:val="1"/>
                <w:color w:val="auto"/>
              </w:rPr>
            </w:pPr>
          </w:p>
        </w:tc>
      </w:tr>
      <w:tr>
        <w:trPr>
          <w:trHeight w:val="214"/>
        </w:trPr>
        <w:tc>
          <w:tcPr>
            <w:tcW w:w="1100" w:type="dxa"/>
            <w:vAlign w:val="bottom"/>
          </w:tcPr>
          <w:p>
            <w:pPr>
              <w:spacing w:after="0"/>
              <w:rPr>
                <w:sz w:val="18"/>
                <w:szCs w:val="18"/>
                <w:color w:val="auto"/>
              </w:rPr>
            </w:pPr>
          </w:p>
        </w:tc>
        <w:tc>
          <w:tcPr>
            <w:tcW w:w="13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Borrower</w:t>
            </w:r>
          </w:p>
        </w:tc>
        <w:tc>
          <w:tcPr>
            <w:tcW w:w="1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Issued</w:t>
            </w: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DSCR</w:t>
            </w:r>
          </w:p>
        </w:tc>
        <w:tc>
          <w:tcPr>
            <w:tcW w:w="11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900" w:type="dxa"/>
            <w:vAlign w:val="bottom"/>
            <w:tcBorders>
              <w:bottom w:val="single" w:sz="8" w:color="231F20"/>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231F20"/>
              </w:rPr>
              <w:t>31, 2025</w:t>
            </w: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DSCR (1)</w:t>
            </w: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DSCR (1)</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(in millions)</w:t>
            </w:r>
          </w:p>
        </w:tc>
        <w:tc>
          <w:tcPr>
            <w:tcW w:w="9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(in millions)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(in millions)</w:t>
            </w:r>
          </w:p>
        </w:tc>
        <w:tc>
          <w:tcPr>
            <w:tcW w:w="0" w:type="dxa"/>
            <w:vAlign w:val="bottom"/>
          </w:tcPr>
          <w:p>
            <w:pPr>
              <w:spacing w:after="0"/>
              <w:rPr>
                <w:sz w:val="1"/>
                <w:szCs w:val="1"/>
                <w:color w:val="auto"/>
              </w:rPr>
            </w:pPr>
          </w:p>
        </w:tc>
      </w:tr>
      <w:tr>
        <w:trPr>
          <w:trHeight w:val="24"/>
        </w:trPr>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9"/>
              </w:rPr>
              <w:t>Trust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w w:val="99"/>
              </w:rPr>
              <w:t>AMT Asset Subs</w:t>
            </w:r>
          </w:p>
        </w:tc>
        <w:tc>
          <w:tcPr>
            <w:tcW w:w="122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w w:val="98"/>
              </w:rPr>
              <w:t>Secured Tower</w:t>
            </w: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rPr>
              <w:t>1.30x,</w:t>
            </w:r>
          </w:p>
        </w:tc>
        <w:tc>
          <w:tcPr>
            <w:tcW w:w="112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w w:val="99"/>
              </w:rPr>
              <w:t>(3)(4)</w:t>
            </w:r>
          </w:p>
        </w:tc>
        <w:tc>
          <w:tcPr>
            <w:tcW w:w="11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rPr>
              <w:t>$563.2</w:t>
            </w:r>
          </w:p>
        </w:tc>
        <w:tc>
          <w:tcPr>
            <w:tcW w:w="9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rPr>
              <w:t>6.38x</w:t>
            </w:r>
          </w:p>
        </w:tc>
        <w:tc>
          <w:tcPr>
            <w:tcW w:w="114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rPr>
              <w:t>$457.2</w:t>
            </w:r>
          </w:p>
        </w:tc>
        <w:tc>
          <w:tcPr>
            <w:tcW w:w="114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231F20"/>
                <w:w w:val="96"/>
              </w:rPr>
              <w:t>$470.7</w:t>
            </w:r>
          </w:p>
        </w:tc>
        <w:tc>
          <w:tcPr>
            <w:tcW w:w="0" w:type="dxa"/>
            <w:vAlign w:val="bottom"/>
          </w:tcPr>
          <w:p>
            <w:pPr>
              <w:spacing w:after="0"/>
              <w:rPr>
                <w:sz w:val="1"/>
                <w:szCs w:val="1"/>
                <w:color w:val="auto"/>
              </w:rPr>
            </w:pPr>
          </w:p>
        </w:tc>
      </w:tr>
      <w:tr>
        <w:trPr>
          <w:trHeight w:val="180"/>
        </w:trPr>
        <w:tc>
          <w:tcPr>
            <w:tcW w:w="1100" w:type="dxa"/>
            <w:vAlign w:val="bottom"/>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231F20"/>
                <w:w w:val="98"/>
              </w:rPr>
              <w:t>Securitization</w:t>
            </w:r>
          </w:p>
        </w:tc>
        <w:tc>
          <w:tcPr>
            <w:tcW w:w="13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231F20"/>
              </w:rPr>
              <w:t>Revenue</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231F20"/>
                <w:w w:val="99"/>
              </w:rPr>
              <w:t>Tested</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231F20"/>
              </w:rPr>
              <w:t>Securities,</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231F20"/>
              </w:rPr>
              <w:t>Quarterly</w:t>
            </w: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231F20"/>
                <w:w w:val="99"/>
              </w:rPr>
              <w:t>Series 2023-1,</w:t>
            </w:r>
          </w:p>
        </w:tc>
        <w:tc>
          <w:tcPr>
            <w:tcW w:w="960" w:type="dxa"/>
            <w:vAlign w:val="bottom"/>
          </w:tcPr>
          <w:p>
            <w:pPr>
              <w:jc w:val="right"/>
              <w:ind w:right="275"/>
              <w:spacing w:after="0" w:line="200" w:lineRule="exact"/>
              <w:rPr>
                <w:sz w:val="20"/>
                <w:szCs w:val="20"/>
                <w:color w:val="auto"/>
              </w:rPr>
            </w:pPr>
            <w:r>
              <w:rPr>
                <w:rFonts w:ascii="Times New Roman" w:cs="Times New Roman" w:eastAsia="Times New Roman" w:hAnsi="Times New Roman"/>
                <w:sz w:val="18"/>
                <w:szCs w:val="18"/>
                <w:color w:val="231F20"/>
              </w:rPr>
              <w:t>(2)</w:t>
            </w: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-494030</wp:posOffset>
            </wp:positionV>
            <wp:extent cx="6527800" cy="2365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6527800" cy="2365375"/>
                    </a:xfrm>
                    <a:prstGeom prst="rect">
                      <a:avLst/>
                    </a:prstGeom>
                    <a:noFill/>
                  </pic:spPr>
                </pic:pic>
              </a:graphicData>
            </a:graphic>
          </wp:anchor>
        </w:drawing>
      </w:r>
    </w:p>
    <w:p>
      <w:pPr>
        <w:jc w:val="center"/>
        <w:ind w:right="3770"/>
        <w:spacing w:after="0" w:line="208" w:lineRule="auto"/>
        <w:rPr>
          <w:sz w:val="20"/>
          <w:szCs w:val="20"/>
          <w:color w:val="auto"/>
        </w:rPr>
      </w:pPr>
      <w:r>
        <w:rPr>
          <w:rFonts w:ascii="Times New Roman" w:cs="Times New Roman" w:eastAsia="Times New Roman" w:hAnsi="Times New Roman"/>
          <w:sz w:val="18"/>
          <w:szCs w:val="18"/>
          <w:color w:val="231F20"/>
        </w:rPr>
        <w:t>Subclass A,</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Secured Tower</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Revenue</w:t>
      </w:r>
    </w:p>
    <w:p>
      <w:pPr>
        <w:jc w:val="center"/>
        <w:ind w:right="3770"/>
        <w:spacing w:after="0" w:line="208" w:lineRule="auto"/>
        <w:rPr>
          <w:sz w:val="20"/>
          <w:szCs w:val="20"/>
          <w:color w:val="auto"/>
        </w:rPr>
      </w:pPr>
      <w:r>
        <w:rPr>
          <w:rFonts w:ascii="Times New Roman" w:cs="Times New Roman" w:eastAsia="Times New Roman" w:hAnsi="Times New Roman"/>
          <w:sz w:val="18"/>
          <w:szCs w:val="18"/>
          <w:color w:val="231F20"/>
        </w:rPr>
        <w:t>Securities,</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Series 2023-1,</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Subclass R,</w:t>
      </w:r>
    </w:p>
    <w:p>
      <w:pPr>
        <w:jc w:val="center"/>
        <w:ind w:right="3770"/>
        <w:spacing w:after="0" w:line="208" w:lineRule="auto"/>
        <w:rPr>
          <w:sz w:val="20"/>
          <w:szCs w:val="20"/>
          <w:color w:val="auto"/>
        </w:rPr>
      </w:pPr>
      <w:r>
        <w:rPr>
          <w:rFonts w:ascii="Times New Roman" w:cs="Times New Roman" w:eastAsia="Times New Roman" w:hAnsi="Times New Roman"/>
          <w:sz w:val="18"/>
          <w:szCs w:val="18"/>
          <w:color w:val="231F20"/>
        </w:rPr>
        <w:t>Secured Tower</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Revenue</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Securities,</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Series 2018-1,</w:t>
      </w:r>
    </w:p>
    <w:p>
      <w:pPr>
        <w:jc w:val="center"/>
        <w:ind w:right="3770"/>
        <w:spacing w:after="0" w:line="208" w:lineRule="auto"/>
        <w:rPr>
          <w:sz w:val="20"/>
          <w:szCs w:val="20"/>
          <w:color w:val="auto"/>
        </w:rPr>
      </w:pPr>
      <w:r>
        <w:rPr>
          <w:rFonts w:ascii="Times New Roman" w:cs="Times New Roman" w:eastAsia="Times New Roman" w:hAnsi="Times New Roman"/>
          <w:sz w:val="18"/>
          <w:szCs w:val="18"/>
          <w:color w:val="231F20"/>
        </w:rPr>
        <w:t>Subclass A and</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Secured Tower</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Revenue</w:t>
      </w:r>
    </w:p>
    <w:p>
      <w:pPr>
        <w:jc w:val="center"/>
        <w:ind w:right="3770"/>
        <w:spacing w:after="0" w:line="208" w:lineRule="auto"/>
        <w:rPr>
          <w:sz w:val="20"/>
          <w:szCs w:val="20"/>
          <w:color w:val="auto"/>
        </w:rPr>
      </w:pPr>
      <w:r>
        <w:rPr>
          <w:rFonts w:ascii="Times New Roman" w:cs="Times New Roman" w:eastAsia="Times New Roman" w:hAnsi="Times New Roman"/>
          <w:sz w:val="18"/>
          <w:szCs w:val="18"/>
          <w:color w:val="231F20"/>
        </w:rPr>
        <w:t>Securities,</w:t>
      </w:r>
    </w:p>
    <w:p>
      <w:pPr>
        <w:jc w:val="center"/>
        <w:ind w:right="3770"/>
        <w:spacing w:after="0" w:line="209" w:lineRule="auto"/>
        <w:rPr>
          <w:sz w:val="20"/>
          <w:szCs w:val="20"/>
          <w:color w:val="auto"/>
        </w:rPr>
      </w:pPr>
      <w:r>
        <w:rPr>
          <w:rFonts w:ascii="Times New Roman" w:cs="Times New Roman" w:eastAsia="Times New Roman" w:hAnsi="Times New Roman"/>
          <w:sz w:val="18"/>
          <w:szCs w:val="18"/>
          <w:color w:val="231F20"/>
        </w:rPr>
        <w:t>Series 2018-1,</w:t>
      </w:r>
    </w:p>
    <w:p>
      <w:pPr>
        <w:spacing w:after="0" w:line="1" w:lineRule="exact"/>
        <w:rPr>
          <w:sz w:val="20"/>
          <w:szCs w:val="20"/>
          <w:color w:val="auto"/>
        </w:rPr>
      </w:pPr>
    </w:p>
    <w:p>
      <w:pPr>
        <w:jc w:val="center"/>
        <w:ind w:right="3770"/>
        <w:spacing w:after="0"/>
        <w:rPr>
          <w:sz w:val="20"/>
          <w:szCs w:val="20"/>
          <w:color w:val="auto"/>
        </w:rPr>
      </w:pPr>
      <w:r>
        <w:rPr>
          <w:rFonts w:ascii="Times New Roman" w:cs="Times New Roman" w:eastAsia="Times New Roman" w:hAnsi="Times New Roman"/>
          <w:sz w:val="18"/>
          <w:szCs w:val="18"/>
          <w:color w:val="231F20"/>
        </w:rPr>
        <w:t>Subclass R</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hanging="370"/>
        <w:spacing w:after="0"/>
        <w:tabs>
          <w:tab w:leader="none" w:pos="37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on the net cash flow of the issuer or borrower as of December 31, 2025 and the expenses payable over the next 12 months on the Loan.</w:t>
      </w:r>
    </w:p>
    <w:p>
      <w:pPr>
        <w:spacing w:after="0" w:line="8" w:lineRule="exact"/>
        <w:rPr>
          <w:rFonts w:ascii="Times New Roman" w:cs="Times New Roman" w:eastAsia="Times New Roman" w:hAnsi="Times New Roman"/>
          <w:sz w:val="16"/>
          <w:szCs w:val="16"/>
          <w:color w:val="231F20"/>
        </w:rPr>
      </w:pPr>
    </w:p>
    <w:p>
      <w:pPr>
        <w:ind w:left="370" w:right="360" w:hanging="370"/>
        <w:spacing w:after="0" w:line="250" w:lineRule="auto"/>
        <w:tabs>
          <w:tab w:leader="none" w:pos="37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If the DSCR were equal to or below 1.30x (the “Cash Trap DSCR”) for any quarter,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applicable issuer or borrower. Once triggered, a Cash Trap DSCR condition continues to exist until the DSCR exceeds the Cash Trap DSCR for two consecutive calendar quarters.</w:t>
      </w:r>
    </w:p>
    <w:p>
      <w:pPr>
        <w:spacing w:after="0" w:line="1" w:lineRule="exact"/>
        <w:rPr>
          <w:rFonts w:ascii="Times New Roman" w:cs="Times New Roman" w:eastAsia="Times New Roman" w:hAnsi="Times New Roman"/>
          <w:sz w:val="16"/>
          <w:szCs w:val="16"/>
          <w:color w:val="231F20"/>
        </w:rPr>
      </w:pPr>
    </w:p>
    <w:p>
      <w:pPr>
        <w:ind w:left="370" w:right="200" w:hanging="370"/>
        <w:spacing w:after="0" w:line="250" w:lineRule="auto"/>
        <w:tabs>
          <w:tab w:leader="none" w:pos="37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 amortization period commences if the DSCR is equal to or below 1.15x (the “Minimum DSCR”) at the end of any calendar quarter and continues to exist until the DSCR exceeds the Minimum DSCR for two consecutive calendar quarters.</w:t>
      </w:r>
    </w:p>
    <w:p>
      <w:pPr>
        <w:ind w:left="370" w:right="160" w:hanging="370"/>
        <w:spacing w:after="0" w:line="260" w:lineRule="auto"/>
        <w:tabs>
          <w:tab w:leader="none" w:pos="37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 amortization period exists if the outstanding principal amount has not been paid in full on the applicable anticipated repayment date and continues to exist until the principal has been repaid in full.</w:t>
      </w:r>
    </w:p>
    <w:p>
      <w:pPr>
        <w:spacing w:after="0" w:line="117"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231F20"/>
        </w:rPr>
        <w:t>A failure to meet the noted DSCR tests could prevent the AMT Asset Subs from distributing excess cash flow to us, which could affect our ability to fund our capital expenditures, including tower construction and acquisitions and to meet REIT distribution requirements. During an “amortization period,” all excess cash flow and any amounts then in the applicable Cash Trap Reserve Account would be applied to pay the principal of the Loan on each monthly payment date, and so would not be available for distribution to us. Further, additional interest will begin to accrue with respect to the Loan from and after the anticipated repayment date at a per annum rate determined in accordance with the applicable agreement. Furthermore, if the AMT Asset Subs were to default on the Loan, the trustee may seek to foreclose upon or otherwise convert the ownership of all or any portion of the 5,023 broadcast and wireless communications towers and related assets that secure the Loan, in which case we could lose those sites and their associated revenue.</w:t>
      </w:r>
    </w:p>
    <w:p>
      <w:pPr>
        <w:spacing w:after="0" w:line="129"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231F20"/>
        </w:rPr>
        <w:t>As discussed above, we use our available liquidity and seek new sources of liquidity to fund capital expenditures, future growth and expansion initiatives, satisfy our distribution requirements and repay or repurchase our debt. If we determine that it is desirable or necessary to raise additional capital, we may be unable to do so, or such additional financing may be prohibitively expensive or restricted by the terms of our outstanding indebtedness. Further, as discussed under Item 1A of this Annual Report under the caption “Risk Factors,” market volatility and disruption caused by inflation, high interest rates and supply chain disruptions may impact our ability to raise additional capital through debt financing activities or our ability to repay or refinance maturing liabilities, or impact the terms of any new obligations. If we are unable to raise capital when our needs arise, we may not be able to fund capital expenditures, future growth and expansion initiatives, satisfy our REIT distribution requirements and debt service obligations, or refinance our existing indebtedness.</w:t>
      </w:r>
    </w:p>
    <w:p>
      <w:pPr>
        <w:spacing w:after="0" w:line="129"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231F20"/>
        </w:rPr>
        <w:t>In addition, our liquidity depends on our ability to generate cash flow from operating activities. As set forth under Item 1A of this Annual Report under the caption “Risk Factors,” we derive a substantial portion of our current and projected future revenue from a small number of customers and, consequently, a failure by a significant customer to perform its contractual obligations to us could adversely affect our cash flow and liquidity.</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270"/>
          </w:cols>
          <w:pgMar w:left="810" w:top="393" w:right="80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231F20"/>
        </w:rPr>
        <w:t>Management’s discussion and analysis of financial condition and results of operations are based upon our consolidated financial statements, which have been prepared in accordance with GAAP. The preparation of these financial statements requires us to make estimates and assumptions that affect the reported amounts of assets, liabilities, revenues and expenses, as well as related disclosures of contingent assets and liabilities. We evaluate our policies and estimates on an ongoing basis. Management bases its estimates on historical experience and various other assumptions that are believed to be reasonable under the circumstances, the results of which form the basis for making judgments about the carrying amounts of assets and liabilities that are not readily apparent from other sources. Actual results may differ from these estimates under different assumptions or conditions.</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have reviewed our policies and estimates to determine our critical accounting policies for the year ended December 31, 2025. We have identified the following policies as critical to an understanding of our results of operations and financial condition. This is not a comprehensive list of our accounting policies. See note 1 to our consolidated financial statements included in this Annual Report for a summary of our significant accounting policies. In many cases, the accounting treatment of a particular transaction is specifically dictated by GAAP, with no need for management’s judgment in its application. There are also areas in which management’s judgment in selecting any available alternative would not produce a materially different result.</w:t>
      </w:r>
    </w:p>
    <w:p>
      <w:pPr>
        <w:spacing w:after="0" w:line="166" w:lineRule="exact"/>
        <w:rPr>
          <w:sz w:val="20"/>
          <w:szCs w:val="20"/>
          <w:color w:val="auto"/>
        </w:rPr>
      </w:pPr>
    </w:p>
    <w:p>
      <w:pPr>
        <w:ind w:left="720" w:right="160" w:hanging="370"/>
        <w:spacing w:after="0" w:line="268" w:lineRule="auto"/>
        <w:tabs>
          <w:tab w:leader="none" w:pos="720" w:val="left"/>
        </w:tabs>
        <w:numPr>
          <w:ilvl w:val="0"/>
          <w:numId w:val="64"/>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Impairment of Assets—Assets Subject to Depreciation and Amortization</w:t>
      </w:r>
      <w:r>
        <w:rPr>
          <w:rFonts w:ascii="Times New Roman" w:cs="Times New Roman" w:eastAsia="Times New Roman" w:hAnsi="Times New Roman"/>
          <w:sz w:val="20"/>
          <w:szCs w:val="20"/>
          <w:color w:val="231F20"/>
        </w:rPr>
        <w:t>: We review long-lived assets for impairment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at least annually or whenever events, changes in circumstances or other indicators or evidence indicate that the carrying amount of our assets may not be recoverable.</w:t>
      </w:r>
    </w:p>
    <w:p>
      <w:pPr>
        <w:spacing w:after="0" w:line="53" w:lineRule="exact"/>
        <w:rPr>
          <w:rFonts w:ascii="Times New Roman" w:cs="Times New Roman" w:eastAsia="Times New Roman" w:hAnsi="Times New Roman"/>
          <w:sz w:val="20"/>
          <w:szCs w:val="20"/>
          <w:i w:val="1"/>
          <w:iCs w:val="1"/>
          <w:color w:val="231F20"/>
        </w:rPr>
      </w:pPr>
    </w:p>
    <w:p>
      <w:pPr>
        <w:ind w:left="720" w:right="80"/>
        <w:spacing w:after="0" w:line="256"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We review our tower and data center portfolios, network location intangible and right-of-use assets for indicators of impairment at the lowest level of identifiable cash flows, typically at an individual tower or data center basis. Possible indicators include a site not having current tenant leases or having expenses in excess of revenues. A cash flow modeling approach is utilized to assess recoverability and incorporates, among other items, the location, the location demographics, the timing of additions of new tenants, lease rates and estimated length of tenancy and ongoing cash requirements.</w:t>
      </w:r>
    </w:p>
    <w:p>
      <w:pPr>
        <w:spacing w:after="0" w:line="68" w:lineRule="exact"/>
        <w:rPr>
          <w:rFonts w:ascii="Times New Roman" w:cs="Times New Roman" w:eastAsia="Times New Roman" w:hAnsi="Times New Roman"/>
          <w:sz w:val="20"/>
          <w:szCs w:val="20"/>
          <w:i w:val="1"/>
          <w:iCs w:val="1"/>
          <w:color w:val="231F20"/>
        </w:rPr>
      </w:pPr>
    </w:p>
    <w:p>
      <w:pPr>
        <w:ind w:left="720" w:right="160"/>
        <w:spacing w:after="0" w:line="260"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We review our tenant-related intangible assets on a tenant by tenant basis for indicators of impairment, such as high levels of turnover or attrition, non-renewal of a significant number of contracts or the cancellation or termination of a relationship. We assess recoverability by determining whether the carrying amount of the tenant-related intangible assets will be recovered primarily through projected undiscounted future cash flows.</w:t>
      </w:r>
    </w:p>
    <w:p>
      <w:pPr>
        <w:spacing w:after="0" w:line="63" w:lineRule="exact"/>
        <w:rPr>
          <w:rFonts w:ascii="Times New Roman" w:cs="Times New Roman" w:eastAsia="Times New Roman" w:hAnsi="Times New Roman"/>
          <w:sz w:val="20"/>
          <w:szCs w:val="20"/>
          <w:i w:val="1"/>
          <w:iCs w:val="1"/>
          <w:color w:val="231F20"/>
        </w:rPr>
      </w:pPr>
    </w:p>
    <w:p>
      <w:pPr>
        <w:ind w:left="720" w:right="20"/>
        <w:spacing w:after="0" w:line="258"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If the sum of the estimated undiscounted future cash flows of our long-lived assets is less than the carrying amount of the assets, an impairment loss may be recognized. Key assumptions included in the undiscounted cash flows are future revenue projections, estimates of ongoing tenancies and operating margins. An impairment loss would be based on the fair value of the asset, which is based on an estimate of discounted future cash flows to be provided from the asset. We record any related impairment charge in the period in which we identify such impairment.</w:t>
      </w:r>
    </w:p>
    <w:p>
      <w:pPr>
        <w:spacing w:after="0" w:line="160" w:lineRule="exact"/>
        <w:rPr>
          <w:rFonts w:ascii="Times New Roman" w:cs="Times New Roman" w:eastAsia="Times New Roman" w:hAnsi="Times New Roman"/>
          <w:sz w:val="20"/>
          <w:szCs w:val="20"/>
          <w:i w:val="1"/>
          <w:iCs w:val="1"/>
          <w:color w:val="231F20"/>
        </w:rPr>
      </w:pPr>
    </w:p>
    <w:p>
      <w:pPr>
        <w:ind w:left="720" w:right="180" w:hanging="370"/>
        <w:spacing w:after="0" w:line="254" w:lineRule="auto"/>
        <w:tabs>
          <w:tab w:leader="none" w:pos="720" w:val="left"/>
        </w:tabs>
        <w:numPr>
          <w:ilvl w:val="0"/>
          <w:numId w:val="64"/>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 xml:space="preserve">Impairment of Assets—Goodwill: </w:t>
      </w:r>
      <w:r>
        <w:rPr>
          <w:rFonts w:ascii="Times New Roman" w:cs="Times New Roman" w:eastAsia="Times New Roman" w:hAnsi="Times New Roman"/>
          <w:sz w:val="20"/>
          <w:szCs w:val="20"/>
          <w:color w:val="231F20"/>
        </w:rPr>
        <w:t>We review goodwill for impairment at least annually (as of December 31)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whenever events or circumstances indicate the carrying amount of an asset may not be recoverable. Goodwill is recorded in the applicable segment and assessed for impairment at the reporting unit level. We employ a discounted cash flow analysis when testing goodwill for impairment. The key assumptions utilized in the discounted cash flow analysis include current operating performance, terminal revenue growth rate, management’s expectations of future operating results and cash requirements, the current weighted average cost of capital and an expected tax rate. We compare the fair value of the reporting unit, as calculated under an income approach using future discounted cash flows, to the carrying amount of the applicable reporting unit. If the carrying amount exceeds the fair value, an impairment loss would be recognized for the amount of the excess. The loss recognized is limited to the total amount of goodwill allocated to that reporting unit.</w:t>
      </w:r>
    </w:p>
    <w:p>
      <w:pPr>
        <w:spacing w:after="0" w:line="69" w:lineRule="exact"/>
        <w:rPr>
          <w:rFonts w:ascii="Times New Roman" w:cs="Times New Roman" w:eastAsia="Times New Roman" w:hAnsi="Times New Roman"/>
          <w:sz w:val="20"/>
          <w:szCs w:val="20"/>
          <w:i w:val="1"/>
          <w:iCs w:val="1"/>
          <w:color w:val="231F20"/>
        </w:rPr>
      </w:pPr>
    </w:p>
    <w:p>
      <w:pPr>
        <w:ind w:left="720" w:right="80"/>
        <w:spacing w:after="0" w:line="254"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During the year ended December 31, 2023, the results of our annual goodwill impairment test indicated that the carrying amount of our Spain reporting unit exceeded its estimated fair value, as calculated under an income approach using future discounted cash flows. As a result, we recorded a goodwill impairment charge of $80.0 million. The key assumptions utilized in the discounted cash flow analysis include current operating performance, terminal revenue growth rate, management’s expectations of future operating results and cash requirements, the current weighted average cost of capital and an expected tax rate. The reduction in the fair value of the Spain reporting unit was due to an increase in the weighted average cost of capital. The goodwill impairment charge in Spain was recorded in Goodwill impairment in the accompanying consolidated statements of operations.</w:t>
      </w:r>
    </w:p>
    <w:p>
      <w:pPr>
        <w:spacing w:after="0" w:line="72" w:lineRule="exact"/>
        <w:rPr>
          <w:rFonts w:ascii="Times New Roman" w:cs="Times New Roman" w:eastAsia="Times New Roman" w:hAnsi="Times New Roman"/>
          <w:sz w:val="20"/>
          <w:szCs w:val="20"/>
          <w:i w:val="1"/>
          <w:iCs w:val="1"/>
          <w:color w:val="231F20"/>
        </w:rPr>
      </w:pPr>
    </w:p>
    <w:p>
      <w:pPr>
        <w:ind w:left="720"/>
        <w:spacing w:after="0" w:line="286"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19"/>
          <w:szCs w:val="19"/>
          <w:color w:val="231F20"/>
        </w:rPr>
        <w:t>During the year ended December 31, 2025, we estimated the fair value of the Bangladesh reporting unit using, among other things, indications of value received from third parties in connection with the review of various strategic alternatives for our Bangladesh operations. As a result, we recorded a goodwill impairment charge of $6.5 million. The</w:t>
      </w:r>
    </w:p>
    <w:p>
      <w:pPr>
        <w:sectPr>
          <w:pgSz w:w="11880" w:h="15480" w:orient="portrait"/>
          <w:cols w:equalWidth="0" w:num="1">
            <w:col w:w="10240"/>
          </w:cols>
          <w:pgMar w:left="820" w:top="386" w:right="820" w:bottom="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240"/>
          </w:cols>
          <w:pgMar w:left="820" w:top="386" w:right="820" w:bottom="0" w:gutter="0" w:footer="0" w:header="0"/>
          <w:type w:val="continuous"/>
        </w:sectPr>
      </w:pPr>
    </w:p>
    <w:bookmarkStart w:id="68" w:name="page69"/>
    <w:bookmarkEnd w:id="68"/>
    <w:p>
      <w:pPr>
        <w:ind w:left="370"/>
        <w:spacing w:after="0" w:line="281" w:lineRule="auto"/>
        <w:rPr>
          <w:sz w:val="20"/>
          <w:szCs w:val="20"/>
          <w:color w:val="auto"/>
        </w:rPr>
      </w:pPr>
      <w:r>
        <w:rPr>
          <w:rFonts w:ascii="Times New Roman" w:cs="Times New Roman" w:eastAsia="Times New Roman" w:hAnsi="Times New Roman"/>
          <w:sz w:val="20"/>
          <w:szCs w:val="20"/>
          <w:color w:val="231F20"/>
        </w:rPr>
        <w:t>goodwill impairment charge is recorded in Other operating expense in the consolidated statements of operations for the year ended December 31, 2025.</w:t>
      </w:r>
    </w:p>
    <w:p>
      <w:pPr>
        <w:spacing w:after="0" w:line="101" w:lineRule="exact"/>
        <w:rPr>
          <w:sz w:val="20"/>
          <w:szCs w:val="20"/>
          <w:color w:val="auto"/>
        </w:rPr>
      </w:pPr>
    </w:p>
    <w:p>
      <w:pPr>
        <w:ind w:left="370" w:right="180"/>
        <w:spacing w:after="0" w:line="281" w:lineRule="auto"/>
        <w:rPr>
          <w:sz w:val="20"/>
          <w:szCs w:val="20"/>
          <w:color w:val="auto"/>
        </w:rPr>
      </w:pPr>
      <w:r>
        <w:rPr>
          <w:rFonts w:ascii="Times New Roman" w:cs="Times New Roman" w:eastAsia="Times New Roman" w:hAnsi="Times New Roman"/>
          <w:sz w:val="20"/>
          <w:szCs w:val="20"/>
          <w:color w:val="231F20"/>
        </w:rPr>
        <w:t>During the year ended December 31, 2025, no other potential goodwill impairment was identified as the fair value of each of our reporting units was in excess of its carrying amount.</w:t>
      </w:r>
    </w:p>
    <w:p>
      <w:pPr>
        <w:spacing w:after="0" w:line="138" w:lineRule="exact"/>
        <w:rPr>
          <w:sz w:val="20"/>
          <w:szCs w:val="20"/>
          <w:color w:val="auto"/>
        </w:rPr>
      </w:pPr>
    </w:p>
    <w:p>
      <w:pPr>
        <w:ind w:left="370" w:right="20" w:hanging="370"/>
        <w:spacing w:after="0" w:line="270" w:lineRule="auto"/>
        <w:tabs>
          <w:tab w:leader="none" w:pos="370" w:val="left"/>
        </w:tabs>
        <w:numPr>
          <w:ilvl w:val="0"/>
          <w:numId w:val="65"/>
        </w:numPr>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19"/>
          <w:szCs w:val="19"/>
          <w:i w:val="1"/>
          <w:iCs w:val="1"/>
          <w:color w:val="231F20"/>
        </w:rPr>
        <w:t xml:space="preserve">Revenue Recognition: </w:t>
      </w:r>
      <w:r>
        <w:rPr>
          <w:rFonts w:ascii="Times New Roman" w:cs="Times New Roman" w:eastAsia="Times New Roman" w:hAnsi="Times New Roman"/>
          <w:sz w:val="19"/>
          <w:szCs w:val="19"/>
          <w:color w:val="231F20"/>
        </w:rPr>
        <w:t>Our revenue is derived from leasing the right to use our communications sites, the land on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which the sites are located, the land underlying our customers’ sites and the space in our data center facilities (the “lease component”) and from the reimbursement of costs incurred in operating the communications sites and data center facilities and supporting the customers’ equipment as well as other services and contractual rights (the “non-lease component”). Most of our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we separately determine the stand-alone selling prices and pattern of revenue recognition for each performance obligation.</w:t>
      </w:r>
    </w:p>
    <w:p>
      <w:pPr>
        <w:spacing w:after="0" w:line="157" w:lineRule="exact"/>
        <w:rPr>
          <w:rFonts w:ascii="Times New Roman" w:cs="Times New Roman" w:eastAsia="Times New Roman" w:hAnsi="Times New Roman"/>
          <w:sz w:val="19"/>
          <w:szCs w:val="19"/>
          <w:i w:val="1"/>
          <w:iCs w:val="1"/>
          <w:color w:val="231F20"/>
        </w:rPr>
      </w:pPr>
    </w:p>
    <w:p>
      <w:pPr>
        <w:ind w:left="370"/>
        <w:spacing w:after="0" w:line="253" w:lineRule="auto"/>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20"/>
          <w:szCs w:val="20"/>
          <w:color w:val="231F20"/>
        </w:rPr>
        <w:t>Our revenue from leasing arrangements, including fixed escalation clauses present in non-cancellable lease arrangements, is reported on a straight-line basis over the term of the respective leases when collectibility is probable. Escalation clauses tied to a consumer price index or other inflation-based indices, and other variable incentives present in lease agreements with our tenants, are excluded from the straight-line calculation. Total property straight-line revenues for the years ended December 31, 2025, 2024 and 2023 were $101.0 million, $277.6 million and $465.4 million, respectively. Amounts billed upfront in connection with the execution of lease agreements are initially deferred and reflected in Unearned revenue in the accompanying consolidated balance sheets and recognized as revenue over the terms of the applicable lease arrangements. Amounts billed or received for services prior to being earned are deferred and reflected in Unearned revenue in the accompanying consolidated balance sheets until the criteria for recognition have been met. Periodically, we provide lease incentives to our tenants. If incentives are present in our leases, they are evaluated to determine proper treatment and, to the extent present, are recorded in Other current assets and Other non-current assets in the consolidated balance sheets and amortized on a straight line basis over the corresponding lease term as a non-cash reduction to revenue.</w:t>
      </w:r>
    </w:p>
    <w:p>
      <w:pPr>
        <w:spacing w:after="0" w:line="168" w:lineRule="exact"/>
        <w:rPr>
          <w:rFonts w:ascii="Times New Roman" w:cs="Times New Roman" w:eastAsia="Times New Roman" w:hAnsi="Times New Roman"/>
          <w:sz w:val="19"/>
          <w:szCs w:val="19"/>
          <w:i w:val="1"/>
          <w:iCs w:val="1"/>
          <w:color w:val="231F20"/>
        </w:rPr>
      </w:pPr>
    </w:p>
    <w:p>
      <w:pPr>
        <w:ind w:left="370" w:right="60"/>
        <w:spacing w:after="0" w:line="253" w:lineRule="auto"/>
        <w:rPr>
          <w:rFonts w:ascii="Times New Roman" w:cs="Times New Roman" w:eastAsia="Times New Roman" w:hAnsi="Times New Roman"/>
          <w:sz w:val="19"/>
          <w:szCs w:val="19"/>
          <w:i w:val="1"/>
          <w:iCs w:val="1"/>
          <w:color w:val="231F20"/>
        </w:rPr>
      </w:pPr>
      <w:r>
        <w:rPr>
          <w:rFonts w:ascii="Times New Roman" w:cs="Times New Roman" w:eastAsia="Times New Roman" w:hAnsi="Times New Roman"/>
          <w:sz w:val="20"/>
          <w:szCs w:val="20"/>
          <w:color w:val="231F20"/>
        </w:rPr>
        <w:t>We derive the largest portion of our revenues, corresponding trade receivables and the related deferred rent asset from a small number of customers in the telecommunications industry, with 59% of our revenues derived from four customers. In addition, we have concentrations of credit risk in certain geographic areas. We mitigate the concentrations of credit risk with respect to trade receivables and the related deferred rent assets by actively monitoring the creditworthiness of our customers. In recognizing customer revenue we assess the collectibility of both the amounts billed and the portion recognized on a straight-line basis. This assessment takes customer credit risk and business and industry conditions into consideration to ultimately determine the collectibility of the amounts billed. To the extent the amounts, based on management’s estimates, may not be collectible, recognition is deferred until such point as the uncertainty is resolved. Any amounts that were previously recognized as revenue and are subsequently determined to present a risk of collection are reserved as bad debt expense. Accounts receivable are reported net of allowances for doubtful accounts related to estimated losses resulting from a customer’s inability to make required payments and allowances for amounts invoiced whose collectibility is not reasonably assured.</w:t>
      </w:r>
    </w:p>
    <w:p>
      <w:pPr>
        <w:spacing w:after="0" w:line="166" w:lineRule="exact"/>
        <w:rPr>
          <w:rFonts w:ascii="Times New Roman" w:cs="Times New Roman" w:eastAsia="Times New Roman" w:hAnsi="Times New Roman"/>
          <w:sz w:val="19"/>
          <w:szCs w:val="19"/>
          <w:i w:val="1"/>
          <w:iCs w:val="1"/>
          <w:color w:val="231F20"/>
        </w:rPr>
      </w:pPr>
    </w:p>
    <w:p>
      <w:pPr>
        <w:ind w:left="370" w:right="80" w:hanging="370"/>
        <w:spacing w:after="0" w:line="257" w:lineRule="auto"/>
        <w:tabs>
          <w:tab w:leader="none" w:pos="370" w:val="left"/>
        </w:tabs>
        <w:numPr>
          <w:ilvl w:val="0"/>
          <w:numId w:val="6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Rent Expense and Lease Accounting: </w:t>
      </w:r>
      <w:r>
        <w:rPr>
          <w:rFonts w:ascii="Times New Roman" w:cs="Times New Roman" w:eastAsia="Times New Roman" w:hAnsi="Times New Roman"/>
          <w:sz w:val="20"/>
          <w:szCs w:val="20"/>
          <w:color w:val="231F20"/>
        </w:rPr>
        <w:t>Many of the leases underlying our tower sites and data centers have fixed rent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escalations, which provide for periodic increases in the amount of ground rent payable over time. In addition, certain of our tenant leases require us to exercise available renewal options pursuant to the underlying ground lease if the tenant exercises its renewal option. Our calculation of the lease liability includes the term of the underlying ground lease plus all periods, if any, for which failure to renew the lease imposes an economic penalty to us such that renewal appears to be reasonably assured.</w:t>
      </w:r>
    </w:p>
    <w:p>
      <w:pPr>
        <w:spacing w:after="0" w:line="66" w:lineRule="exact"/>
        <w:rPr>
          <w:rFonts w:ascii="Times New Roman" w:cs="Times New Roman" w:eastAsia="Times New Roman" w:hAnsi="Times New Roman"/>
          <w:sz w:val="20"/>
          <w:szCs w:val="20"/>
          <w:color w:val="231F20"/>
        </w:rPr>
      </w:pPr>
    </w:p>
    <w:p>
      <w:pPr>
        <w:ind w:left="370" w:right="140"/>
        <w:spacing w:after="0" w:line="266"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recognize a right-of-use lease asset and lease liability for operating and finance leases. The right-of-use asset is measured as the sum of the lease liability, prepaid or accrued lease payments, any initial direct costs incurred and any other applicable amounts.</w:t>
      </w:r>
    </w:p>
    <w:p>
      <w:pPr>
        <w:spacing w:after="0" w:line="55" w:lineRule="exact"/>
        <w:rPr>
          <w:rFonts w:ascii="Times New Roman" w:cs="Times New Roman" w:eastAsia="Times New Roman" w:hAnsi="Times New Roman"/>
          <w:sz w:val="20"/>
          <w:szCs w:val="20"/>
          <w:color w:val="231F20"/>
        </w:rPr>
      </w:pPr>
    </w:p>
    <w:p>
      <w:pPr>
        <w:ind w:left="370" w:right="220"/>
        <w:spacing w:after="0" w:line="25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calculation of the lease liability requires us to make certain assumptions for each lease, including lease term and discount rate implicit in each lease, which could significantly impact the gross lease obligation, the duration and the present value of the lease liability. When calculating the lease term, we consider the renewal, cancellation and termination rights available to us and the lessor. We determine the discount rate by calculating the incremental borrowing rate on a collateralized basis at the commencement of a lease or upon a change in the lease term.</w:t>
      </w:r>
    </w:p>
    <w:p>
      <w:pPr>
        <w:spacing w:after="0" w:line="160" w:lineRule="exact"/>
        <w:rPr>
          <w:rFonts w:ascii="Times New Roman" w:cs="Times New Roman" w:eastAsia="Times New Roman" w:hAnsi="Times New Roman"/>
          <w:sz w:val="20"/>
          <w:szCs w:val="20"/>
          <w:color w:val="231F20"/>
        </w:rPr>
      </w:pPr>
    </w:p>
    <w:p>
      <w:pPr>
        <w:ind w:left="370" w:right="140" w:hanging="370"/>
        <w:spacing w:after="0" w:line="286" w:lineRule="auto"/>
        <w:tabs>
          <w:tab w:leader="none" w:pos="370" w:val="left"/>
        </w:tabs>
        <w:numPr>
          <w:ilvl w:val="0"/>
          <w:numId w:val="65"/>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 xml:space="preserve">Income Taxes: </w:t>
      </w:r>
      <w:r>
        <w:rPr>
          <w:rFonts w:ascii="Times New Roman" w:cs="Times New Roman" w:eastAsia="Times New Roman" w:hAnsi="Times New Roman"/>
          <w:sz w:val="20"/>
          <w:szCs w:val="20"/>
          <w:color w:val="231F20"/>
        </w:rPr>
        <w:t>Accounting for income taxes requires us to estimate the timing and impact of amounts recorded in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financial statements that may be recognized differently for tax purposes. To the extent that the timing of amounts</w:t>
      </w:r>
    </w:p>
    <w:p>
      <w:pPr>
        <w:sectPr>
          <w:pgSz w:w="11880" w:h="15480" w:orient="portrait"/>
          <w:cols w:equalWidth="0" w:num="1">
            <w:col w:w="9890"/>
          </w:cols>
          <w:pgMar w:left="1170" w:top="393" w:right="820" w:bottom="0" w:gutter="0" w:footer="0" w:header="0"/>
        </w:sectPr>
      </w:pPr>
    </w:p>
    <w:p>
      <w:pPr>
        <w:spacing w:after="0" w:line="389"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890"/>
          </w:cols>
          <w:pgMar w:left="1170" w:top="393" w:right="820" w:bottom="0" w:gutter="0" w:footer="0" w:header="0"/>
          <w:type w:val="continuous"/>
        </w:sectPr>
      </w:pPr>
    </w:p>
    <w:bookmarkStart w:id="69" w:name="page70"/>
    <w:bookmarkEnd w:id="69"/>
    <w:p>
      <w:pPr>
        <w:ind w:left="730" w:right="20"/>
        <w:spacing w:after="0" w:line="256" w:lineRule="auto"/>
        <w:rPr>
          <w:sz w:val="20"/>
          <w:szCs w:val="20"/>
          <w:color w:val="auto"/>
        </w:rPr>
      </w:pPr>
      <w:r>
        <w:rPr>
          <w:rFonts w:ascii="Times New Roman" w:cs="Times New Roman" w:eastAsia="Times New Roman" w:hAnsi="Times New Roman"/>
          <w:sz w:val="20"/>
          <w:szCs w:val="20"/>
          <w:color w:val="231F20"/>
        </w:rPr>
        <w:t>recognized for financial reporting purposes differs from the timing of recognition for tax reporting purposes, deferred tax assets or liabilities are required to be recorded. We measure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in income in the period that includes the enactment date. We do not expect to pay federal income taxes on our REIT taxable income.</w:t>
      </w:r>
    </w:p>
    <w:p>
      <w:pPr>
        <w:spacing w:after="0" w:line="68" w:lineRule="exact"/>
        <w:rPr>
          <w:sz w:val="20"/>
          <w:szCs w:val="20"/>
          <w:color w:val="auto"/>
        </w:rPr>
      </w:pPr>
    </w:p>
    <w:p>
      <w:pPr>
        <w:ind w:left="730" w:right="20"/>
        <w:spacing w:after="0" w:line="256" w:lineRule="auto"/>
        <w:rPr>
          <w:sz w:val="20"/>
          <w:szCs w:val="20"/>
          <w:color w:val="auto"/>
        </w:rPr>
      </w:pPr>
      <w:r>
        <w:rPr>
          <w:rFonts w:ascii="Times New Roman" w:cs="Times New Roman" w:eastAsia="Times New Roman" w:hAnsi="Times New Roman"/>
          <w:sz w:val="20"/>
          <w:szCs w:val="20"/>
          <w:color w:val="231F20"/>
        </w:rPr>
        <w:t>We periodically review our deferred tax assets, and we record a valuation allowance if, based on the available evidence, it is more likely than not that some or all of the deferred tax assets will not be realized. Management assesses the available positive and negative evidence to estimate if sufficient future taxable income will be generated to use the existing deferred tax assets. Valuation allowances would be reversed as a reduction to the provision for income taxes, if related deferred tax assets are deemed realizable based on changes in facts and circumstances relevant to the assets’ recoverability.</w:t>
      </w:r>
    </w:p>
    <w:p>
      <w:pPr>
        <w:spacing w:after="0" w:line="68" w:lineRule="exact"/>
        <w:rPr>
          <w:sz w:val="20"/>
          <w:szCs w:val="20"/>
          <w:color w:val="auto"/>
        </w:rPr>
      </w:pPr>
    </w:p>
    <w:p>
      <w:pPr>
        <w:ind w:left="730" w:right="160"/>
        <w:spacing w:after="0" w:line="271" w:lineRule="auto"/>
        <w:rPr>
          <w:sz w:val="20"/>
          <w:szCs w:val="20"/>
          <w:color w:val="auto"/>
        </w:rPr>
      </w:pPr>
      <w:r>
        <w:rPr>
          <w:rFonts w:ascii="Times New Roman" w:cs="Times New Roman" w:eastAsia="Times New Roman" w:hAnsi="Times New Roman"/>
          <w:sz w:val="19"/>
          <w:szCs w:val="19"/>
          <w:color w:val="231F20"/>
        </w:rPr>
        <w:t>We recognize the benefit of uncertain tax positions when, in management’s judgment, it is more likely than not that positions we have taken in our tax returns will be sustained upon examination, which are measured at the largest amount that is greater than 50% likely of being realized upon settlement. We adjust our tax liabilities when our judgment changes as a result of the evaluation of new information or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additional information is available or the position is ultimately settled under audit.</w:t>
      </w:r>
    </w:p>
    <w:p>
      <w:pPr>
        <w:spacing w:after="0" w:line="1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231F20"/>
        </w:rPr>
        <w:t>Accounting Standards Update</w:t>
      </w:r>
    </w:p>
    <w:p>
      <w:pPr>
        <w:spacing w:after="0" w:line="177" w:lineRule="exact"/>
        <w:rPr>
          <w:sz w:val="20"/>
          <w:szCs w:val="20"/>
          <w:color w:val="auto"/>
        </w:rPr>
      </w:pPr>
    </w:p>
    <w:p>
      <w:pPr>
        <w:ind w:left="10" w:right="420"/>
        <w:spacing w:after="0" w:line="281" w:lineRule="auto"/>
        <w:rPr>
          <w:sz w:val="20"/>
          <w:szCs w:val="20"/>
          <w:color w:val="auto"/>
        </w:rPr>
      </w:pPr>
      <w:r>
        <w:rPr>
          <w:rFonts w:ascii="Times New Roman" w:cs="Times New Roman" w:eastAsia="Times New Roman" w:hAnsi="Times New Roman"/>
          <w:sz w:val="20"/>
          <w:szCs w:val="20"/>
          <w:color w:val="231F20"/>
        </w:rPr>
        <w:t>For a discussion of recent accounting standards updates, see note 1 to our consolidated financial statements included in this Annual Report.</w:t>
      </w:r>
    </w:p>
    <w:p>
      <w:pPr>
        <w:spacing w:after="0" w:line="9" w:lineRule="exact"/>
        <w:rPr>
          <w:sz w:val="20"/>
          <w:szCs w:val="20"/>
          <w:color w:val="auto"/>
        </w:rPr>
      </w:pPr>
    </w:p>
    <w:p>
      <w:pPr>
        <w:ind w:left="50"/>
        <w:spacing w:after="0"/>
        <w:tabs>
          <w:tab w:leader="none" w:pos="1250" w:val="left"/>
        </w:tabs>
        <w:rPr>
          <w:sz w:val="20"/>
          <w:szCs w:val="20"/>
          <w:color w:val="auto"/>
        </w:rPr>
      </w:pPr>
      <w:r>
        <w:rPr>
          <w:rFonts w:ascii="Times New Roman" w:cs="Times New Roman" w:eastAsia="Times New Roman" w:hAnsi="Times New Roman"/>
          <w:sz w:val="20"/>
          <w:szCs w:val="20"/>
          <w:b w:val="1"/>
          <w:bCs w:val="1"/>
          <w:color w:val="231F20"/>
        </w:rPr>
        <w:t>ITEM 7A.</w:t>
      </w:r>
      <w:r>
        <w:rPr>
          <w:sz w:val="20"/>
          <w:szCs w:val="20"/>
          <w:color w:val="auto"/>
        </w:rPr>
        <w:tab/>
      </w:r>
      <w:r>
        <w:rPr>
          <w:rFonts w:ascii="Times New Roman" w:cs="Times New Roman" w:eastAsia="Times New Roman" w:hAnsi="Times New Roman"/>
          <w:sz w:val="19"/>
          <w:szCs w:val="19"/>
          <w:b w:val="1"/>
          <w:bCs w:val="1"/>
          <w:color w:val="231F20"/>
        </w:rPr>
        <w:t>QUANTITATIVE AND QUALITATIVE DISCLOSURES ABOUT MARKET RISK</w:t>
      </w:r>
    </w:p>
    <w:p>
      <w:pPr>
        <w:spacing w:after="0" w:line="187"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231F20"/>
        </w:rPr>
        <w:t>The following table provides information as of December 31, 2025 about our market risk exposure associated with changing interest rates. For long-term debt obligations, the table presents principal cash flows by maturity date and average interest rates related to outstanding obligations. For more information, see Item 7 of this Annual Report under the caption “Management’s Discussion and Analysis of Financial Condition and Results of Operations—Liquidity and Capital Resources” and note 8 to our consolidated financial statements included in this Annual Report.</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42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Long-Term Debt</w:t>
            </w:r>
          </w:p>
        </w:tc>
        <w:tc>
          <w:tcPr>
            <w:tcW w:w="1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8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60" w:type="dxa"/>
            <w:vAlign w:val="bottom"/>
            <w:tcBorders>
              <w:bottom w:val="single" w:sz="8" w:color="E3E4E5"/>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2028</w:t>
            </w:r>
          </w:p>
        </w:tc>
        <w:tc>
          <w:tcPr>
            <w:tcW w:w="80" w:type="dxa"/>
            <w:vAlign w:val="bottom"/>
            <w:tcBorders>
              <w:bottom w:val="single" w:sz="8" w:color="E3E4E5"/>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80" w:type="dxa"/>
            <w:vAlign w:val="bottom"/>
            <w:tcBorders>
              <w:bottom w:val="single" w:sz="8" w:color="E3E4E5"/>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80" w:type="dxa"/>
            <w:vAlign w:val="bottom"/>
            <w:tcBorders>
              <w:bottom w:val="single" w:sz="8" w:color="E3E4E5"/>
            </w:tcBorders>
          </w:tcPr>
          <w:p>
            <w:pPr>
              <w:spacing w:after="0"/>
              <w:rPr>
                <w:sz w:val="18"/>
                <w:szCs w:val="18"/>
                <w:color w:val="auto"/>
              </w:rPr>
            </w:pPr>
          </w:p>
        </w:tc>
        <w:tc>
          <w:tcPr>
            <w:tcW w:w="9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Thereafter</w:t>
            </w:r>
          </w:p>
        </w:tc>
        <w:tc>
          <w:tcPr>
            <w:tcW w:w="60" w:type="dxa"/>
            <w:vAlign w:val="bottom"/>
            <w:tcBorders>
              <w:bottom w:val="single" w:sz="8" w:color="E3E4E5"/>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80" w:type="dxa"/>
            <w:vAlign w:val="bottom"/>
            <w:tcBorders>
              <w:bottom w:val="single" w:sz="8" w:color="E3E4E5"/>
            </w:tcBorders>
          </w:tcPr>
          <w:p>
            <w:pPr>
              <w:spacing w:after="0"/>
              <w:rPr>
                <w:sz w:val="18"/>
                <w:szCs w:val="18"/>
                <w:color w:val="auto"/>
              </w:rPr>
            </w:pPr>
          </w:p>
        </w:tc>
        <w:tc>
          <w:tcPr>
            <w:tcW w:w="98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Fair Value</w:t>
            </w:r>
          </w:p>
        </w:tc>
      </w:tr>
      <w:tr>
        <w:trPr>
          <w:trHeight w:val="245"/>
        </w:trPr>
        <w:tc>
          <w:tcPr>
            <w:tcW w:w="24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 xml:space="preserve">Fixed Rate Debt (a) </w:t>
            </w:r>
            <w:r>
              <w:rPr>
                <w:rFonts w:ascii="Times New Roman" w:cs="Times New Roman" w:eastAsia="Times New Roman" w:hAnsi="Times New Roman"/>
                <w:sz w:val="16"/>
                <w:szCs w:val="16"/>
                <w:color w:val="BABCBE"/>
              </w:rPr>
              <w:t>..........................</w:t>
            </w:r>
          </w:p>
        </w:tc>
        <w:tc>
          <w:tcPr>
            <w:tcW w:w="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3,386.2</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16"/>
                <w:szCs w:val="16"/>
                <w:color w:val="231F20"/>
                <w:w w:val="99"/>
              </w:rPr>
              <w:t>4,724.9</w:t>
            </w:r>
          </w:p>
        </w:tc>
        <w:tc>
          <w:tcPr>
            <w:tcW w:w="24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6,132.6</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3,782.0</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4,925.3</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16"/>
                <w:szCs w:val="16"/>
                <w:color w:val="231F20"/>
                <w:w w:val="96"/>
              </w:rPr>
              <w:t>13,098.7</w:t>
            </w:r>
          </w:p>
        </w:tc>
        <w:tc>
          <w:tcPr>
            <w:tcW w:w="24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36,049.7</w:t>
            </w:r>
          </w:p>
        </w:tc>
        <w:tc>
          <w:tcPr>
            <w:tcW w:w="32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34,748.2</w:t>
            </w:r>
          </w:p>
        </w:tc>
      </w:tr>
      <w:tr>
        <w:trPr>
          <w:trHeight w:val="24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Weighted-Average Interest Rate (a)</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2.52 %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3.10 %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3.96 %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3"/>
        </w:trPr>
        <w:tc>
          <w:tcPr>
            <w:tcW w:w="24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 xml:space="preserve">Variable Rate Debt (b) </w:t>
            </w:r>
            <w:r>
              <w:rPr>
                <w:rFonts w:ascii="Times New Roman" w:cs="Times New Roman" w:eastAsia="Times New Roman" w:hAnsi="Times New Roman"/>
                <w:sz w:val="16"/>
                <w:szCs w:val="16"/>
                <w:color w:val="BABCBE"/>
              </w:rPr>
              <w:t>.....................</w:t>
            </w:r>
          </w:p>
        </w:tc>
        <w:tc>
          <w:tcPr>
            <w:tcW w:w="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1.6</w:t>
            </w:r>
          </w:p>
        </w:tc>
        <w:tc>
          <w:tcPr>
            <w:tcW w:w="22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16"/>
                <w:szCs w:val="16"/>
                <w:color w:val="231F20"/>
              </w:rPr>
              <w:t>1.8</w:t>
            </w:r>
          </w:p>
        </w:tc>
        <w:tc>
          <w:tcPr>
            <w:tcW w:w="24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1,380.6</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26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72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16"/>
                <w:szCs w:val="16"/>
                <w:color w:val="231F20"/>
              </w:rPr>
              <w:t>1.2</w:t>
            </w:r>
          </w:p>
        </w:tc>
        <w:tc>
          <w:tcPr>
            <w:tcW w:w="24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shd w:val="clear" w:color="auto" w:fill="E3E4E5"/>
          </w:tcPr>
          <w:p>
            <w:pPr>
              <w:jc w:val="right"/>
              <w:ind w:right="120"/>
              <w:spacing w:after="0"/>
              <w:rPr>
                <w:sz w:val="20"/>
                <w:szCs w:val="20"/>
                <w:color w:val="auto"/>
              </w:rPr>
            </w:pPr>
            <w:r>
              <w:rPr>
                <w:rFonts w:ascii="Times New Roman" w:cs="Times New Roman" w:eastAsia="Times New Roman" w:hAnsi="Times New Roman"/>
                <w:sz w:val="16"/>
                <w:szCs w:val="16"/>
                <w:color w:val="231F20"/>
              </w:rPr>
              <w:t>1,385.2</w:t>
            </w:r>
          </w:p>
        </w:tc>
        <w:tc>
          <w:tcPr>
            <w:tcW w:w="32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1,385.2</w:t>
            </w:r>
          </w:p>
        </w:tc>
      </w:tr>
      <w:tr>
        <w:trPr>
          <w:trHeight w:val="18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Weighted-Average Interest Rate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(b)(c)</w:t>
            </w:r>
            <w:r>
              <w:rPr>
                <w:rFonts w:ascii="Times New Roman" w:cs="Times New Roman" w:eastAsia="Times New Roman" w:hAnsi="Times New Roman"/>
                <w:sz w:val="16"/>
                <w:szCs w:val="16"/>
                <w:color w:val="BABCBE"/>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9.50 %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9.50 %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4.84 %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13.50 %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-754380</wp:posOffset>
            </wp:positionV>
            <wp:extent cx="49974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4997450" cy="2540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70" w:right="440" w:hanging="370"/>
        <w:spacing w:after="0" w:line="267" w:lineRule="auto"/>
        <w:tabs>
          <w:tab w:leader="none" w:pos="370" w:val="left"/>
        </w:tabs>
        <w:numPr>
          <w:ilvl w:val="0"/>
          <w:numId w:val="66"/>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Fixed rate debt consisted of (i) Securities issued in the Trust Securitization, (ii) our senior unsecured notes (see note 8 to our consolidated financial statements included in this Annual Report for a detailed description of all such senior unsecured notes) and (iii) other debt, including finance leases.</w:t>
      </w:r>
    </w:p>
    <w:p>
      <w:pPr>
        <w:ind w:left="370" w:right="40" w:hanging="370"/>
        <w:spacing w:after="0" w:line="250" w:lineRule="auto"/>
        <w:tabs>
          <w:tab w:leader="none" w:pos="370" w:val="left"/>
        </w:tabs>
        <w:numPr>
          <w:ilvl w:val="0"/>
          <w:numId w:val="6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Variable rate debt consisted of (i) the 2021 Multicurrency Credit Facility, which matures on January 28, 2028, (ii) the 2021 Term Loan, which matures on January 28, 2028, (iii) the CoreSite DE1 Note and (iv) the Bangladesh Term Loan.</w:t>
      </w:r>
    </w:p>
    <w:p>
      <w:pPr>
        <w:ind w:left="370" w:hanging="370"/>
        <w:spacing w:after="0"/>
        <w:tabs>
          <w:tab w:leader="none" w:pos="370" w:val="left"/>
        </w:tabs>
        <w:numPr>
          <w:ilvl w:val="0"/>
          <w:numId w:val="6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on rates effective as of December 31, 2025.</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79" w:lineRule="exact"/>
        <w:rPr>
          <w:sz w:val="20"/>
          <w:szCs w:val="20"/>
          <w:color w:val="auto"/>
        </w:rPr>
      </w:pPr>
    </w:p>
    <w:p>
      <w:pPr>
        <w:ind w:left="10" w:right="100"/>
        <w:spacing w:after="0" w:line="260" w:lineRule="auto"/>
        <w:rPr>
          <w:sz w:val="20"/>
          <w:szCs w:val="20"/>
          <w:color w:val="auto"/>
        </w:rPr>
      </w:pPr>
      <w:r>
        <w:rPr>
          <w:rFonts w:ascii="Times New Roman" w:cs="Times New Roman" w:eastAsia="Times New Roman" w:hAnsi="Times New Roman"/>
          <w:sz w:val="20"/>
          <w:szCs w:val="20"/>
          <w:color w:val="231F20"/>
        </w:rPr>
        <w:t>Changes in interest rates can cause interest charges to fluctuate on our variable rate debt. Variable rate debt as of December 31, 2025 primarily consisted of $380.0 million under the 2021 Multicurrency Credit Facility, $1.0 billion under the 2021 Term Loan, $4.0 million under the CoreSite DE1 Note and $1.2 million under the Bangladesh Term Loan. A 10% increase in current interest rates would result in an additional $6.7 million of interest expense for the year ended December 31, 2025.</w:t>
      </w:r>
    </w:p>
    <w:p>
      <w:pPr>
        <w:sectPr>
          <w:pgSz w:w="11880" w:h="15480" w:orient="portrait"/>
          <w:cols w:equalWidth="0" w:num="1">
            <w:col w:w="10270"/>
          </w:cols>
          <w:pgMar w:left="810" w:top="393"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270"/>
          </w:cols>
          <w:pgMar w:left="810" w:top="393" w:right="80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 Risk</w:t>
      </w:r>
    </w:p>
    <w:p>
      <w:pPr>
        <w:spacing w:after="0" w:line="1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We are exposed to market risk from changes in foreign currency exchange rates primarily in connection with our foreign subsidiaries and joint ventures internationally. Any transaction denominated in a currency other than the U.S. Dollar is reported in U.S. Dollars at the applicable exchange rate. All assets and liabilities are translated into U.S. Dollars at exchange rates in effect at the end of the applicable fiscal reporting period and all revenues and expenses are translated at average rates for the period. The cumulative translation effect is included in equity as a component of Accumulated other comprehensive loss. We may enter into additional foreign currency financial instruments in anticipation of future transactions to minimize the impact of foreign currency fluctuations. For the year ended December 31, 2025, 31% of our revenues and 40% of our total operating expenses were denominated in foreign currencies.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As of December 31, 2025, we have incurred intercompany debt that is not considered to be permanently reinvested, and similar unaffiliated balances that were denominated in a currency other than the functional currency of the subsidiary in which it is recorded. As this debt had not been designated as being a long-term investment in nature, any changes in the foreign currency exchange rates will result in unrealized gains or losses, which will be included in our determination of net income. An adverse change of 10% in the underlying exchange rates of our unsettled intercompany debt and similar unaffiliated balances would result in $12.6 million of unrealized losses that would be included in Other expense in our consolidated statements of operations for the year ended December 31, 2025. As of December 31, 2025, we have 7.5 billion EUR (approximately $8.8 billion) denominated debt outstanding, of which approximately 4.7 billion EUR (approximately $5.5 billion) is designated as a non-derivative net investment hedge. An adverse change of 10% in the underlying exchange rates of our outstanding EUR debt not designated as a non-derivative net investment hedge would result in $0.4 billion of foreign currency losses that would be included in Other expense in our consolidated statements of operations for the year ended December 31, 2025.</w:t>
      </w:r>
    </w:p>
    <w:p>
      <w:pPr>
        <w:spacing w:after="0" w:line="201" w:lineRule="exact"/>
        <w:rPr>
          <w:sz w:val="20"/>
          <w:szCs w:val="20"/>
          <w:color w:val="auto"/>
        </w:rPr>
      </w:pPr>
    </w:p>
    <w:p>
      <w:pPr>
        <w:ind w:right="3580" w:firstLine="53"/>
        <w:spacing w:after="0" w:line="430" w:lineRule="auto"/>
        <w:rPr>
          <w:sz w:val="20"/>
          <w:szCs w:val="20"/>
          <w:color w:val="auto"/>
        </w:rPr>
      </w:pPr>
      <w:r>
        <w:rPr>
          <w:rFonts w:ascii="Times New Roman" w:cs="Times New Roman" w:eastAsia="Times New Roman" w:hAnsi="Times New Roman"/>
          <w:sz w:val="20"/>
          <w:szCs w:val="20"/>
          <w:b w:val="1"/>
          <w:bCs w:val="1"/>
          <w:color w:val="231F20"/>
        </w:rPr>
        <w:t xml:space="preserve">ITEM 8. FINANCIAL STATEMENTS AND SUPPLEMENTARY DATA </w:t>
      </w:r>
      <w:r>
        <w:rPr>
          <w:rFonts w:ascii="Times New Roman" w:cs="Times New Roman" w:eastAsia="Times New Roman" w:hAnsi="Times New Roman"/>
          <w:sz w:val="20"/>
          <w:szCs w:val="20"/>
          <w:color w:val="231F20"/>
        </w:rPr>
        <w:t>See Item 15 (a).</w:t>
      </w:r>
    </w:p>
    <w:p>
      <w:pPr>
        <w:spacing w:after="0" w:line="1" w:lineRule="exact"/>
        <w:rPr>
          <w:sz w:val="20"/>
          <w:szCs w:val="20"/>
          <w:color w:val="auto"/>
        </w:rPr>
      </w:pPr>
    </w:p>
    <w:p>
      <w:pPr>
        <w:ind w:left="1160" w:right="1040" w:hanging="1124"/>
        <w:spacing w:after="0" w:line="244" w:lineRule="auto"/>
        <w:tabs>
          <w:tab w:leader="none" w:pos="1140" w:val="left"/>
        </w:tabs>
        <w:rPr>
          <w:sz w:val="20"/>
          <w:szCs w:val="20"/>
          <w:color w:val="auto"/>
        </w:rPr>
      </w:pPr>
      <w:r>
        <w:rPr>
          <w:rFonts w:ascii="Times New Roman" w:cs="Times New Roman" w:eastAsia="Times New Roman" w:hAnsi="Times New Roman"/>
          <w:sz w:val="20"/>
          <w:szCs w:val="20"/>
          <w:b w:val="1"/>
          <w:bCs w:val="1"/>
          <w:color w:val="231F20"/>
        </w:rPr>
        <w:t>ITEM 9.</w:t>
      </w:r>
      <w:r>
        <w:rPr>
          <w:sz w:val="20"/>
          <w:szCs w:val="20"/>
          <w:color w:val="auto"/>
        </w:rPr>
        <w:tab/>
      </w:r>
      <w:r>
        <w:rPr>
          <w:rFonts w:ascii="Times New Roman" w:cs="Times New Roman" w:eastAsia="Times New Roman" w:hAnsi="Times New Roman"/>
          <w:sz w:val="20"/>
          <w:szCs w:val="20"/>
          <w:b w:val="1"/>
          <w:bCs w:val="1"/>
          <w:color w:val="231F20"/>
        </w:rPr>
        <w:t>CHANGES IN AND DISAGREEMENTS WITH ACCOUNTANTS ON ACCOUNTING AND FINANCIAL DISCLOSURE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178"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231F20"/>
        </w:rPr>
        <w:t>ITEM 9A.</w:t>
        <w:tab/>
        <w:t>CONTROLS AND PROCEDURES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Disclosure Controls and Procedures</w:t>
      </w:r>
    </w:p>
    <w:p>
      <w:pPr>
        <w:spacing w:after="0" w:line="17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231F20"/>
        </w:rPr>
        <w:t>We have established disclosure controls and procedures designed to ensure that material information relating to us, including our consolidated subsidiaries, is made known to the officers who certify our financial reports and to other members of senior management and the Board.</w:t>
      </w:r>
    </w:p>
    <w:p>
      <w:pPr>
        <w:spacing w:after="0" w:line="115" w:lineRule="exact"/>
        <w:rPr>
          <w:sz w:val="20"/>
          <w:szCs w:val="20"/>
          <w:color w:val="auto"/>
        </w:rPr>
      </w:pPr>
    </w:p>
    <w:p>
      <w:pPr>
        <w:ind w:right="780"/>
        <w:spacing w:after="0" w:line="274" w:lineRule="auto"/>
        <w:rPr>
          <w:sz w:val="20"/>
          <w:szCs w:val="20"/>
          <w:color w:val="auto"/>
        </w:rPr>
      </w:pPr>
      <w:r>
        <w:rPr>
          <w:rFonts w:ascii="Times New Roman" w:cs="Times New Roman" w:eastAsia="Times New Roman" w:hAnsi="Times New Roman"/>
          <w:sz w:val="19"/>
          <w:szCs w:val="19"/>
          <w:color w:val="231F20"/>
        </w:rPr>
        <w:t>Our management, with the participation of our principal executive officer and principal financial officer, evaluated the effectiveness of the design and operation of our disclosure controls and procedures (as defined in Rules 13a-15(e) and</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15d-15(e) under the Exchange Act) as of the end of the period covered by this Annual Report. Based on this evaluation, our principal executive officer and principal financial officer concluded that these disclosure controls and procedures were effective as of December 31, 2025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principal executive officer and principal financial officer, as appropriate, to allow timely decisions regarding required disclosure.</w:t>
      </w:r>
    </w:p>
    <w:p>
      <w:pPr>
        <w:sectPr>
          <w:pgSz w:w="11880" w:h="15480" w:orient="portrait"/>
          <w:cols w:equalWidth="0" w:num="1">
            <w:col w:w="10240"/>
          </w:cols>
          <w:pgMar w:left="820" w:top="38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240"/>
          </w:cols>
          <w:pgMar w:left="820" w:top="384" w:right="82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231F20"/>
        </w:rPr>
        <w:t>Management’s Annual Report on Internal Control over Financial Reporting</w:t>
      </w:r>
    </w:p>
    <w:p>
      <w:pPr>
        <w:spacing w:after="0" w:line="17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Our management, with the participation of our principal executive officer and principal financial officer, is responsible for establishing and maintaining adequate internal control over financial reporting as defined in Rules 13a-15(f) and 15d-15(f) under the Exchange Act. Our internal control system is designed to provide reasonable assurance to our management and our Board regarding the preparation and fair presentation of published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management assessed the effectiveness of our internal control over financial reporting as of December 31, 2025.</w:t>
      </w:r>
    </w:p>
    <w:p>
      <w:pPr>
        <w:spacing w:after="0" w:line="1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 xml:space="preserve">In making its assessment of internal control over financial reporting, our management used the criteria set forth by the Committee of Sponsoring Organizations of the Treadway Commission in </w:t>
      </w:r>
      <w:r>
        <w:rPr>
          <w:rFonts w:ascii="Times New Roman" w:cs="Times New Roman" w:eastAsia="Times New Roman" w:hAnsi="Times New Roman"/>
          <w:sz w:val="20"/>
          <w:szCs w:val="20"/>
          <w:i w:val="1"/>
          <w:iCs w:val="1"/>
          <w:color w:val="231F20"/>
        </w:rPr>
        <w:t>Internal Control—Integrated Framework (2013)</w:t>
      </w:r>
      <w:r>
        <w:rPr>
          <w:rFonts w:ascii="Times New Roman" w:cs="Times New Roman" w:eastAsia="Times New Roman" w:hAnsi="Times New Roman"/>
          <w:sz w:val="20"/>
          <w:szCs w:val="20"/>
          <w:color w:val="231F20"/>
        </w:rPr>
        <w:t>. Based on this assessment, management concluded that, as of December 31, 2025, our internal control over financial reporting is effective.</w:t>
      </w:r>
    </w:p>
    <w:p>
      <w:pPr>
        <w:spacing w:after="0" w:line="12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231F20"/>
        </w:rPr>
        <w:t>Deloitte &amp; Touche LLP, an independent registered public accounting firm that audited our financial statements included in this Annual Report, has issued an attestation report on management’s internal control over financial reporting, which is included in this Item 9A under the caption “Report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There have been no changes in our internal control over financial reporting (as defined in Rule 13a-15(f) under the Exchange Act) during the fiscal quarter ended December 31, 2025 that have materially affected, or are reasonably likely to materially affect, our internal control over financial reporting.</w:t>
      </w:r>
    </w:p>
    <w:p>
      <w:pPr>
        <w:sectPr>
          <w:pgSz w:w="11880" w:h="15480" w:orient="portrait"/>
          <w:cols w:equalWidth="0" w:num="1">
            <w:col w:w="10220"/>
          </w:cols>
          <w:pgMar w:left="820" w:top="8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220"/>
          </w:cols>
          <w:pgMar w:left="820" w:top="826" w:right="840" w:bottom="0" w:gutter="0" w:footer="0" w:header="0"/>
          <w:type w:val="continuous"/>
        </w:sectPr>
      </w:pPr>
    </w:p>
    <w:bookmarkStart w:id="72" w:name="page73"/>
    <w:bookmarkEnd w:id="72"/>
    <w:p>
      <w:pPr>
        <w:ind w:left="170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 of American Tower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 xml:space="preserve">We have audited the internal control over financial reporting of American Tower Corporation and subsidiaries (the “Company”) as of December 31, 2025, based on criteria established in </w:t>
      </w:r>
      <w:r>
        <w:rPr>
          <w:rFonts w:ascii="Times New Roman" w:cs="Times New Roman" w:eastAsia="Times New Roman" w:hAnsi="Times New Roman"/>
          <w:sz w:val="20"/>
          <w:szCs w:val="20"/>
          <w:i w:val="1"/>
          <w:iCs w:val="1"/>
          <w:color w:val="231F20"/>
        </w:rPr>
        <w:t>Internal Control — Integrated Framework (2013)</w:t>
      </w:r>
      <w:r>
        <w:rPr>
          <w:rFonts w:ascii="Times New Roman" w:cs="Times New Roman" w:eastAsia="Times New Roman" w:hAnsi="Times New Roman"/>
          <w:sz w:val="20"/>
          <w:szCs w:val="20"/>
          <w:color w:val="231F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231F20"/>
        </w:rPr>
        <w:t xml:space="preserve">Internal Control — Integrated Framework (2013) </w:t>
      </w:r>
      <w:r>
        <w:rPr>
          <w:rFonts w:ascii="Times New Roman" w:cs="Times New Roman" w:eastAsia="Times New Roman" w:hAnsi="Times New Roman"/>
          <w:sz w:val="20"/>
          <w:szCs w:val="20"/>
          <w:color w:val="231F20"/>
        </w:rPr>
        <w:t>issued by COSO.</w:t>
      </w:r>
    </w:p>
    <w:p>
      <w:pPr>
        <w:spacing w:after="0" w:line="12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231F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24, 2026</w:t>
      </w:r>
    </w:p>
    <w:p>
      <w:pPr>
        <w:sectPr>
          <w:pgSz w:w="11880" w:h="15480" w:orient="portrait"/>
          <w:cols w:equalWidth="0" w:num="1">
            <w:col w:w="10240"/>
          </w:cols>
          <w:pgMar w:left="820" w:top="38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240"/>
          </w:cols>
          <w:pgMar w:left="820" w:top="386" w:right="820" w:bottom="0" w:gutter="0" w:footer="0" w:header="0"/>
          <w:type w:val="continuous"/>
        </w:sectPr>
      </w:pPr>
    </w:p>
    <w:bookmarkStart w:id="73" w:name="page74"/>
    <w:bookmarkEnd w:id="73"/>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9B.</w:t>
      </w:r>
      <w:r>
        <w:rPr>
          <w:sz w:val="20"/>
          <w:szCs w:val="20"/>
          <w:color w:val="auto"/>
        </w:rPr>
        <w:tab/>
      </w:r>
      <w:r>
        <w:rPr>
          <w:rFonts w:ascii="Times New Roman" w:cs="Times New Roman" w:eastAsia="Times New Roman" w:hAnsi="Times New Roman"/>
          <w:sz w:val="19"/>
          <w:szCs w:val="19"/>
          <w:b w:val="1"/>
          <w:bCs w:val="1"/>
          <w:color w:val="231F20"/>
        </w:rPr>
        <w:t>OTHER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 Insider Trading Arrangements and Policies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Rule 10b5-1 Plans</w:t>
      </w:r>
    </w:p>
    <w:p>
      <w:pPr>
        <w:spacing w:after="0" w:line="1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Ruth T. Dowling, our Executive Vice President, Chief Administrative Officer, General Counsel and Secretary, entered into a pre-arranged stock trading plan on October 29, 2025. Ms. Dowling’s plan provides for the potential sale of up to 5,679 shares of our common stock between February 27, 2026 and November 2, 2026.</w:t>
      </w:r>
    </w:p>
    <w:p>
      <w:pPr>
        <w:spacing w:after="0" w:line="1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This trading plan was entered into during an open insider trading window and is intended to satisfy the affirmative defense of Rule 10b5-1 under the Exchange Act and our policies regarding transactions in our securities. Generally, this trading plan pre-establishes the amounts, prices and dates of future purchases or sales of our stock, including shares issued upon the exercise or vesting of equity awards. Under this trading plan, the individual officer relinquishes control over the transactions once the trading plan is put into place. Accordingly, sales under this plan may occur at any time, including possibly before, simultaneously with, or immediately after, significant company events.</w:t>
      </w:r>
    </w:p>
    <w:p>
      <w:pPr>
        <w:spacing w:after="0" w:line="196"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9C.</w:t>
      </w:r>
      <w:r>
        <w:rPr>
          <w:sz w:val="20"/>
          <w:szCs w:val="20"/>
          <w:color w:val="auto"/>
        </w:rPr>
        <w:tab/>
      </w:r>
      <w:r>
        <w:rPr>
          <w:rFonts w:ascii="Times New Roman" w:cs="Times New Roman" w:eastAsia="Times New Roman" w:hAnsi="Times New Roman"/>
          <w:sz w:val="19"/>
          <w:szCs w:val="19"/>
          <w:b w:val="1"/>
          <w:bCs w:val="1"/>
          <w:color w:val="231F20"/>
        </w:rPr>
        <w:t>DISCLOSURE REGARDING FOREIGN JURISDICTIONS THAT PREVENT INSPECTIONS.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240"/>
          </w:cols>
          <w:pgMar w:left="820" w:top="461"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240"/>
          </w:cols>
          <w:pgMar w:left="820" w:top="461" w:right="82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10.</w:t>
      </w:r>
      <w:r>
        <w:rPr>
          <w:sz w:val="20"/>
          <w:szCs w:val="20"/>
          <w:color w:val="auto"/>
        </w:rPr>
        <w:tab/>
      </w:r>
      <w:r>
        <w:rPr>
          <w:rFonts w:ascii="Times New Roman" w:cs="Times New Roman" w:eastAsia="Times New Roman" w:hAnsi="Times New Roman"/>
          <w:sz w:val="19"/>
          <w:szCs w:val="19"/>
          <w:b w:val="1"/>
          <w:bCs w:val="1"/>
          <w:color w:val="231F20"/>
        </w:rPr>
        <w:t>DIRECTORS, EXECUTIVE OFFICERS AND CORPORATE GOVERNANCE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executive officers and their respective ages and positions as of February 17, 2026 are set forth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Steven O. Vondran</w:t>
            </w:r>
          </w:p>
        </w:tc>
        <w:tc>
          <w:tcPr>
            <w:tcW w:w="124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55</w:t>
            </w:r>
          </w:p>
        </w:tc>
        <w:tc>
          <w:tcPr>
            <w:tcW w:w="6480" w:type="dxa"/>
            <w:vAlign w:val="bottom"/>
            <w:shd w:val="clear" w:color="auto" w:fill="E3E4E5"/>
          </w:tcPr>
          <w:p>
            <w:pPr>
              <w:ind w:left="100"/>
              <w:spacing w:after="0"/>
              <w:rPr>
                <w:sz w:val="20"/>
                <w:szCs w:val="20"/>
                <w:color w:val="auto"/>
              </w:rPr>
            </w:pPr>
            <w:r>
              <w:rPr>
                <w:rFonts w:ascii="Times New Roman" w:cs="Times New Roman" w:eastAsia="Times New Roman" w:hAnsi="Times New Roman"/>
                <w:sz w:val="20"/>
                <w:szCs w:val="20"/>
                <w:color w:val="231F20"/>
              </w:rPr>
              <w:t>President and Chief Executive Officer</w:t>
            </w:r>
          </w:p>
        </w:tc>
      </w:tr>
      <w:tr>
        <w:trPr>
          <w:trHeight w:val="279"/>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Rodney M. Smith</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60</w:t>
            </w:r>
          </w:p>
        </w:tc>
        <w:tc>
          <w:tcPr>
            <w:tcW w:w="64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Executive Vice President, Chief Financial Officer and Treasurer</w:t>
            </w:r>
          </w:p>
        </w:tc>
      </w:tr>
      <w:tr>
        <w:trPr>
          <w:trHeight w:val="219"/>
        </w:trPr>
        <w:tc>
          <w:tcPr>
            <w:tcW w:w="2500" w:type="dxa"/>
            <w:vAlign w:val="bottom"/>
            <w:shd w:val="clear" w:color="auto" w:fill="E3E4E5"/>
          </w:tcPr>
          <w:p>
            <w:pPr>
              <w:ind w:left="40"/>
              <w:spacing w:after="0" w:line="219" w:lineRule="exact"/>
              <w:rPr>
                <w:sz w:val="20"/>
                <w:szCs w:val="20"/>
                <w:color w:val="auto"/>
              </w:rPr>
            </w:pPr>
            <w:r>
              <w:rPr>
                <w:rFonts w:ascii="Times New Roman" w:cs="Times New Roman" w:eastAsia="Times New Roman" w:hAnsi="Times New Roman"/>
                <w:sz w:val="20"/>
                <w:szCs w:val="20"/>
                <w:color w:val="231F20"/>
              </w:rPr>
              <w:t>Ruth T. Dowling</w:t>
            </w:r>
          </w:p>
        </w:tc>
        <w:tc>
          <w:tcPr>
            <w:tcW w:w="1240" w:type="dxa"/>
            <w:vAlign w:val="bottom"/>
            <w:shd w:val="clear" w:color="auto" w:fill="E3E4E5"/>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56</w:t>
            </w:r>
          </w:p>
        </w:tc>
        <w:tc>
          <w:tcPr>
            <w:tcW w:w="6480" w:type="dxa"/>
            <w:vAlign w:val="bottom"/>
            <w:shd w:val="clear" w:color="auto" w:fill="E3E4E5"/>
          </w:tcPr>
          <w:p>
            <w:pPr>
              <w:ind w:left="100"/>
              <w:spacing w:after="0" w:line="219" w:lineRule="exact"/>
              <w:rPr>
                <w:sz w:val="20"/>
                <w:szCs w:val="20"/>
                <w:color w:val="auto"/>
              </w:rPr>
            </w:pPr>
            <w:r>
              <w:rPr>
                <w:rFonts w:ascii="Times New Roman" w:cs="Times New Roman" w:eastAsia="Times New Roman" w:hAnsi="Times New Roman"/>
                <w:sz w:val="20"/>
                <w:szCs w:val="20"/>
                <w:color w:val="231F20"/>
              </w:rPr>
              <w:t>Executive Vice President, Chief Administrative Officer, General Counsel and</w:t>
            </w:r>
          </w:p>
        </w:tc>
      </w:tr>
      <w:tr>
        <w:trPr>
          <w:trHeight w:val="291"/>
        </w:trPr>
        <w:tc>
          <w:tcPr>
            <w:tcW w:w="2500" w:type="dxa"/>
            <w:vAlign w:val="bottom"/>
            <w:tcBorders>
              <w:bottom w:val="single" w:sz="8" w:color="E3E4E5"/>
            </w:tcBorders>
            <w:shd w:val="clear" w:color="auto" w:fill="E3E4E5"/>
          </w:tcPr>
          <w:p>
            <w:pPr>
              <w:spacing w:after="0"/>
              <w:rPr>
                <w:sz w:val="24"/>
                <w:szCs w:val="24"/>
                <w:color w:val="auto"/>
              </w:rPr>
            </w:pPr>
          </w:p>
        </w:tc>
        <w:tc>
          <w:tcPr>
            <w:tcW w:w="1240" w:type="dxa"/>
            <w:vAlign w:val="bottom"/>
            <w:tcBorders>
              <w:bottom w:val="single" w:sz="8" w:color="E3E4E5"/>
            </w:tcBorders>
            <w:shd w:val="clear" w:color="auto" w:fill="E3E4E5"/>
          </w:tcPr>
          <w:p>
            <w:pPr>
              <w:spacing w:after="0"/>
              <w:rPr>
                <w:sz w:val="24"/>
                <w:szCs w:val="24"/>
                <w:color w:val="auto"/>
              </w:rPr>
            </w:pPr>
          </w:p>
        </w:tc>
        <w:tc>
          <w:tcPr>
            <w:tcW w:w="6480" w:type="dxa"/>
            <w:vAlign w:val="bottom"/>
            <w:tcBorders>
              <w:bottom w:val="single" w:sz="8" w:color="E3E4E5"/>
            </w:tcBorders>
            <w:shd w:val="clear" w:color="auto" w:fill="E3E4E5"/>
          </w:tcPr>
          <w:p>
            <w:pPr>
              <w:ind w:left="100"/>
              <w:spacing w:after="0"/>
              <w:rPr>
                <w:sz w:val="20"/>
                <w:szCs w:val="20"/>
                <w:color w:val="auto"/>
              </w:rPr>
            </w:pPr>
            <w:r>
              <w:rPr>
                <w:rFonts w:ascii="Times New Roman" w:cs="Times New Roman" w:eastAsia="Times New Roman" w:hAnsi="Times New Roman"/>
                <w:sz w:val="20"/>
                <w:szCs w:val="20"/>
                <w:color w:val="231F20"/>
              </w:rPr>
              <w:t>Secretary</w:t>
            </w:r>
          </w:p>
        </w:tc>
      </w:tr>
      <w:tr>
        <w:trPr>
          <w:trHeight w:val="274"/>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Juan A. Font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57</w:t>
            </w:r>
          </w:p>
        </w:tc>
        <w:tc>
          <w:tcPr>
            <w:tcW w:w="64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Senior Vice President, President and CEO, CoreSite</w:t>
            </w:r>
          </w:p>
        </w:tc>
      </w:tr>
      <w:tr>
        <w:trPr>
          <w:trHeight w:val="26"/>
        </w:trPr>
        <w:tc>
          <w:tcPr>
            <w:tcW w:w="2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285"/>
        </w:trPr>
        <w:tc>
          <w:tcPr>
            <w:tcW w:w="2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Robert J. Meyer</w:t>
            </w:r>
          </w:p>
        </w:tc>
        <w:tc>
          <w:tcPr>
            <w:tcW w:w="124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62</w:t>
            </w:r>
          </w:p>
        </w:tc>
        <w:tc>
          <w:tcPr>
            <w:tcW w:w="6480" w:type="dxa"/>
            <w:vAlign w:val="bottom"/>
            <w:shd w:val="clear" w:color="auto" w:fill="E3E4E5"/>
          </w:tcPr>
          <w:p>
            <w:pPr>
              <w:ind w:left="100"/>
              <w:spacing w:after="0"/>
              <w:rPr>
                <w:sz w:val="20"/>
                <w:szCs w:val="20"/>
                <w:color w:val="auto"/>
              </w:rPr>
            </w:pPr>
            <w:r>
              <w:rPr>
                <w:rFonts w:ascii="Times New Roman" w:cs="Times New Roman" w:eastAsia="Times New Roman" w:hAnsi="Times New Roman"/>
                <w:sz w:val="20"/>
                <w:szCs w:val="20"/>
                <w:color w:val="231F20"/>
              </w:rPr>
              <w:t>Senior Vice President and Chief Accounting Officer</w:t>
            </w:r>
          </w:p>
        </w:tc>
      </w:tr>
      <w:tr>
        <w:trPr>
          <w:trHeight w:val="279"/>
        </w:trPr>
        <w:tc>
          <w:tcPr>
            <w:tcW w:w="25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Eugene M. Noel</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57</w:t>
            </w:r>
          </w:p>
        </w:tc>
        <w:tc>
          <w:tcPr>
            <w:tcW w:w="64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Executive Vice President, Chief Operating Officer</w:t>
            </w:r>
          </w:p>
        </w:tc>
      </w:tr>
      <w:tr>
        <w:trPr>
          <w:trHeight w:val="291"/>
        </w:trPr>
        <w:tc>
          <w:tcPr>
            <w:tcW w:w="2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Richard C. Rossi</w:t>
            </w:r>
          </w:p>
        </w:tc>
        <w:tc>
          <w:tcPr>
            <w:tcW w:w="124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50</w:t>
            </w:r>
          </w:p>
        </w:tc>
        <w:tc>
          <w:tcPr>
            <w:tcW w:w="6480" w:type="dxa"/>
            <w:vAlign w:val="bottom"/>
            <w:shd w:val="clear" w:color="auto" w:fill="E3E4E5"/>
          </w:tcPr>
          <w:p>
            <w:pPr>
              <w:ind w:left="100"/>
              <w:spacing w:after="0"/>
              <w:rPr>
                <w:sz w:val="20"/>
                <w:szCs w:val="20"/>
                <w:color w:val="auto"/>
              </w:rPr>
            </w:pPr>
            <w:r>
              <w:rPr>
                <w:rFonts w:ascii="Times New Roman" w:cs="Times New Roman" w:eastAsia="Times New Roman" w:hAnsi="Times New Roman"/>
                <w:sz w:val="20"/>
                <w:szCs w:val="20"/>
                <w:color w:val="231F20"/>
              </w:rPr>
              <w:t>Executive Vice President and President, U.S. Tower</w:t>
            </w:r>
          </w:p>
        </w:tc>
      </w:tr>
    </w:tbl>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231F20"/>
        </w:rPr>
        <w:t xml:space="preserve">Steven O. Vondran </w:t>
      </w:r>
      <w:r>
        <w:rPr>
          <w:rFonts w:ascii="Times New Roman" w:cs="Times New Roman" w:eastAsia="Times New Roman" w:hAnsi="Times New Roman"/>
          <w:sz w:val="20"/>
          <w:szCs w:val="20"/>
          <w:color w:val="231F20"/>
        </w:rPr>
        <w:t>is our President and Chief Executive Officer. Mr. Vondran joined us in 2000 as a member of our corporate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legal team and served in a variety of positions, including Senior Vice President, U.S. Leasing Operations, Senior Vice President and General Counsel, U.S. Tower Division, Executive Vice President and President, U.S. Tower Division, and most recently, Executive Vice President and Chief Operating Officer. Mr. Vondran joined the Cellular Telecommunications Industry Association (CTIA) board in September 2018, and he served on the board of the Wireless Infrastructure Association (WIA) between 2018 and 2024. Mr. Vondran is a member of the Business Roundtable and Nareit Executive Board. Mr. Vondran also currently serves on the board of directors of Ameren Corporation. Prior to joining us, Mr. Vondran was an associate at the law firm of Lewellen &amp; Frazier LLP, served as a telecommunications consultant with the firm of Young &amp; Associates, Inc., and was a Law Clerk to the Hon. John Stroud on the Arkansas Court of Appeals. He received his J.D. with high honors from the University of Arkansas at Little Rock School of Law and a Bachelor of Arts in Economics and Business from Hendrix College.</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b w:val="1"/>
          <w:bCs w:val="1"/>
          <w:color w:val="231F20"/>
        </w:rPr>
        <w:t xml:space="preserve">Rodney M. Smith </w:t>
      </w:r>
      <w:r>
        <w:rPr>
          <w:rFonts w:ascii="Times New Roman" w:cs="Times New Roman" w:eastAsia="Times New Roman" w:hAnsi="Times New Roman"/>
          <w:sz w:val="20"/>
          <w:szCs w:val="20"/>
          <w:color w:val="231F20"/>
        </w:rPr>
        <w:t>is our Executive Vice President, Chief Financial Officer and Treasurer. He is also a director of ATC Europe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and CoreSite. Mr. Smith joined us in October 2009, and previously held the roles of Senior Vice President, Corporate Finance, and Treasurer and Senior Vice President and Chief Financial Officer, U.S. Tower Division. He also serves as co-Executive Sponsor of American Tower’s employee resource group for women, WAATCH. Prior to joining us, Mr. Smith served as Executive Vice President, Chief Financial Officer and as a general board member of Lightower, a private equity backed wireless infrastructure company. Prior to Lightower, he served as Chief Financial Officer and Treasurer (and earlier as Vice President and Controller) for RoweCom, a publicly traded company with operations in eight countries. Early in his career, Mr. Smith held several leadership positions at Nextel Communications, including Director of Finance and General Manager of one of the company’s Northeast markets. Mr. Smith earned his M.B.A from Suffolk University, a Certificate of Accountancy from Bentley University and a Bachelor of Science in Finance from Merrimack College.</w:t>
      </w:r>
    </w:p>
    <w:p>
      <w:pPr>
        <w:spacing w:after="0" w:line="12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b w:val="1"/>
          <w:bCs w:val="1"/>
          <w:color w:val="231F20"/>
        </w:rPr>
        <w:t xml:space="preserve">Ruth T. Dowling </w:t>
      </w:r>
      <w:r>
        <w:rPr>
          <w:rFonts w:ascii="Times New Roman" w:cs="Times New Roman" w:eastAsia="Times New Roman" w:hAnsi="Times New Roman"/>
          <w:sz w:val="20"/>
          <w:szCs w:val="20"/>
          <w:color w:val="231F20"/>
        </w:rPr>
        <w:t>is our Executive Vice President, Chief Administrative Officer, General Counsel and Secretary. She is also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chair of the board of directors of CoreSite. Ms. Dowling joined us in 2011 and previously held the roles of Senior Vice President, Corporate Legal, and Senior Vice President and General Counsel for the EMEA and Latin America regions. In addition, she led American Tower’s Global Remobilization Project Team to care for the safety and well-being of employees during the pandemic. She also serves as co-Executive Sponsor of American Tower’s employee resource group for women, WAATCH. Prior to joining us, Ms. Dowling was a partner and co-chair of the 150-member litigation department at Edwards Angell Palmer &amp; Dodge LLP and clerked for the Honorable Fred I. Parker of the United States Second Circuit Court of Appeals. Ms. Dowling earned her law degree from Duke University School of Law with high honors and a Bachelor of Arts from the University of North Carolina Chapel Hill with honors.</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b w:val="1"/>
          <w:bCs w:val="1"/>
          <w:color w:val="231F20"/>
        </w:rPr>
        <w:t xml:space="preserve">Juan A. Font </w:t>
      </w:r>
      <w:r>
        <w:rPr>
          <w:rFonts w:ascii="Times New Roman" w:cs="Times New Roman" w:eastAsia="Times New Roman" w:hAnsi="Times New Roman"/>
          <w:sz w:val="19"/>
          <w:szCs w:val="19"/>
          <w:color w:val="231F20"/>
        </w:rPr>
        <w:t>is our Senior Vice President and President and CEO, CoreSite. He is also a director of ATC Europe and CoreSite.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Mr. Font is responsible for leading the strategy, innovation and growth to achieve CoreSite’s vision of empowering a more connected future by increasing revenue growth and return on invested capital to the American Tower data center portfolio. Mr. Font joined CoreSite in 2010 and has held positions of increasing responsibility within the organization. He has more than 25 years of experience in general management, direct sales, business operations, and finance in the data center and telecommunications industries. Prior to joining CoreSite, Mr. Font held direct sales contributor roles with Equinix, covering strategic verticals. He also held positions of increasing responsibility with Teleglobe in financial management and business operations across European markets and increased his understanding of capital-intensive industries at The World Bank Group, where he oversaw investments in the power sector. Mr. Font received an M.B.A. from The Kogod School of Business at The American University and a Bachelor of Arts in Business Economics and Finance from the Universidad Complutense of Madrid.</w:t>
      </w:r>
    </w:p>
    <w:p>
      <w:pPr>
        <w:spacing w:after="0" w:line="151" w:lineRule="exact"/>
        <w:rPr>
          <w:sz w:val="20"/>
          <w:szCs w:val="20"/>
          <w:color w:val="auto"/>
        </w:rPr>
      </w:pPr>
    </w:p>
    <w:p>
      <w:pPr>
        <w:jc w:val="both"/>
        <w:ind w:right="200"/>
        <w:spacing w:after="0" w:line="313" w:lineRule="auto"/>
        <w:rPr>
          <w:sz w:val="20"/>
          <w:szCs w:val="20"/>
          <w:color w:val="auto"/>
        </w:rPr>
      </w:pPr>
      <w:r>
        <w:rPr>
          <w:rFonts w:ascii="Times New Roman" w:cs="Times New Roman" w:eastAsia="Times New Roman" w:hAnsi="Times New Roman"/>
          <w:sz w:val="19"/>
          <w:szCs w:val="19"/>
          <w:b w:val="1"/>
          <w:bCs w:val="1"/>
          <w:color w:val="231F20"/>
        </w:rPr>
        <w:t xml:space="preserve">Robert J. Meyer </w:t>
      </w:r>
      <w:r>
        <w:rPr>
          <w:rFonts w:ascii="Times New Roman" w:cs="Times New Roman" w:eastAsia="Times New Roman" w:hAnsi="Times New Roman"/>
          <w:sz w:val="19"/>
          <w:szCs w:val="19"/>
          <w:color w:val="231F20"/>
        </w:rPr>
        <w:t>is our Senior Vice President and Chief Accounting Officer and will remain in this role until April 27, 2026,</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after which he will assist with the transition until his retirement from the Company, which will occur prior to the end of 2026.</w:t>
      </w:r>
    </w:p>
    <w:p>
      <w:pPr>
        <w:sectPr>
          <w:pgSz w:w="11880" w:h="15480" w:orient="portrait"/>
          <w:cols w:equalWidth="0" w:num="1">
            <w:col w:w="10240"/>
          </w:cols>
          <w:pgMar w:left="820" w:top="386" w:right="820" w:bottom="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240"/>
          </w:cols>
          <w:pgMar w:left="820" w:top="386" w:right="820" w:bottom="0" w:gutter="0" w:footer="0" w:header="0"/>
          <w:type w:val="continuous"/>
        </w:sectPr>
      </w:pPr>
    </w:p>
    <w:bookmarkStart w:id="75" w:name="page76"/>
    <w:bookmarkEnd w:id="75"/>
    <w:p>
      <w:pPr>
        <w:ind w:right="20"/>
        <w:spacing w:after="0" w:line="255" w:lineRule="auto"/>
        <w:rPr>
          <w:sz w:val="20"/>
          <w:szCs w:val="20"/>
          <w:color w:val="auto"/>
        </w:rPr>
      </w:pPr>
      <w:r>
        <w:rPr>
          <w:rFonts w:ascii="Times New Roman" w:cs="Times New Roman" w:eastAsia="Times New Roman" w:hAnsi="Times New Roman"/>
          <w:sz w:val="20"/>
          <w:szCs w:val="20"/>
          <w:color w:val="231F20"/>
        </w:rPr>
        <w:t>Mr. Meyer joined us in August 2008 as our Senior Vice President, Finance and Corporate Controller and served in that role until January 2020 when he was appointed to his current position. Prior to joining us, Mr. Meyer was with Bright Horizons Family Solutions since 1998, a provider of child care, early education and work/life consulting services, where he most recently served as Chief Accounting Officer. Mr. Meyer also served as Corporate Controller and Vice President of Finance while at Bright Horizons. Prior to that, from 1997 to 1998, Mr. Meyer served as Director of Financial Planning and Analysis at First Security Services Corp. Mr. Meyer earned a Masters in Finance from Bentley University and a Bachelor of Science in Accounting from Marquette University, and is a Certified Public Accountant.</w:t>
      </w:r>
    </w:p>
    <w:p>
      <w:pPr>
        <w:spacing w:after="0" w:line="1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b w:val="1"/>
          <w:bCs w:val="1"/>
          <w:color w:val="231F20"/>
        </w:rPr>
        <w:t xml:space="preserve">Eugene M. Noel </w:t>
      </w:r>
      <w:r>
        <w:rPr>
          <w:rFonts w:ascii="Times New Roman" w:cs="Times New Roman" w:eastAsia="Times New Roman" w:hAnsi="Times New Roman"/>
          <w:sz w:val="19"/>
          <w:szCs w:val="19"/>
          <w:color w:val="231F20"/>
        </w:rPr>
        <w:t>is our Executive Vice President and Chief Operating Officer. He is also a director of ATC Europe and</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CoreSite. Mr. Noel joined us in 2011, and previously held the roles of Executive Vice President and President, U.S. Tower Division and Senior Vice President and Chief Operating Officer, U.S. Tower Division. Mr. Noel has more than 25 years of telecommunications real estate development and operations and network deployment experience. Mr. Noel is a board member of the WIA and a former board member of the Tower Families Foundation and Warriors4Wireless. Prior to joining us, he was Vice President of Network Development for LightSquared (now Ligado Networks), with responsibility for the development and implementation of the company’s national network deployment strategy. He spent 11 years with Sprint Nextel, beginning as Director of Radio Services, then becoming Vice President for Northeast Site Development, and finally becoming Vice President for National Site Development. Mr. Noel is a graduate of East Carolina University with a Bachelor of Science in Industrial Engineering and has earned an Executive Certificate from the McDonough School of Business at Georgetown University.</w:t>
      </w:r>
    </w:p>
    <w:p>
      <w:pPr>
        <w:spacing w:after="0" w:line="11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b w:val="1"/>
          <w:bCs w:val="1"/>
          <w:color w:val="231F20"/>
        </w:rPr>
        <w:t xml:space="preserve">Richard C. Rossi </w:t>
      </w:r>
      <w:r>
        <w:rPr>
          <w:rFonts w:ascii="Times New Roman" w:cs="Times New Roman" w:eastAsia="Times New Roman" w:hAnsi="Times New Roman"/>
          <w:sz w:val="20"/>
          <w:szCs w:val="20"/>
          <w:color w:val="231F20"/>
        </w:rPr>
        <w:t>is our Executive Vice President and President, U.S. Tower. Prior to this role, Mr. Rossi served as our Senior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Vice President and General Counsel, U.S. Tower Division, a position he had held since 2018. He is also a director of CoreSite. Mr. Rossi joined us in 2001 and served in various operational and legal roles for U.S. Tower, including Director of Contract Management and Vice President of Legal. Mr. Rossi serves as the Vice Chair for WIA’s board of directors and is a member of the boards of CTIA and East Cambridge Savings Bank. Mr. Rossi received his J.D. from Boston College Law School and graduated magna cum laude from Providence College with a Bachelor of Arts degree in Political Science.</w:t>
      </w:r>
    </w:p>
    <w:p>
      <w:pPr>
        <w:spacing w:after="0" w:line="12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231F20"/>
        </w:rPr>
        <w:t>The information under “Election of Directors” and “Delinquent Section 16(a) Reports,” if applicable, from the Definitive Proxy Statement is incorporated herein by reference. Information required by this item pursuant to Item 407(c)(3) of SEC Regulation S-K relating to our procedures by which security holders may recommend nominees to our Board, and pursuant to</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Item 407(d)(4) and 407(d)(5) of SEC Regulation S-K relating to our audit committee financial experts and identification of the audit committee of our Board, is contained in the Definitive Proxy Statement under “Corporate Governance” and is incorporated herein by reference.</w:t>
      </w:r>
    </w:p>
    <w:p>
      <w:pPr>
        <w:spacing w:after="0" w:line="1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231F20"/>
        </w:rPr>
        <w:t>Information regarding our Code of Conduct applicable to our principal executive officer, our principal financial officer, our controller and other senior financial officers appears in Item 1 of this Annual Report under the caption “Business—Available Information.”</w:t>
      </w:r>
    </w:p>
    <w:p>
      <w:pPr>
        <w:sectPr>
          <w:pgSz w:w="11880" w:h="15480" w:orient="portrait"/>
          <w:cols w:equalWidth="0" w:num="1">
            <w:col w:w="10240"/>
          </w:cols>
          <w:pgMar w:left="820" w:top="39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240"/>
          </w:cols>
          <w:pgMar w:left="820" w:top="393" w:right="82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231F20"/>
        </w:rPr>
        <w:t>Insider Trading Policies and Procedures</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We have adopted an Anti-Insider Trading Policy governing the purchase, sale and/or other dispositions of our securities by our directors, officers, employees and contractors and by the Company, that we believe is reasonably designed to promote compliance with insider trading laws, rules and regulations and applicable listing standards. A copy of our Anti-Insider Trading Policy is filed with this Annual Report as Exhibit 19.1.</w:t>
      </w:r>
    </w:p>
    <w:p>
      <w:pPr>
        <w:spacing w:after="0" w:line="191"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11.</w:t>
      </w:r>
      <w:r>
        <w:rPr>
          <w:sz w:val="20"/>
          <w:szCs w:val="20"/>
          <w:color w:val="auto"/>
        </w:rPr>
        <w:tab/>
      </w:r>
      <w:r>
        <w:rPr>
          <w:rFonts w:ascii="Times New Roman" w:cs="Times New Roman" w:eastAsia="Times New Roman" w:hAnsi="Times New Roman"/>
          <w:sz w:val="20"/>
          <w:szCs w:val="20"/>
          <w:b w:val="1"/>
          <w:bCs w:val="1"/>
          <w:color w:val="231F20"/>
        </w:rPr>
        <w:t>EXECUTIVE COMPENSATION</w:t>
      </w:r>
    </w:p>
    <w:p>
      <w:pPr>
        <w:spacing w:after="0" w:line="24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231F20"/>
        </w:rPr>
        <w:t>The information under “Compensation and Other Information Concerning Directors and Officers” from the Definitive Proxy Statement, except as to information required pursuant to Item 402(v) of SEC Regulation S-K relating to pay versus performance, is incorporated herein by reference.</w:t>
      </w:r>
    </w:p>
    <w:p>
      <w:pPr>
        <w:spacing w:after="0" w:line="183" w:lineRule="exact"/>
        <w:rPr>
          <w:sz w:val="20"/>
          <w:szCs w:val="20"/>
          <w:color w:val="auto"/>
        </w:rPr>
      </w:pPr>
    </w:p>
    <w:p>
      <w:pPr>
        <w:ind w:left="1260" w:right="580" w:hanging="1214"/>
        <w:spacing w:after="0" w:line="244" w:lineRule="auto"/>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12.</w:t>
      </w:r>
      <w:r>
        <w:rPr>
          <w:sz w:val="20"/>
          <w:szCs w:val="20"/>
          <w:color w:val="auto"/>
        </w:rPr>
        <w:tab/>
      </w:r>
      <w:r>
        <w:rPr>
          <w:rFonts w:ascii="Times New Roman" w:cs="Times New Roman" w:eastAsia="Times New Roman" w:hAnsi="Times New Roman"/>
          <w:sz w:val="20"/>
          <w:szCs w:val="20"/>
          <w:b w:val="1"/>
          <w:bCs w:val="1"/>
          <w:color w:val="231F20"/>
        </w:rPr>
        <w:t>SECURITY OWNERSHIP OF CERTAIN BENEFICIAL OWNERS AND MANAGEMENT AND RELATED STOCKHOLDER MATTERS</w:t>
      </w:r>
    </w:p>
    <w:p>
      <w:pPr>
        <w:spacing w:after="0" w:line="20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231F20"/>
        </w:rPr>
        <w:t>The information under “Security Ownership of Certain Beneficial Owners and Management” and “Securities Authorized for Issuance Under Equity Compensation Plans” from the Definitive Proxy Statement is incorporated herein by reference.</w:t>
      </w:r>
    </w:p>
    <w:p>
      <w:pPr>
        <w:spacing w:after="0" w:line="169" w:lineRule="exact"/>
        <w:rPr>
          <w:sz w:val="20"/>
          <w:szCs w:val="20"/>
          <w:color w:val="auto"/>
        </w:rPr>
      </w:pPr>
    </w:p>
    <w:p>
      <w:pPr>
        <w:ind w:left="1260" w:right="1560" w:hanging="1214"/>
        <w:spacing w:after="0" w:line="244" w:lineRule="auto"/>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13.</w:t>
      </w:r>
      <w:r>
        <w:rPr>
          <w:sz w:val="20"/>
          <w:szCs w:val="20"/>
          <w:color w:val="auto"/>
        </w:rPr>
        <w:tab/>
      </w:r>
      <w:r>
        <w:rPr>
          <w:rFonts w:ascii="Times New Roman" w:cs="Times New Roman" w:eastAsia="Times New Roman" w:hAnsi="Times New Roman"/>
          <w:sz w:val="20"/>
          <w:szCs w:val="20"/>
          <w:b w:val="1"/>
          <w:bCs w:val="1"/>
          <w:color w:val="231F20"/>
        </w:rPr>
        <w:t>CERTAIN RELATIONSHIPS AND RELATED TRANSACTIONS, AND DIRECTOR INDEPENDENCE</w:t>
      </w:r>
    </w:p>
    <w:p>
      <w:pPr>
        <w:spacing w:after="0" w:line="45"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231F20"/>
        </w:rPr>
        <w:t>Information required by this item pursuant to Item 404 of SEC Regulation S-K relating to approval of related party transactions is contained in the Definitive Proxy Statement under “Corporate Governance” and is incorporated herein by reference.</w:t>
      </w:r>
    </w:p>
    <w:p>
      <w:pPr>
        <w:spacing w:after="0" w:line="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Information required by this item pursuant to Item 407(a) of SEC Regulation S-K relating to director independence is contained in the Definitive Proxy Statement under “Corporate Governance” and is incorporated herein by reference.</w:t>
      </w:r>
    </w:p>
    <w:p>
      <w:pPr>
        <w:spacing w:after="0" w:line="169"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14.</w:t>
      </w:r>
      <w:r>
        <w:rPr>
          <w:sz w:val="20"/>
          <w:szCs w:val="20"/>
          <w:color w:val="auto"/>
        </w:rPr>
        <w:tab/>
      </w:r>
      <w:r>
        <w:rPr>
          <w:rFonts w:ascii="Times New Roman" w:cs="Times New Roman" w:eastAsia="Times New Roman" w:hAnsi="Times New Roman"/>
          <w:sz w:val="19"/>
          <w:szCs w:val="19"/>
          <w:b w:val="1"/>
          <w:bCs w:val="1"/>
          <w:color w:val="231F20"/>
        </w:rPr>
        <w:t>PRINCIPAL ACCOUNTING FEES AND SERVICES</w:t>
      </w:r>
    </w:p>
    <w:p>
      <w:pPr>
        <w:spacing w:after="0" w:line="24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The information under “Independent Auditor Fees and Other Matters” from the Definitive Proxy Statement is incorporated herein by reference.</w:t>
      </w:r>
    </w:p>
    <w:p>
      <w:pPr>
        <w:sectPr>
          <w:pgSz w:w="11880" w:h="15480" w:orient="portrait"/>
          <w:cols w:equalWidth="0" w:num="1">
            <w:col w:w="10220"/>
          </w:cols>
          <w:pgMar w:left="820" w:top="38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220"/>
          </w:cols>
          <w:pgMar w:left="820" w:top="386" w:right="840" w:bottom="0" w:gutter="0" w:footer="0" w:header="0"/>
          <w:type w:val="continuous"/>
        </w:sectPr>
      </w:pPr>
    </w:p>
    <w:bookmarkStart w:id="77" w:name="page78"/>
    <w:bookmarkEnd w:id="77"/>
    <w:p>
      <w:pPr>
        <w:ind w:left="473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85" w:lineRule="exact"/>
        <w:rPr>
          <w:sz w:val="20"/>
          <w:szCs w:val="20"/>
          <w:color w:val="auto"/>
        </w:rPr>
      </w:pPr>
    </w:p>
    <w:p>
      <w:pPr>
        <w:ind w:left="50"/>
        <w:spacing w:after="0"/>
        <w:tabs>
          <w:tab w:leader="none" w:pos="1250" w:val="left"/>
        </w:tabs>
        <w:rPr>
          <w:sz w:val="20"/>
          <w:szCs w:val="20"/>
          <w:color w:val="auto"/>
        </w:rPr>
      </w:pPr>
      <w:r>
        <w:rPr>
          <w:rFonts w:ascii="Times New Roman" w:cs="Times New Roman" w:eastAsia="Times New Roman" w:hAnsi="Times New Roman"/>
          <w:sz w:val="20"/>
          <w:szCs w:val="20"/>
          <w:b w:val="1"/>
          <w:bCs w:val="1"/>
          <w:color w:val="231F20"/>
        </w:rPr>
        <w:t>ITEM 15.</w:t>
      </w:r>
      <w:r>
        <w:rPr>
          <w:sz w:val="20"/>
          <w:szCs w:val="20"/>
          <w:color w:val="auto"/>
        </w:rPr>
        <w:tab/>
      </w:r>
      <w:r>
        <w:rPr>
          <w:rFonts w:ascii="Times New Roman" w:cs="Times New Roman" w:eastAsia="Times New Roman" w:hAnsi="Times New Roman"/>
          <w:sz w:val="19"/>
          <w:szCs w:val="19"/>
          <w:b w:val="1"/>
          <w:bCs w:val="1"/>
          <w:color w:val="231F20"/>
        </w:rPr>
        <w:t>EXHIBITS, FINANCIAL STATEMENT SCHEDULES</w:t>
      </w:r>
    </w:p>
    <w:p>
      <w:pPr>
        <w:spacing w:after="0" w:line="247" w:lineRule="exact"/>
        <w:rPr>
          <w:sz w:val="20"/>
          <w:szCs w:val="20"/>
          <w:color w:val="auto"/>
        </w:rPr>
      </w:pPr>
    </w:p>
    <w:p>
      <w:pPr>
        <w:ind w:left="730" w:hanging="730"/>
        <w:spacing w:after="0"/>
        <w:tabs>
          <w:tab w:leader="none" w:pos="730" w:val="left"/>
        </w:tabs>
        <w:numPr>
          <w:ilvl w:val="0"/>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following documents are filed as a part of this report:</w:t>
      </w:r>
    </w:p>
    <w:p>
      <w:pPr>
        <w:spacing w:after="0" w:line="166" w:lineRule="exact"/>
        <w:rPr>
          <w:rFonts w:ascii="Times New Roman" w:cs="Times New Roman" w:eastAsia="Times New Roman" w:hAnsi="Times New Roman"/>
          <w:sz w:val="20"/>
          <w:szCs w:val="20"/>
          <w:color w:val="231F20"/>
        </w:rPr>
      </w:pPr>
    </w:p>
    <w:p>
      <w:pPr>
        <w:ind w:left="10" w:right="320" w:firstLine="710"/>
        <w:spacing w:after="0" w:line="268" w:lineRule="auto"/>
        <w:tabs>
          <w:tab w:leader="none" w:pos="930"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Financial Statements. </w:t>
      </w:r>
      <w:r>
        <w:rPr>
          <w:rFonts w:ascii="Times New Roman" w:cs="Times New Roman" w:eastAsia="Times New Roman" w:hAnsi="Times New Roman"/>
          <w:sz w:val="20"/>
          <w:szCs w:val="20"/>
          <w:color w:val="231F20"/>
        </w:rPr>
        <w:t>See Index to Consolidated Financial Statements, which appears on page F-1 hereof.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financial statements listed in the accompanying Index to Consolidated Financial Statements are filed herewith in response to this Item.</w:t>
      </w:r>
    </w:p>
    <w:p>
      <w:pPr>
        <w:spacing w:after="0" w:line="109" w:lineRule="exact"/>
        <w:rPr>
          <w:rFonts w:ascii="Times New Roman" w:cs="Times New Roman" w:eastAsia="Times New Roman" w:hAnsi="Times New Roman"/>
          <w:sz w:val="20"/>
          <w:szCs w:val="20"/>
          <w:color w:val="231F20"/>
        </w:rPr>
      </w:pPr>
    </w:p>
    <w:p>
      <w:pPr>
        <w:ind w:left="10" w:right="440" w:firstLine="710"/>
        <w:spacing w:after="0" w:line="285" w:lineRule="auto"/>
        <w:tabs>
          <w:tab w:leader="none" w:pos="930"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Financial Statement Schedules. </w:t>
      </w:r>
      <w:r>
        <w:rPr>
          <w:rFonts w:ascii="Times New Roman" w:cs="Times New Roman" w:eastAsia="Times New Roman" w:hAnsi="Times New Roman"/>
          <w:sz w:val="20"/>
          <w:szCs w:val="20"/>
          <w:color w:val="231F20"/>
        </w:rPr>
        <w:t>American Tower Corporation and Subsidiaries Schedule III – Schedule of Real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Estate and Accumulated Depreciation is filed herewith in response to this Item.</w:t>
      </w:r>
    </w:p>
    <w:p>
      <w:pPr>
        <w:spacing w:after="0" w:line="93" w:lineRule="exact"/>
        <w:rPr>
          <w:rFonts w:ascii="Times New Roman" w:cs="Times New Roman" w:eastAsia="Times New Roman" w:hAnsi="Times New Roman"/>
          <w:sz w:val="20"/>
          <w:szCs w:val="20"/>
          <w:color w:val="231F20"/>
        </w:rPr>
      </w:pPr>
    </w:p>
    <w:p>
      <w:pPr>
        <w:ind w:left="930" w:hanging="210"/>
        <w:spacing w:after="0"/>
        <w:tabs>
          <w:tab w:leader="none" w:pos="930" w:val="left"/>
        </w:tabs>
        <w:numPr>
          <w:ilvl w:val="1"/>
          <w:numId w:val="6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Exhibits.</w:t>
      </w:r>
    </w:p>
    <w:p>
      <w:pPr>
        <w:spacing w:after="0" w:line="176" w:lineRule="exact"/>
        <w:rPr>
          <w:sz w:val="20"/>
          <w:szCs w:val="20"/>
          <w:color w:val="auto"/>
        </w:rPr>
      </w:pPr>
    </w:p>
    <w:p>
      <w:pPr>
        <w:ind w:left="10" w:right="160"/>
        <w:spacing w:after="0" w:line="269" w:lineRule="auto"/>
        <w:rPr>
          <w:sz w:val="20"/>
          <w:szCs w:val="20"/>
          <w:color w:val="auto"/>
        </w:rPr>
      </w:pPr>
      <w:r>
        <w:rPr>
          <w:rFonts w:ascii="Times New Roman" w:cs="Times New Roman" w:eastAsia="Times New Roman" w:hAnsi="Times New Roman"/>
          <w:sz w:val="18"/>
          <w:szCs w:val="18"/>
          <w:color w:val="231F20"/>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the Company’s public disclosure,</w:t>
      </w:r>
    </w:p>
    <w:p>
      <w:pPr>
        <w:spacing w:after="0" w:line="1" w:lineRule="exact"/>
        <w:rPr>
          <w:sz w:val="20"/>
          <w:szCs w:val="20"/>
          <w:color w:val="auto"/>
        </w:rPr>
      </w:pPr>
    </w:p>
    <w:p>
      <w:pPr>
        <w:ind w:left="10" w:right="320" w:hanging="10"/>
        <w:spacing w:after="0" w:line="255" w:lineRule="auto"/>
        <w:tabs>
          <w:tab w:leader="none" w:pos="342" w:val="left"/>
        </w:tabs>
        <w:numPr>
          <w:ilvl w:val="0"/>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may reflect the allocation of risk among the parties to such agreements and (iv)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126" w:lineRule="exact"/>
        <w:rPr>
          <w:sz w:val="20"/>
          <w:szCs w:val="20"/>
          <w:color w:val="auto"/>
        </w:rPr>
      </w:pPr>
    </w:p>
    <w:p>
      <w:pPr>
        <w:ind w:left="10" w:right="80"/>
        <w:spacing w:after="0" w:line="261" w:lineRule="auto"/>
        <w:rPr>
          <w:sz w:val="20"/>
          <w:szCs w:val="20"/>
          <w:color w:val="auto"/>
        </w:rPr>
      </w:pPr>
      <w:r>
        <w:rPr>
          <w:rFonts w:ascii="Times New Roman" w:cs="Times New Roman" w:eastAsia="Times New Roman" w:hAnsi="Times New Roman"/>
          <w:sz w:val="19"/>
          <w:szCs w:val="19"/>
          <w:color w:val="231F20"/>
        </w:rPr>
        <w:t>The exhibits below are included, either by being filed herewith or by incorporation by reference, as part of this Annual Report on Form 10-K. Exhibits are identified according to the number assigned to them in Item 601 of SEC Regulation S-K. Documents that are incorporated by reference are identified by their Exhibit number as set forth in the filing from which they are incorporated by reference.</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2800" w:type="dxa"/>
            <w:vAlign w:val="bottom"/>
            <w:tcBorders>
              <w:bottom w:val="single" w:sz="8" w:color="231F20"/>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22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 No.</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840" w:type="dxa"/>
            <w:vAlign w:val="bottom"/>
            <w:gridSpan w:val="5"/>
          </w:tcPr>
          <w:p>
            <w:pPr>
              <w:jc w:val="center"/>
              <w:ind w:left="10"/>
              <w:spacing w:after="0" w:line="139"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540" w:type="dxa"/>
            <w:vAlign w:val="bottom"/>
            <w:tcBorders>
              <w:top w:val="single" w:sz="8" w:color="231F20"/>
            </w:tcBorders>
            <w:gridSpan w:val="2"/>
          </w:tcPr>
          <w:p>
            <w:pPr>
              <w:spacing w:after="0" w:line="140" w:lineRule="exact"/>
              <w:rPr>
                <w:sz w:val="20"/>
                <w:szCs w:val="20"/>
                <w:color w:val="auto"/>
              </w:rPr>
            </w:pPr>
            <w:r>
              <w:rPr>
                <w:rFonts w:ascii="Times New Roman" w:cs="Times New Roman" w:eastAsia="Times New Roman" w:hAnsi="Times New Roman"/>
                <w:sz w:val="16"/>
                <w:szCs w:val="16"/>
                <w:b w:val="1"/>
                <w:bCs w:val="1"/>
                <w:color w:val="231F20"/>
              </w:rPr>
              <w:t>No.</w:t>
            </w:r>
          </w:p>
        </w:tc>
        <w:tc>
          <w:tcPr>
            <w:tcW w:w="174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40" w:type="dxa"/>
            <w:vAlign w:val="bottom"/>
            <w:tcBorders>
              <w:top w:val="single" w:sz="8" w:color="231F20"/>
            </w:tcBorders>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00" w:type="dxa"/>
            <w:vAlign w:val="bottom"/>
            <w:tcBorders>
              <w:top w:val="single" w:sz="8" w:color="231F20"/>
            </w:tcBorders>
          </w:tcPr>
          <w:p>
            <w:pPr>
              <w:spacing w:after="0"/>
              <w:rPr>
                <w:sz w:val="11"/>
                <w:szCs w:val="11"/>
                <w:color w:val="auto"/>
              </w:rPr>
            </w:pP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top w:val="single" w:sz="8" w:color="231F20"/>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Borders>
              <w:top w:val="single" w:sz="8" w:color="231F20"/>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231F2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231F2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80" w:type="dxa"/>
            <w:vAlign w:val="bottom"/>
            <w:gridSpan w:val="3"/>
            <w:shd w:val="clear" w:color="auto" w:fill="E3E4E5"/>
          </w:tcPr>
          <w:p>
            <w:pPr>
              <w:ind w:left="40"/>
              <w:spacing w:after="0" w:line="213" w:lineRule="exact"/>
              <w:rPr>
                <w:sz w:val="20"/>
                <w:szCs w:val="20"/>
                <w:color w:val="auto"/>
              </w:rPr>
            </w:pPr>
            <w:r>
              <w:rPr>
                <w:rFonts w:ascii="Times New Roman" w:cs="Times New Roman" w:eastAsia="Times New Roman" w:hAnsi="Times New Roman"/>
                <w:sz w:val="20"/>
                <w:szCs w:val="20"/>
                <w:color w:val="231F20"/>
              </w:rPr>
              <w:t>2.1</w:t>
            </w:r>
          </w:p>
        </w:tc>
        <w:tc>
          <w:tcPr>
            <w:tcW w:w="5080" w:type="dxa"/>
            <w:vAlign w:val="bottom"/>
            <w:gridSpan w:val="3"/>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Agreement and Plan of Merger by and between</w:t>
            </w:r>
          </w:p>
        </w:tc>
        <w:tc>
          <w:tcPr>
            <w:tcW w:w="260" w:type="dxa"/>
            <w:vAlign w:val="bottom"/>
            <w:shd w:val="clear" w:color="auto" w:fill="E3E4E5"/>
          </w:tcPr>
          <w:p>
            <w:pPr>
              <w:spacing w:after="0"/>
              <w:rPr>
                <w:sz w:val="18"/>
                <w:szCs w:val="18"/>
                <w:color w:val="auto"/>
              </w:rPr>
            </w:pPr>
          </w:p>
        </w:tc>
        <w:tc>
          <w:tcPr>
            <w:tcW w:w="38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480" w:type="dxa"/>
            <w:vAlign w:val="bottom"/>
            <w:shd w:val="clear" w:color="auto" w:fill="E3E4E5"/>
          </w:tcPr>
          <w:p>
            <w:pPr>
              <w:spacing w:after="0"/>
              <w:rPr>
                <w:sz w:val="18"/>
                <w:szCs w:val="18"/>
                <w:color w:val="auto"/>
              </w:rPr>
            </w:pPr>
          </w:p>
        </w:tc>
        <w:tc>
          <w:tcPr>
            <w:tcW w:w="520" w:type="dxa"/>
            <w:vAlign w:val="bottom"/>
            <w:shd w:val="clear" w:color="auto" w:fill="E3E4E5"/>
          </w:tcPr>
          <w:p>
            <w:pPr>
              <w:spacing w:after="0"/>
              <w:rPr>
                <w:sz w:val="18"/>
                <w:szCs w:val="18"/>
                <w:color w:val="auto"/>
              </w:rPr>
            </w:pPr>
          </w:p>
        </w:tc>
        <w:tc>
          <w:tcPr>
            <w:tcW w:w="400" w:type="dxa"/>
            <w:vAlign w:val="bottom"/>
            <w:shd w:val="clear" w:color="auto" w:fill="E3E4E5"/>
          </w:tcPr>
          <w:p>
            <w:pPr>
              <w:spacing w:after="0"/>
              <w:rPr>
                <w:sz w:val="18"/>
                <w:szCs w:val="18"/>
                <w:color w:val="auto"/>
              </w:rPr>
            </w:pPr>
          </w:p>
        </w:tc>
        <w:tc>
          <w:tcPr>
            <w:tcW w:w="240" w:type="dxa"/>
            <w:vAlign w:val="bottom"/>
            <w:shd w:val="clear" w:color="auto" w:fill="E3E4E5"/>
          </w:tcPr>
          <w:p>
            <w:pPr>
              <w:spacing w:after="0"/>
              <w:rPr>
                <w:sz w:val="18"/>
                <w:szCs w:val="18"/>
                <w:color w:val="auto"/>
              </w:rPr>
            </w:pPr>
          </w:p>
        </w:tc>
        <w:tc>
          <w:tcPr>
            <w:tcW w:w="9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8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shd w:val="clear" w:color="auto" w:fill="E3E4E5"/>
          </w:tcPr>
          <w:p>
            <w:pPr>
              <w:spacing w:after="0"/>
              <w:rPr>
                <w:sz w:val="18"/>
                <w:szCs w:val="18"/>
                <w:color w:val="auto"/>
              </w:rPr>
            </w:pPr>
          </w:p>
        </w:tc>
        <w:tc>
          <w:tcPr>
            <w:tcW w:w="240" w:type="dxa"/>
            <w:vAlign w:val="bottom"/>
            <w:shd w:val="clear" w:color="auto" w:fill="E3E4E5"/>
          </w:tcPr>
          <w:p>
            <w:pPr>
              <w:spacing w:after="0"/>
              <w:rPr>
                <w:sz w:val="18"/>
                <w:szCs w:val="18"/>
                <w:color w:val="auto"/>
              </w:rPr>
            </w:pPr>
          </w:p>
        </w:tc>
        <w:tc>
          <w:tcPr>
            <w:tcW w:w="300" w:type="dxa"/>
            <w:vAlign w:val="bottom"/>
            <w:shd w:val="clear" w:color="auto" w:fill="E3E4E5"/>
          </w:tcPr>
          <w:p>
            <w:pPr>
              <w:spacing w:after="0"/>
              <w:rPr>
                <w:sz w:val="18"/>
                <w:szCs w:val="18"/>
                <w:color w:val="auto"/>
              </w:rPr>
            </w:pPr>
          </w:p>
        </w:tc>
        <w:tc>
          <w:tcPr>
            <w:tcW w:w="5080" w:type="dxa"/>
            <w:vAlign w:val="bottom"/>
            <w:gridSpan w:val="3"/>
            <w:shd w:val="clear" w:color="auto" w:fill="E3E4E5"/>
          </w:tcPr>
          <w:p>
            <w:pPr>
              <w:ind w:left="400"/>
              <w:spacing w:after="0" w:line="218" w:lineRule="exact"/>
              <w:rPr>
                <w:sz w:val="20"/>
                <w:szCs w:val="20"/>
                <w:color w:val="auto"/>
              </w:rPr>
            </w:pPr>
            <w:r>
              <w:rPr>
                <w:rFonts w:ascii="Times New Roman" w:cs="Times New Roman" w:eastAsia="Times New Roman" w:hAnsi="Times New Roman"/>
                <w:sz w:val="20"/>
                <w:szCs w:val="20"/>
                <w:color w:val="231F20"/>
              </w:rPr>
              <w:t>American Tower Corporation and American Tower</w:t>
            </w:r>
          </w:p>
        </w:tc>
        <w:tc>
          <w:tcPr>
            <w:tcW w:w="260" w:type="dxa"/>
            <w:vAlign w:val="bottom"/>
            <w:shd w:val="clear" w:color="auto" w:fill="E3E4E5"/>
          </w:tcPr>
          <w:p>
            <w:pPr>
              <w:spacing w:after="0"/>
              <w:rPr>
                <w:sz w:val="18"/>
                <w:szCs w:val="18"/>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8"/>
                <w:szCs w:val="18"/>
                <w:color w:val="auto"/>
              </w:rPr>
            </w:pPr>
          </w:p>
        </w:tc>
        <w:tc>
          <w:tcPr>
            <w:tcW w:w="1160" w:type="dxa"/>
            <w:vAlign w:val="bottom"/>
            <w:gridSpan w:val="2"/>
            <w:shd w:val="clear" w:color="auto" w:fill="E3E4E5"/>
          </w:tcPr>
          <w:p>
            <w:pPr>
              <w:jc w:val="center"/>
              <w:ind w:right="240"/>
              <w:spacing w:after="0" w:line="218" w:lineRule="exact"/>
              <w:rPr>
                <w:sz w:val="20"/>
                <w:szCs w:val="20"/>
                <w:color w:val="auto"/>
              </w:rPr>
            </w:pPr>
            <w:r>
              <w:rPr>
                <w:rFonts w:ascii="Times New Roman" w:cs="Times New Roman" w:eastAsia="Times New Roman" w:hAnsi="Times New Roman"/>
                <w:sz w:val="20"/>
                <w:szCs w:val="20"/>
                <w:color w:val="231F20"/>
              </w:rPr>
              <w:t>August 25,</w:t>
            </w:r>
          </w:p>
        </w:tc>
        <w:tc>
          <w:tcPr>
            <w:tcW w:w="760" w:type="dxa"/>
            <w:vAlign w:val="bottom"/>
            <w:gridSpan w:val="4"/>
            <w:vMerge w:val="restart"/>
            <w:shd w:val="clear" w:color="auto" w:fill="E3E4E5"/>
          </w:tcPr>
          <w:p>
            <w:pPr>
              <w:jc w:val="center"/>
              <w:ind w:left="90"/>
              <w:spacing w:after="0"/>
              <w:rPr>
                <w:sz w:val="20"/>
                <w:szCs w:val="20"/>
                <w:color w:val="auto"/>
              </w:rPr>
            </w:pPr>
            <w:r>
              <w:rPr>
                <w:rFonts w:ascii="Times New Roman" w:cs="Times New Roman" w:eastAsia="Times New Roman" w:hAnsi="Times New Roman"/>
                <w:sz w:val="20"/>
                <w:szCs w:val="20"/>
                <w:color w:val="231F20"/>
              </w:rPr>
              <w:t>2.1</w:t>
            </w:r>
          </w:p>
        </w:tc>
        <w:tc>
          <w:tcPr>
            <w:tcW w:w="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REIT, Inc., dated as of August 24, 2011</w:t>
            </w:r>
          </w:p>
        </w:tc>
        <w:tc>
          <w:tcPr>
            <w:tcW w:w="260" w:type="dxa"/>
            <w:vAlign w:val="bottom"/>
            <w:shd w:val="clear" w:color="auto" w:fill="E3E4E5"/>
          </w:tcPr>
          <w:p>
            <w:pPr>
              <w:spacing w:after="0"/>
              <w:rPr>
                <w:sz w:val="23"/>
                <w:szCs w:val="23"/>
                <w:color w:val="auto"/>
              </w:rPr>
            </w:pPr>
          </w:p>
        </w:tc>
        <w:tc>
          <w:tcPr>
            <w:tcW w:w="700" w:type="dxa"/>
            <w:vAlign w:val="bottom"/>
            <w:gridSpan w:val="2"/>
            <w:vMerge w:val="continue"/>
            <w:shd w:val="clear" w:color="auto" w:fill="E3E4E5"/>
          </w:tcPr>
          <w:p>
            <w:pPr>
              <w:spacing w:after="0"/>
              <w:rPr>
                <w:sz w:val="23"/>
                <w:szCs w:val="23"/>
                <w:color w:val="auto"/>
              </w:rPr>
            </w:pPr>
          </w:p>
        </w:tc>
        <w:tc>
          <w:tcPr>
            <w:tcW w:w="1400" w:type="dxa"/>
            <w:vAlign w:val="bottom"/>
            <w:gridSpan w:val="3"/>
            <w:vMerge w:val="continue"/>
            <w:shd w:val="clear" w:color="auto" w:fill="E3E4E5"/>
          </w:tcPr>
          <w:p>
            <w:pPr>
              <w:spacing w:after="0"/>
              <w:rPr>
                <w:sz w:val="23"/>
                <w:szCs w:val="23"/>
                <w:color w:val="auto"/>
              </w:rPr>
            </w:pPr>
          </w:p>
        </w:tc>
        <w:tc>
          <w:tcPr>
            <w:tcW w:w="1180" w:type="dxa"/>
            <w:vAlign w:val="bottom"/>
            <w:gridSpan w:val="2"/>
            <w:shd w:val="clear" w:color="auto" w:fill="E3E4E5"/>
          </w:tcPr>
          <w:p>
            <w:pPr>
              <w:jc w:val="center"/>
              <w:ind w:left="130"/>
              <w:spacing w:after="0"/>
              <w:rPr>
                <w:sz w:val="20"/>
                <w:szCs w:val="20"/>
                <w:color w:val="auto"/>
              </w:rPr>
            </w:pPr>
            <w:r>
              <w:rPr>
                <w:rFonts w:ascii="Times New Roman" w:cs="Times New Roman" w:eastAsia="Times New Roman" w:hAnsi="Times New Roman"/>
                <w:sz w:val="20"/>
                <w:szCs w:val="20"/>
                <w:color w:val="231F20"/>
                <w:w w:val="99"/>
              </w:rPr>
              <w:t>2011</w:t>
            </w:r>
          </w:p>
        </w:tc>
        <w:tc>
          <w:tcPr>
            <w:tcW w:w="220" w:type="dxa"/>
            <w:vAlign w:val="bottom"/>
            <w:shd w:val="clear" w:color="auto" w:fill="E3E4E5"/>
          </w:tcPr>
          <w:p>
            <w:pPr>
              <w:spacing w:after="0"/>
              <w:rPr>
                <w:sz w:val="23"/>
                <w:szCs w:val="23"/>
                <w:color w:val="auto"/>
              </w:rPr>
            </w:pPr>
          </w:p>
        </w:tc>
        <w:tc>
          <w:tcPr>
            <w:tcW w:w="760" w:type="dxa"/>
            <w:vAlign w:val="bottom"/>
            <w:gridSpan w:val="4"/>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880" w:h="15480" w:orient="portrait"/>
          <w:cols w:equalWidth="0" w:num="1">
            <w:col w:w="10270"/>
          </w:cols>
          <w:pgMar w:left="810" w:top="386" w:right="800" w:bottom="0" w:gutter="0" w:footer="0" w:header="0"/>
        </w:sectPr>
      </w:pPr>
    </w:p>
    <w:tbl>
      <w:tblPr>
        <w:tblLayout w:type="fixed"/>
        <w:tblInd w:w="50" w:type="dxa"/>
        <w:tblCellMar>
          <w:top w:w="0" w:type="dxa"/>
          <w:left w:w="0" w:type="dxa"/>
          <w:bottom w:w="0" w:type="dxa"/>
          <w:right w:w="0" w:type="dxa"/>
        </w:tblCellMar>
      </w:tblPr>
      <w:tr>
        <w:trPr>
          <w:trHeight w:val="230"/>
        </w:trPr>
        <w:tc>
          <w:tcPr>
            <w:tcW w:w="6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95"/>
              </w:rPr>
              <w:t>3.1</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w w:val="99"/>
              </w:rPr>
              <w:t>Restated Certificate of Incorporation of the Company</w:t>
            </w:r>
          </w:p>
        </w:tc>
      </w:tr>
      <w:tr>
        <w:trPr>
          <w:trHeight w:val="200"/>
        </w:trPr>
        <w:tc>
          <w:tcPr>
            <w:tcW w:w="600" w:type="dxa"/>
            <w:vAlign w:val="bottom"/>
          </w:tcPr>
          <w:p>
            <w:pPr>
              <w:spacing w:after="0"/>
              <w:rPr>
                <w:sz w:val="17"/>
                <w:szCs w:val="17"/>
                <w:color w:val="auto"/>
              </w:rPr>
            </w:pPr>
          </w:p>
        </w:tc>
        <w:tc>
          <w:tcPr>
            <w:tcW w:w="46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as filed with the Secretary of State of the State of</w:t>
            </w:r>
          </w:p>
        </w:tc>
      </w:tr>
      <w:tr>
        <w:trPr>
          <w:trHeight w:val="260"/>
        </w:trPr>
        <w:tc>
          <w:tcPr>
            <w:tcW w:w="600" w:type="dxa"/>
            <w:vAlign w:val="bottom"/>
          </w:tcPr>
          <w:p>
            <w:pPr>
              <w:spacing w:after="0"/>
              <w:rPr>
                <w:sz w:val="22"/>
                <w:szCs w:val="22"/>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Delaware, effective as of December 31, 2011</w:t>
            </w:r>
          </w:p>
        </w:tc>
      </w:tr>
      <w:tr>
        <w:trPr>
          <w:trHeight w:val="365"/>
        </w:trPr>
        <w:tc>
          <w:tcPr>
            <w:tcW w:w="6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95"/>
              </w:rPr>
              <w:t>3.2</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Certificate of Merger, effective as of December 31,</w:t>
            </w:r>
          </w:p>
        </w:tc>
      </w:tr>
      <w:tr>
        <w:trPr>
          <w:trHeight w:val="260"/>
        </w:trPr>
        <w:tc>
          <w:tcPr>
            <w:tcW w:w="600" w:type="dxa"/>
            <w:vAlign w:val="bottom"/>
          </w:tcPr>
          <w:p>
            <w:pPr>
              <w:spacing w:after="0"/>
              <w:rPr>
                <w:sz w:val="22"/>
                <w:szCs w:val="22"/>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2011</w:t>
            </w:r>
          </w:p>
        </w:tc>
      </w:tr>
      <w:tr>
        <w:trPr>
          <w:trHeight w:val="310"/>
        </w:trPr>
        <w:tc>
          <w:tcPr>
            <w:tcW w:w="6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95"/>
              </w:rPr>
              <w:t>3.3</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Amended and Restated By-Laws of the Company,</w:t>
            </w:r>
          </w:p>
        </w:tc>
      </w:tr>
      <w:tr>
        <w:trPr>
          <w:trHeight w:val="260"/>
        </w:trPr>
        <w:tc>
          <w:tcPr>
            <w:tcW w:w="600" w:type="dxa"/>
            <w:vAlign w:val="bottom"/>
          </w:tcPr>
          <w:p>
            <w:pPr>
              <w:spacing w:after="0"/>
              <w:rPr>
                <w:sz w:val="22"/>
                <w:szCs w:val="22"/>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effective as of January 3, 2025</w:t>
            </w:r>
          </w:p>
        </w:tc>
      </w:tr>
      <w:tr>
        <w:trPr>
          <w:trHeight w:val="445"/>
        </w:trPr>
        <w:tc>
          <w:tcPr>
            <w:tcW w:w="6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95"/>
              </w:rPr>
              <w:t>3.4</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Certificate of Designations of the 5.25% Mandatory</w:t>
            </w:r>
          </w:p>
        </w:tc>
      </w:tr>
      <w:tr>
        <w:trPr>
          <w:trHeight w:val="200"/>
        </w:trPr>
        <w:tc>
          <w:tcPr>
            <w:tcW w:w="600" w:type="dxa"/>
            <w:vAlign w:val="bottom"/>
          </w:tcPr>
          <w:p>
            <w:pPr>
              <w:spacing w:after="0"/>
              <w:rPr>
                <w:sz w:val="17"/>
                <w:szCs w:val="17"/>
                <w:color w:val="auto"/>
              </w:rPr>
            </w:pPr>
          </w:p>
        </w:tc>
        <w:tc>
          <w:tcPr>
            <w:tcW w:w="46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Convertible Preferred Stock, Series A, of the</w:t>
            </w:r>
          </w:p>
        </w:tc>
      </w:tr>
      <w:tr>
        <w:trPr>
          <w:trHeight w:val="200"/>
        </w:trPr>
        <w:tc>
          <w:tcPr>
            <w:tcW w:w="600" w:type="dxa"/>
            <w:vAlign w:val="bottom"/>
          </w:tcPr>
          <w:p>
            <w:pPr>
              <w:spacing w:after="0"/>
              <w:rPr>
                <w:sz w:val="17"/>
                <w:szCs w:val="17"/>
                <w:color w:val="auto"/>
              </w:rPr>
            </w:pPr>
          </w:p>
        </w:tc>
        <w:tc>
          <w:tcPr>
            <w:tcW w:w="46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Company as filed with the Secretary of State of the</w:t>
            </w:r>
          </w:p>
        </w:tc>
      </w:tr>
      <w:tr>
        <w:trPr>
          <w:trHeight w:val="260"/>
        </w:trPr>
        <w:tc>
          <w:tcPr>
            <w:tcW w:w="600" w:type="dxa"/>
            <w:vAlign w:val="bottom"/>
          </w:tcPr>
          <w:p>
            <w:pPr>
              <w:spacing w:after="0"/>
              <w:rPr>
                <w:sz w:val="22"/>
                <w:szCs w:val="22"/>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State of Delaware, effective as of May 12, 2014</w:t>
            </w:r>
          </w:p>
        </w:tc>
      </w:tr>
      <w:tr>
        <w:trPr>
          <w:trHeight w:val="405"/>
        </w:trPr>
        <w:tc>
          <w:tcPr>
            <w:tcW w:w="6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w w:val="95"/>
              </w:rPr>
              <w:t>3.5</w:t>
            </w: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Certificate of Designations of the 5.50% Mandatory</w:t>
            </w:r>
          </w:p>
        </w:tc>
      </w:tr>
      <w:tr>
        <w:trPr>
          <w:trHeight w:val="200"/>
        </w:trPr>
        <w:tc>
          <w:tcPr>
            <w:tcW w:w="600" w:type="dxa"/>
            <w:vAlign w:val="bottom"/>
          </w:tcPr>
          <w:p>
            <w:pPr>
              <w:spacing w:after="0"/>
              <w:rPr>
                <w:sz w:val="17"/>
                <w:szCs w:val="17"/>
                <w:color w:val="auto"/>
              </w:rPr>
            </w:pPr>
          </w:p>
        </w:tc>
        <w:tc>
          <w:tcPr>
            <w:tcW w:w="46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Convertible Preferred Stock, Series B, of the</w:t>
            </w:r>
          </w:p>
        </w:tc>
      </w:tr>
      <w:tr>
        <w:trPr>
          <w:trHeight w:val="200"/>
        </w:trPr>
        <w:tc>
          <w:tcPr>
            <w:tcW w:w="600" w:type="dxa"/>
            <w:vAlign w:val="bottom"/>
          </w:tcPr>
          <w:p>
            <w:pPr>
              <w:spacing w:after="0"/>
              <w:rPr>
                <w:sz w:val="17"/>
                <w:szCs w:val="17"/>
                <w:color w:val="auto"/>
              </w:rPr>
            </w:pPr>
          </w:p>
        </w:tc>
        <w:tc>
          <w:tcPr>
            <w:tcW w:w="46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Company as filed with the Secretary of State of the</w:t>
            </w:r>
          </w:p>
        </w:tc>
      </w:tr>
      <w:tr>
        <w:trPr>
          <w:trHeight w:val="260"/>
        </w:trPr>
        <w:tc>
          <w:tcPr>
            <w:tcW w:w="600" w:type="dxa"/>
            <w:vAlign w:val="bottom"/>
          </w:tcPr>
          <w:p>
            <w:pPr>
              <w:spacing w:after="0"/>
              <w:rPr>
                <w:sz w:val="22"/>
                <w:szCs w:val="22"/>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State of Delaware, effective as of March 3, 2015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-2040255</wp:posOffset>
                </wp:positionV>
                <wp:extent cx="6515100" cy="29527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295275"/>
                        </a:xfrm>
                        <a:prstGeom prst="rect">
                          <a:avLst/>
                        </a:prstGeom>
                        <a:solidFill>
                          <a:srgbClr val="E3E4E5"/>
                        </a:solidFill>
                      </wps:spPr>
                      <wps:bodyPr/>
                    </wps:wsp>
                  </a:graphicData>
                </a:graphic>
              </wp:anchor>
            </w:drawing>
          </mc:Choice>
          <mc:Fallback>
            <w:pict>
              <v:rect id="Shape 80" o:spid="_x0000_s1105" style="position:absolute;margin-left:0pt;margin-top:-160.6499pt;width:513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-1230630</wp:posOffset>
                </wp:positionV>
                <wp:extent cx="6515100" cy="60960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609600"/>
                        </a:xfrm>
                        <a:prstGeom prst="rect">
                          <a:avLst/>
                        </a:prstGeom>
                        <a:solidFill>
                          <a:srgbClr val="E3E4E5"/>
                        </a:solidFill>
                      </wps:spPr>
                      <wps:bodyPr/>
                    </wps:wsp>
                  </a:graphicData>
                </a:graphic>
              </wp:anchor>
            </w:drawing>
          </mc:Choice>
          <mc:Fallback>
            <w:pict>
              <v:rect id="Shape 81" o:spid="_x0000_s1106" style="position:absolute;margin-left:0pt;margin-top:-96.8999pt;width:513pt;height: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8-K</w:t>
            </w:r>
          </w:p>
        </w:tc>
        <w:tc>
          <w:tcPr>
            <w:tcW w:w="14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January 3,</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0"/>
        </w:trPr>
        <w:tc>
          <w:tcPr>
            <w:tcW w:w="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2012</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8-K</w:t>
            </w:r>
          </w:p>
        </w:tc>
        <w:tc>
          <w:tcPr>
            <w:tcW w:w="14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January 3,</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260"/>
        </w:trPr>
        <w:tc>
          <w:tcPr>
            <w:tcW w:w="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2012</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8-K</w:t>
            </w:r>
          </w:p>
        </w:tc>
        <w:tc>
          <w:tcPr>
            <w:tcW w:w="14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January 7,</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0"/>
        </w:trPr>
        <w:tc>
          <w:tcPr>
            <w:tcW w:w="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2025</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05"/>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8-K</w:t>
            </w:r>
          </w:p>
        </w:tc>
        <w:tc>
          <w:tcPr>
            <w:tcW w:w="14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May 12,</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0"/>
        </w:trPr>
        <w:tc>
          <w:tcPr>
            <w:tcW w:w="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2014</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30"/>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8-K</w:t>
            </w:r>
          </w:p>
        </w:tc>
        <w:tc>
          <w:tcPr>
            <w:tcW w:w="14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3,</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0"/>
        </w:trPr>
        <w:tc>
          <w:tcPr>
            <w:tcW w:w="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2015</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ectPr>
          <w:pgSz w:w="11880" w:h="15480" w:orient="portrait"/>
          <w:cols w:equalWidth="0" w:num="2">
            <w:col w:w="5270" w:space="700"/>
            <w:col w:w="4300"/>
          </w:cols>
          <w:pgMar w:left="810" w:top="386" w:right="800" w:bottom="0" w:gutter="0" w:footer="0" w:header="0"/>
          <w:type w:val="continuous"/>
        </w:sectPr>
      </w:pPr>
    </w:p>
    <w:tbl>
      <w:tblPr>
        <w:tblLayout w:type="fixed"/>
        <w:tblInd w:w="10" w:type="dxa"/>
        <w:tblCellMar>
          <w:top w:w="0" w:type="dxa"/>
          <w:left w:w="0" w:type="dxa"/>
          <w:bottom w:w="0" w:type="dxa"/>
          <w:right w:w="0" w:type="dxa"/>
        </w:tblCellMar>
      </w:tblPr>
      <w:tr>
        <w:trPr>
          <w:trHeight w:val="230"/>
        </w:trPr>
        <w:tc>
          <w:tcPr>
            <w:tcW w:w="640" w:type="dxa"/>
            <w:vAlign w:val="bottom"/>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231F20"/>
              </w:rPr>
              <w:t>4.1</w:t>
            </w:r>
          </w:p>
        </w:tc>
        <w:tc>
          <w:tcPr>
            <w:tcW w:w="4920" w:type="dxa"/>
            <w:vAlign w:val="bottom"/>
            <w:shd w:val="clear" w:color="auto" w:fill="E3E4E5"/>
          </w:tcPr>
          <w:p>
            <w:pPr>
              <w:ind w:left="340"/>
              <w:spacing w:after="0"/>
              <w:rPr>
                <w:sz w:val="20"/>
                <w:szCs w:val="20"/>
                <w:color w:val="auto"/>
              </w:rPr>
            </w:pPr>
            <w:r>
              <w:rPr>
                <w:rFonts w:ascii="Times New Roman" w:cs="Times New Roman" w:eastAsia="Times New Roman" w:hAnsi="Times New Roman"/>
                <w:sz w:val="20"/>
                <w:szCs w:val="20"/>
                <w:color w:val="231F20"/>
              </w:rPr>
              <w:t>Indenture dated as of May 23, 2013, by and between</w:t>
            </w:r>
          </w:p>
        </w:tc>
        <w:tc>
          <w:tcPr>
            <w:tcW w:w="1100" w:type="dxa"/>
            <w:vAlign w:val="bottom"/>
            <w:shd w:val="clear" w:color="auto" w:fill="E3E4E5"/>
          </w:tcPr>
          <w:p>
            <w:pPr>
              <w:spacing w:after="0"/>
              <w:rPr>
                <w:sz w:val="19"/>
                <w:szCs w:val="19"/>
                <w:color w:val="auto"/>
              </w:rPr>
            </w:pPr>
          </w:p>
        </w:tc>
        <w:tc>
          <w:tcPr>
            <w:tcW w:w="1400" w:type="dxa"/>
            <w:vAlign w:val="bottom"/>
            <w:shd w:val="clear" w:color="auto" w:fill="E3E4E5"/>
          </w:tcPr>
          <w:p>
            <w:pPr>
              <w:spacing w:after="0"/>
              <w:rPr>
                <w:sz w:val="19"/>
                <w:szCs w:val="19"/>
                <w:color w:val="auto"/>
              </w:rPr>
            </w:pPr>
          </w:p>
        </w:tc>
        <w:tc>
          <w:tcPr>
            <w:tcW w:w="1400" w:type="dxa"/>
            <w:vAlign w:val="bottom"/>
            <w:shd w:val="clear" w:color="auto" w:fill="E3E4E5"/>
          </w:tcPr>
          <w:p>
            <w:pPr>
              <w:spacing w:after="0"/>
              <w:rPr>
                <w:sz w:val="19"/>
                <w:szCs w:val="19"/>
                <w:color w:val="auto"/>
              </w:rPr>
            </w:pPr>
          </w:p>
        </w:tc>
        <w:tc>
          <w:tcPr>
            <w:tcW w:w="80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shd w:val="clear" w:color="auto" w:fill="E3E4E5"/>
          </w:tcPr>
          <w:p>
            <w:pPr>
              <w:spacing w:after="0"/>
              <w:rPr>
                <w:sz w:val="18"/>
                <w:szCs w:val="18"/>
                <w:color w:val="auto"/>
              </w:rPr>
            </w:pPr>
          </w:p>
        </w:tc>
        <w:tc>
          <w:tcPr>
            <w:tcW w:w="4920" w:type="dxa"/>
            <w:vAlign w:val="bottom"/>
            <w:shd w:val="clear" w:color="auto" w:fill="E3E4E5"/>
          </w:tcPr>
          <w:p>
            <w:pPr>
              <w:ind w:left="340"/>
              <w:spacing w:after="0" w:line="218" w:lineRule="exact"/>
              <w:rPr>
                <w:sz w:val="20"/>
                <w:szCs w:val="20"/>
                <w:color w:val="auto"/>
              </w:rPr>
            </w:pPr>
            <w:r>
              <w:rPr>
                <w:rFonts w:ascii="Times New Roman" w:cs="Times New Roman" w:eastAsia="Times New Roman" w:hAnsi="Times New Roman"/>
                <w:sz w:val="20"/>
                <w:szCs w:val="20"/>
                <w:color w:val="231F20"/>
              </w:rPr>
              <w:t>the Company and U.S. Bank National Association, as</w:t>
            </w:r>
          </w:p>
        </w:tc>
        <w:tc>
          <w:tcPr>
            <w:tcW w:w="110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8"/>
              </w:rPr>
              <w:t>S-3ASR</w:t>
            </w:r>
          </w:p>
        </w:tc>
        <w:tc>
          <w:tcPr>
            <w:tcW w:w="1400" w:type="dxa"/>
            <w:vAlign w:val="bottom"/>
            <w:vMerge w:val="restart"/>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333-188812</w:t>
            </w:r>
          </w:p>
        </w:tc>
        <w:tc>
          <w:tcPr>
            <w:tcW w:w="1400" w:type="dxa"/>
            <w:vAlign w:val="bottom"/>
            <w:shd w:val="clear" w:color="auto" w:fill="E3E4E5"/>
          </w:tcPr>
          <w:p>
            <w:pPr>
              <w:jc w:val="center"/>
              <w:spacing w:after="0" w:line="218" w:lineRule="exact"/>
              <w:rPr>
                <w:sz w:val="20"/>
                <w:szCs w:val="20"/>
                <w:color w:val="auto"/>
              </w:rPr>
            </w:pPr>
            <w:r>
              <w:rPr>
                <w:rFonts w:ascii="Times New Roman" w:cs="Times New Roman" w:eastAsia="Times New Roman" w:hAnsi="Times New Roman"/>
                <w:sz w:val="20"/>
                <w:szCs w:val="20"/>
                <w:color w:val="231F20"/>
                <w:w w:val="98"/>
              </w:rPr>
              <w:t>May 23,</w:t>
            </w:r>
          </w:p>
        </w:tc>
        <w:tc>
          <w:tcPr>
            <w:tcW w:w="800" w:type="dxa"/>
            <w:vAlign w:val="bottom"/>
            <w:vMerge w:val="restart"/>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4.12</w:t>
            </w:r>
          </w:p>
        </w:tc>
        <w:tc>
          <w:tcPr>
            <w:tcW w:w="0" w:type="dxa"/>
            <w:vAlign w:val="bottom"/>
          </w:tcPr>
          <w:p>
            <w:pPr>
              <w:spacing w:after="0"/>
              <w:rPr>
                <w:sz w:val="1"/>
                <w:szCs w:val="1"/>
                <w:color w:val="auto"/>
              </w:rPr>
            </w:pPr>
          </w:p>
        </w:tc>
      </w:tr>
      <w:tr>
        <w:trPr>
          <w:trHeight w:val="273"/>
        </w:trPr>
        <w:tc>
          <w:tcPr>
            <w:tcW w:w="640" w:type="dxa"/>
            <w:vAlign w:val="bottom"/>
            <w:shd w:val="clear" w:color="auto" w:fill="E3E4E5"/>
          </w:tcPr>
          <w:p>
            <w:pPr>
              <w:spacing w:after="0"/>
              <w:rPr>
                <w:sz w:val="23"/>
                <w:szCs w:val="23"/>
                <w:color w:val="auto"/>
              </w:rPr>
            </w:pPr>
          </w:p>
        </w:tc>
        <w:tc>
          <w:tcPr>
            <w:tcW w:w="4920" w:type="dxa"/>
            <w:vAlign w:val="bottom"/>
            <w:shd w:val="clear" w:color="auto" w:fill="E3E4E5"/>
          </w:tcPr>
          <w:p>
            <w:pPr>
              <w:ind w:left="340"/>
              <w:spacing w:after="0"/>
              <w:rPr>
                <w:sz w:val="20"/>
                <w:szCs w:val="20"/>
                <w:color w:val="auto"/>
              </w:rPr>
            </w:pPr>
            <w:r>
              <w:rPr>
                <w:rFonts w:ascii="Times New Roman" w:cs="Times New Roman" w:eastAsia="Times New Roman" w:hAnsi="Times New Roman"/>
                <w:sz w:val="20"/>
                <w:szCs w:val="20"/>
                <w:color w:val="231F20"/>
              </w:rPr>
              <w:t>Trustee</w:t>
            </w:r>
          </w:p>
        </w:tc>
        <w:tc>
          <w:tcPr>
            <w:tcW w:w="1100" w:type="dxa"/>
            <w:vAlign w:val="bottom"/>
            <w:vMerge w:val="continue"/>
            <w:shd w:val="clear" w:color="auto" w:fill="E3E4E5"/>
          </w:tcPr>
          <w:p>
            <w:pPr>
              <w:spacing w:after="0"/>
              <w:rPr>
                <w:sz w:val="23"/>
                <w:szCs w:val="23"/>
                <w:color w:val="auto"/>
              </w:rPr>
            </w:pPr>
          </w:p>
        </w:tc>
        <w:tc>
          <w:tcPr>
            <w:tcW w:w="1400" w:type="dxa"/>
            <w:vAlign w:val="bottom"/>
            <w:vMerge w:val="continue"/>
            <w:shd w:val="clear" w:color="auto" w:fill="E3E4E5"/>
          </w:tcPr>
          <w:p>
            <w:pPr>
              <w:spacing w:after="0"/>
              <w:rPr>
                <w:sz w:val="23"/>
                <w:szCs w:val="23"/>
                <w:color w:val="auto"/>
              </w:rPr>
            </w:pPr>
          </w:p>
        </w:tc>
        <w:tc>
          <w:tcPr>
            <w:tcW w:w="140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2013</w:t>
            </w:r>
          </w:p>
        </w:tc>
        <w:tc>
          <w:tcPr>
            <w:tcW w:w="80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6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231F20"/>
              </w:rPr>
              <w:t>4.2</w:t>
            </w:r>
          </w:p>
        </w:tc>
        <w:tc>
          <w:tcPr>
            <w:tcW w:w="49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Supplemental Indenture No. 4, dated as of January 12,</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49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2016, to Indenture dated as of May 23, 2013, by and</w:t>
            </w: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49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between the Company and U.S. Bank National</w:t>
            </w: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January 12,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4920" w:type="dxa"/>
            <w:vAlign w:val="bottom"/>
          </w:tcPr>
          <w:p>
            <w:pPr>
              <w:ind w:left="340"/>
              <w:spacing w:after="0" w:line="200" w:lineRule="exact"/>
              <w:rPr>
                <w:sz w:val="20"/>
                <w:szCs w:val="20"/>
                <w:color w:val="auto"/>
              </w:rPr>
            </w:pPr>
            <w:r>
              <w:rPr>
                <w:rFonts w:ascii="Times New Roman" w:cs="Times New Roman" w:eastAsia="Times New Roman" w:hAnsi="Times New Roman"/>
                <w:sz w:val="20"/>
                <w:szCs w:val="20"/>
                <w:color w:val="231F20"/>
              </w:rPr>
              <w:t>Association, as Trustee, for the 4.400% Senior Notes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vMerge w:val="continue"/>
          </w:tcPr>
          <w:p>
            <w:pPr>
              <w:spacing w:after="0"/>
              <w:rPr>
                <w:sz w:val="17"/>
                <w:szCs w:val="17"/>
                <w:color w:val="auto"/>
              </w:rPr>
            </w:pPr>
          </w:p>
        </w:tc>
        <w:tc>
          <w:tcPr>
            <w:tcW w:w="8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640" w:type="dxa"/>
            <w:vAlign w:val="bottom"/>
          </w:tcPr>
          <w:p>
            <w:pPr>
              <w:spacing w:after="0"/>
              <w:rPr>
                <w:sz w:val="22"/>
                <w:szCs w:val="22"/>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due 2026</w:t>
            </w:r>
          </w:p>
        </w:tc>
        <w:tc>
          <w:tcPr>
            <w:tcW w:w="11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2016</w:t>
            </w: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70"/>
          </w:cols>
          <w:pgMar w:left="810" w:top="386" w:right="800" w:bottom="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270"/>
          </w:cols>
          <w:pgMar w:left="810" w:top="386" w:right="80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2800" w:type="dxa"/>
            <w:vAlign w:val="bottom"/>
            <w:tcBorders>
              <w:bottom w:val="single" w:sz="8" w:color="231F20"/>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22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 No.</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840" w:type="dxa"/>
            <w:vAlign w:val="bottom"/>
            <w:gridSpan w:val="5"/>
          </w:tcPr>
          <w:p>
            <w:pPr>
              <w:jc w:val="center"/>
              <w:ind w:left="5"/>
              <w:spacing w:after="0" w:line="139"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540" w:type="dxa"/>
            <w:vAlign w:val="bottom"/>
            <w:tcBorders>
              <w:top w:val="single" w:sz="8" w:color="231F20"/>
            </w:tcBorders>
            <w:gridSpan w:val="2"/>
          </w:tcPr>
          <w:p>
            <w:pPr>
              <w:spacing w:after="0" w:line="140" w:lineRule="exact"/>
              <w:rPr>
                <w:sz w:val="20"/>
                <w:szCs w:val="20"/>
                <w:color w:val="auto"/>
              </w:rPr>
            </w:pPr>
            <w:r>
              <w:rPr>
                <w:rFonts w:ascii="Times New Roman" w:cs="Times New Roman" w:eastAsia="Times New Roman" w:hAnsi="Times New Roman"/>
                <w:sz w:val="16"/>
                <w:szCs w:val="16"/>
                <w:b w:val="1"/>
                <w:bCs w:val="1"/>
                <w:color w:val="231F20"/>
              </w:rPr>
              <w:t>No.</w:t>
            </w:r>
          </w:p>
        </w:tc>
        <w:tc>
          <w:tcPr>
            <w:tcW w:w="174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40" w:type="dxa"/>
            <w:vAlign w:val="bottom"/>
            <w:tcBorders>
              <w:top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Borders>
              <w:top w:val="single" w:sz="8" w:color="231F20"/>
            </w:tcBorders>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top w:val="single" w:sz="8" w:color="231F20"/>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Borders>
              <w:top w:val="single" w:sz="8" w:color="231F20"/>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top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gridSpan w:val="3"/>
            <w:shd w:val="clear" w:color="auto" w:fill="E3E4E5"/>
          </w:tcPr>
          <w:p>
            <w:pPr>
              <w:ind w:left="40"/>
              <w:spacing w:after="0" w:line="213" w:lineRule="exact"/>
              <w:rPr>
                <w:sz w:val="20"/>
                <w:szCs w:val="20"/>
                <w:color w:val="auto"/>
              </w:rPr>
            </w:pPr>
            <w:r>
              <w:rPr>
                <w:rFonts w:ascii="Times New Roman" w:cs="Times New Roman" w:eastAsia="Times New Roman" w:hAnsi="Times New Roman"/>
                <w:sz w:val="20"/>
                <w:szCs w:val="20"/>
                <w:color w:val="231F20"/>
              </w:rPr>
              <w:t>4.3</w:t>
            </w:r>
          </w:p>
        </w:tc>
        <w:tc>
          <w:tcPr>
            <w:tcW w:w="5080" w:type="dxa"/>
            <w:vAlign w:val="bottom"/>
            <w:gridSpan w:val="3"/>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Supplemental Indenture No. 5, dated as of May 13,</w:t>
            </w:r>
          </w:p>
        </w:tc>
        <w:tc>
          <w:tcPr>
            <w:tcW w:w="260" w:type="dxa"/>
            <w:vAlign w:val="bottom"/>
            <w:shd w:val="clear" w:color="auto" w:fill="E3E4E5"/>
          </w:tcPr>
          <w:p>
            <w:pPr>
              <w:spacing w:after="0"/>
              <w:rPr>
                <w:sz w:val="18"/>
                <w:szCs w:val="18"/>
                <w:color w:val="auto"/>
              </w:rPr>
            </w:pPr>
          </w:p>
        </w:tc>
        <w:tc>
          <w:tcPr>
            <w:tcW w:w="38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480" w:type="dxa"/>
            <w:vAlign w:val="bottom"/>
            <w:shd w:val="clear" w:color="auto" w:fill="E3E4E5"/>
          </w:tcPr>
          <w:p>
            <w:pPr>
              <w:spacing w:after="0"/>
              <w:rPr>
                <w:sz w:val="18"/>
                <w:szCs w:val="18"/>
                <w:color w:val="auto"/>
              </w:rPr>
            </w:pPr>
          </w:p>
        </w:tc>
        <w:tc>
          <w:tcPr>
            <w:tcW w:w="520" w:type="dxa"/>
            <w:vAlign w:val="bottom"/>
            <w:shd w:val="clear" w:color="auto" w:fill="E3E4E5"/>
          </w:tcPr>
          <w:p>
            <w:pPr>
              <w:spacing w:after="0"/>
              <w:rPr>
                <w:sz w:val="18"/>
                <w:szCs w:val="18"/>
                <w:color w:val="auto"/>
              </w:rPr>
            </w:pPr>
          </w:p>
        </w:tc>
        <w:tc>
          <w:tcPr>
            <w:tcW w:w="400" w:type="dxa"/>
            <w:vAlign w:val="bottom"/>
            <w:shd w:val="clear" w:color="auto" w:fill="E3E4E5"/>
          </w:tcPr>
          <w:p>
            <w:pPr>
              <w:spacing w:after="0"/>
              <w:rPr>
                <w:sz w:val="18"/>
                <w:szCs w:val="18"/>
                <w:color w:val="auto"/>
              </w:rPr>
            </w:pPr>
          </w:p>
        </w:tc>
        <w:tc>
          <w:tcPr>
            <w:tcW w:w="240" w:type="dxa"/>
            <w:vAlign w:val="bottom"/>
            <w:shd w:val="clear" w:color="auto" w:fill="E3E4E5"/>
          </w:tcPr>
          <w:p>
            <w:pPr>
              <w:spacing w:after="0"/>
              <w:rPr>
                <w:sz w:val="18"/>
                <w:szCs w:val="18"/>
                <w:color w:val="auto"/>
              </w:rPr>
            </w:pPr>
          </w:p>
        </w:tc>
        <w:tc>
          <w:tcPr>
            <w:tcW w:w="9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8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2016, to Indenture dated as of May 23, 2013, by and</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the Company and U.S. Bank National</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20"/>
              <w:spacing w:after="0"/>
              <w:rPr>
                <w:sz w:val="20"/>
                <w:szCs w:val="20"/>
                <w:color w:val="auto"/>
              </w:rPr>
            </w:pPr>
            <w:r>
              <w:rPr>
                <w:rFonts w:ascii="Times New Roman" w:cs="Times New Roman" w:eastAsia="Times New Roman" w:hAnsi="Times New Roman"/>
                <w:sz w:val="20"/>
                <w:szCs w:val="20"/>
                <w:color w:val="231F20"/>
                <w:w w:val="98"/>
              </w:rPr>
              <w:t>May 13,</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Association, as Trustee, for the 3.375% Senior Notes</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5"/>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due 2026</w:t>
            </w:r>
          </w:p>
        </w:tc>
        <w:tc>
          <w:tcPr>
            <w:tcW w:w="260" w:type="dxa"/>
            <w:vAlign w:val="bottom"/>
            <w:shd w:val="clear" w:color="auto" w:fill="E3E4E5"/>
          </w:tcPr>
          <w:p>
            <w:pPr>
              <w:spacing w:after="0"/>
              <w:rPr>
                <w:sz w:val="23"/>
                <w:szCs w:val="23"/>
                <w:color w:val="auto"/>
              </w:rPr>
            </w:pPr>
          </w:p>
        </w:tc>
        <w:tc>
          <w:tcPr>
            <w:tcW w:w="700" w:type="dxa"/>
            <w:vAlign w:val="bottom"/>
            <w:gridSpan w:val="2"/>
            <w:vMerge w:val="continue"/>
            <w:shd w:val="clear" w:color="auto" w:fill="E3E4E5"/>
          </w:tcPr>
          <w:p>
            <w:pPr>
              <w:spacing w:after="0"/>
              <w:rPr>
                <w:sz w:val="23"/>
                <w:szCs w:val="23"/>
                <w:color w:val="auto"/>
              </w:rPr>
            </w:pPr>
          </w:p>
        </w:tc>
        <w:tc>
          <w:tcPr>
            <w:tcW w:w="1400" w:type="dxa"/>
            <w:vAlign w:val="bottom"/>
            <w:gridSpan w:val="3"/>
            <w:vMerge w:val="continue"/>
            <w:shd w:val="clear" w:color="auto" w:fill="E3E4E5"/>
          </w:tcPr>
          <w:p>
            <w:pPr>
              <w:spacing w:after="0"/>
              <w:rPr>
                <w:sz w:val="23"/>
                <w:szCs w:val="23"/>
                <w:color w:val="auto"/>
              </w:rPr>
            </w:pPr>
          </w:p>
        </w:tc>
        <w:tc>
          <w:tcPr>
            <w:tcW w:w="1180" w:type="dxa"/>
            <w:vAlign w:val="bottom"/>
            <w:gridSpan w:val="2"/>
            <w:shd w:val="clear" w:color="auto" w:fill="E3E4E5"/>
          </w:tcPr>
          <w:p>
            <w:pPr>
              <w:jc w:val="center"/>
              <w:ind w:left="125"/>
              <w:spacing w:after="0"/>
              <w:rPr>
                <w:sz w:val="20"/>
                <w:szCs w:val="20"/>
                <w:color w:val="auto"/>
              </w:rPr>
            </w:pPr>
            <w:r>
              <w:rPr>
                <w:rFonts w:ascii="Times New Roman" w:cs="Times New Roman" w:eastAsia="Times New Roman" w:hAnsi="Times New Roman"/>
                <w:sz w:val="20"/>
                <w:szCs w:val="20"/>
                <w:color w:val="231F20"/>
                <w:w w:val="99"/>
              </w:rPr>
              <w:t>2016</w:t>
            </w:r>
          </w:p>
        </w:tc>
        <w:tc>
          <w:tcPr>
            <w:tcW w:w="220" w:type="dxa"/>
            <w:vAlign w:val="bottom"/>
            <w:shd w:val="clear" w:color="auto" w:fill="E3E4E5"/>
          </w:tcPr>
          <w:p>
            <w:pPr>
              <w:spacing w:after="0"/>
              <w:rPr>
                <w:sz w:val="23"/>
                <w:szCs w:val="23"/>
                <w:color w:val="auto"/>
              </w:rPr>
            </w:pPr>
          </w:p>
        </w:tc>
        <w:tc>
          <w:tcPr>
            <w:tcW w:w="760" w:type="dxa"/>
            <w:vAlign w:val="bottom"/>
            <w:gridSpan w:val="4"/>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4.4</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6, dated as of September</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30, 2016, to Indenture dated as of May 23, 2013, by</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between the Company and U.S. Bank National</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Association, as Trustee, for the 3.125% Senior Notes</w:t>
            </w:r>
          </w:p>
        </w:tc>
        <w:tc>
          <w:tcPr>
            <w:tcW w:w="260" w:type="dxa"/>
            <w:vAlign w:val="bottom"/>
          </w:tcPr>
          <w:p>
            <w:pPr>
              <w:spacing w:after="0"/>
              <w:rPr>
                <w:sz w:val="22"/>
                <w:szCs w:val="22"/>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22"/>
                <w:szCs w:val="2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231F20"/>
              </w:rPr>
              <w:t>September</w:t>
            </w:r>
          </w:p>
        </w:tc>
        <w:tc>
          <w:tcPr>
            <w:tcW w:w="760" w:type="dxa"/>
            <w:vAlign w:val="bottom"/>
            <w:gridSpan w:val="4"/>
            <w:vMerge w:val="restart"/>
          </w:tcPr>
          <w:p>
            <w:pPr>
              <w:jc w:val="center"/>
              <w:ind w:left="85"/>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due 2027</w:t>
            </w:r>
          </w:p>
        </w:tc>
        <w:tc>
          <w:tcPr>
            <w:tcW w:w="26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1180" w:type="dxa"/>
            <w:vAlign w:val="bottom"/>
            <w:gridSpan w:val="2"/>
          </w:tcPr>
          <w:p>
            <w:pPr>
              <w:jc w:val="center"/>
              <w:ind w:left="145"/>
              <w:spacing w:after="0"/>
              <w:rPr>
                <w:sz w:val="20"/>
                <w:szCs w:val="20"/>
                <w:color w:val="auto"/>
              </w:rPr>
            </w:pPr>
            <w:r>
              <w:rPr>
                <w:rFonts w:ascii="Times New Roman" w:cs="Times New Roman" w:eastAsia="Times New Roman" w:hAnsi="Times New Roman"/>
                <w:sz w:val="20"/>
                <w:szCs w:val="20"/>
                <w:color w:val="231F20"/>
                <w:w w:val="99"/>
              </w:rPr>
              <w:t>30, 2016</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580" w:type="dxa"/>
            <w:vAlign w:val="bottom"/>
            <w:gridSpan w:val="3"/>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4.5</w:t>
            </w: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8, dated as of June 30,</w:t>
            </w:r>
          </w:p>
        </w:tc>
        <w:tc>
          <w:tcPr>
            <w:tcW w:w="260" w:type="dxa"/>
            <w:vAlign w:val="bottom"/>
            <w:shd w:val="clear" w:color="auto" w:fill="E3E4E5"/>
          </w:tcPr>
          <w:p>
            <w:pPr>
              <w:spacing w:after="0"/>
              <w:rPr>
                <w:sz w:val="21"/>
                <w:szCs w:val="21"/>
                <w:color w:val="auto"/>
              </w:rPr>
            </w:pPr>
          </w:p>
        </w:tc>
        <w:tc>
          <w:tcPr>
            <w:tcW w:w="38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520" w:type="dxa"/>
            <w:vAlign w:val="bottom"/>
            <w:shd w:val="clear" w:color="auto" w:fill="E3E4E5"/>
          </w:tcPr>
          <w:p>
            <w:pPr>
              <w:spacing w:after="0"/>
              <w:rPr>
                <w:sz w:val="21"/>
                <w:szCs w:val="21"/>
                <w:color w:val="auto"/>
              </w:rPr>
            </w:pPr>
          </w:p>
        </w:tc>
        <w:tc>
          <w:tcPr>
            <w:tcW w:w="400" w:type="dxa"/>
            <w:vAlign w:val="bottom"/>
            <w:shd w:val="clear" w:color="auto" w:fill="E3E4E5"/>
          </w:tcPr>
          <w:p>
            <w:pPr>
              <w:spacing w:after="0"/>
              <w:rPr>
                <w:sz w:val="21"/>
                <w:szCs w:val="21"/>
                <w:color w:val="auto"/>
              </w:rPr>
            </w:pPr>
          </w:p>
        </w:tc>
        <w:tc>
          <w:tcPr>
            <w:tcW w:w="24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2017, to Indenture dated as of May 23, 2013, by and</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the Company and U.S. Bank National</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20"/>
              <w:spacing w:after="0"/>
              <w:rPr>
                <w:sz w:val="20"/>
                <w:szCs w:val="20"/>
                <w:color w:val="auto"/>
              </w:rPr>
            </w:pPr>
            <w:r>
              <w:rPr>
                <w:rFonts w:ascii="Times New Roman" w:cs="Times New Roman" w:eastAsia="Times New Roman" w:hAnsi="Times New Roman"/>
                <w:sz w:val="20"/>
                <w:szCs w:val="20"/>
                <w:color w:val="231F20"/>
                <w:w w:val="98"/>
              </w:rPr>
              <w:t>June 30,</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Association, as Trustee, for the 3.55% Senior Notes</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5"/>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due 2027</w:t>
            </w:r>
          </w:p>
        </w:tc>
        <w:tc>
          <w:tcPr>
            <w:tcW w:w="260" w:type="dxa"/>
            <w:vAlign w:val="bottom"/>
            <w:shd w:val="clear" w:color="auto" w:fill="E3E4E5"/>
          </w:tcPr>
          <w:p>
            <w:pPr>
              <w:spacing w:after="0"/>
              <w:rPr>
                <w:sz w:val="23"/>
                <w:szCs w:val="23"/>
                <w:color w:val="auto"/>
              </w:rPr>
            </w:pPr>
          </w:p>
        </w:tc>
        <w:tc>
          <w:tcPr>
            <w:tcW w:w="700" w:type="dxa"/>
            <w:vAlign w:val="bottom"/>
            <w:gridSpan w:val="2"/>
            <w:vMerge w:val="continue"/>
            <w:shd w:val="clear" w:color="auto" w:fill="E3E4E5"/>
          </w:tcPr>
          <w:p>
            <w:pPr>
              <w:spacing w:after="0"/>
              <w:rPr>
                <w:sz w:val="23"/>
                <w:szCs w:val="23"/>
                <w:color w:val="auto"/>
              </w:rPr>
            </w:pPr>
          </w:p>
        </w:tc>
        <w:tc>
          <w:tcPr>
            <w:tcW w:w="1400" w:type="dxa"/>
            <w:vAlign w:val="bottom"/>
            <w:gridSpan w:val="3"/>
            <w:vMerge w:val="continue"/>
            <w:shd w:val="clear" w:color="auto" w:fill="E3E4E5"/>
          </w:tcPr>
          <w:p>
            <w:pPr>
              <w:spacing w:after="0"/>
              <w:rPr>
                <w:sz w:val="23"/>
                <w:szCs w:val="23"/>
                <w:color w:val="auto"/>
              </w:rPr>
            </w:pPr>
          </w:p>
        </w:tc>
        <w:tc>
          <w:tcPr>
            <w:tcW w:w="1180" w:type="dxa"/>
            <w:vAlign w:val="bottom"/>
            <w:gridSpan w:val="2"/>
            <w:shd w:val="clear" w:color="auto" w:fill="E3E4E5"/>
          </w:tcPr>
          <w:p>
            <w:pPr>
              <w:jc w:val="center"/>
              <w:ind w:left="125"/>
              <w:spacing w:after="0"/>
              <w:rPr>
                <w:sz w:val="20"/>
                <w:szCs w:val="20"/>
                <w:color w:val="auto"/>
              </w:rPr>
            </w:pPr>
            <w:r>
              <w:rPr>
                <w:rFonts w:ascii="Times New Roman" w:cs="Times New Roman" w:eastAsia="Times New Roman" w:hAnsi="Times New Roman"/>
                <w:sz w:val="20"/>
                <w:szCs w:val="20"/>
                <w:color w:val="231F20"/>
                <w:w w:val="99"/>
              </w:rPr>
              <w:t>2017</w:t>
            </w:r>
          </w:p>
        </w:tc>
        <w:tc>
          <w:tcPr>
            <w:tcW w:w="220" w:type="dxa"/>
            <w:vAlign w:val="bottom"/>
            <w:shd w:val="clear" w:color="auto" w:fill="E3E4E5"/>
          </w:tcPr>
          <w:p>
            <w:pPr>
              <w:spacing w:after="0"/>
              <w:rPr>
                <w:sz w:val="23"/>
                <w:szCs w:val="23"/>
                <w:color w:val="auto"/>
              </w:rPr>
            </w:pPr>
          </w:p>
        </w:tc>
        <w:tc>
          <w:tcPr>
            <w:tcW w:w="760" w:type="dxa"/>
            <w:vAlign w:val="bottom"/>
            <w:gridSpan w:val="4"/>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880" w:h="15480" w:orient="portrait"/>
          <w:cols w:equalWidth="0" w:num="1">
            <w:col w:w="10260"/>
          </w:cols>
          <w:pgMar w:left="820" w:top="588" w:right="800" w:bottom="0" w:gutter="0" w:footer="0" w:header="0"/>
        </w:sect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4.6</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Supplemental Indenture No. 9, dated as of December</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8, 2017, to Indenture dated as of May 23, 2013, by</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and between the Company and U.S. Bank National</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Association, as Trustee, for the 3.600% Senior Notes</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due 2028</w:t>
            </w:r>
          </w:p>
        </w:tc>
      </w:tr>
      <w:tr>
        <w:trPr>
          <w:trHeight w:val="34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4.7</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Supplemental Indenture No. 10, dated as of May 22,</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2018, to Indenture dated as of May 23, 2013, by and</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among the Company and U.S. Bank National</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Association, as Trustee, and Elavon Financial</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Services DAC, UK Branch, as Paying Agent, for the</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1.950% Senior Notes due 2026</w:t>
            </w:r>
          </w:p>
        </w:tc>
      </w:tr>
      <w:tr>
        <w:trPr>
          <w:trHeight w:val="35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4.8</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w w:val="99"/>
              </w:rPr>
              <w:t>Supplemental Indenture No. 11, dated as of March 15,</w:t>
            </w:r>
          </w:p>
        </w:tc>
      </w:tr>
      <w:tr>
        <w:trPr>
          <w:trHeight w:val="178"/>
        </w:trPr>
        <w:tc>
          <w:tcPr>
            <w:tcW w:w="640" w:type="dxa"/>
            <w:vAlign w:val="bottom"/>
          </w:tcPr>
          <w:p>
            <w:pPr>
              <w:spacing w:after="0"/>
              <w:rPr>
                <w:sz w:val="15"/>
                <w:szCs w:val="15"/>
                <w:color w:val="auto"/>
              </w:rPr>
            </w:pPr>
          </w:p>
        </w:tc>
        <w:tc>
          <w:tcPr>
            <w:tcW w:w="4660" w:type="dxa"/>
            <w:vAlign w:val="bottom"/>
          </w:tcPr>
          <w:p>
            <w:pPr>
              <w:ind w:left="300"/>
              <w:spacing w:after="0" w:line="179" w:lineRule="exact"/>
              <w:rPr>
                <w:sz w:val="20"/>
                <w:szCs w:val="20"/>
                <w:color w:val="auto"/>
              </w:rPr>
            </w:pPr>
            <w:r>
              <w:rPr>
                <w:rFonts w:ascii="Times New Roman" w:cs="Times New Roman" w:eastAsia="Times New Roman" w:hAnsi="Times New Roman"/>
                <w:sz w:val="20"/>
                <w:szCs w:val="20"/>
                <w:color w:val="231F20"/>
              </w:rPr>
              <w:t>2019, to Indenture dated as of May 23, 2013, by and</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between the Company and U.S. Bank National</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Association, as Trustee, for the 3.950% Senior Notes</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due 2029</w:t>
            </w:r>
          </w:p>
        </w:tc>
      </w:tr>
      <w:tr>
        <w:trPr>
          <w:trHeight w:val="331"/>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4.9</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Indenture dated as of June 4, 2019, by and between</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the Company and U.S. Bank National Association, as</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Trustee</w:t>
            </w:r>
          </w:p>
        </w:tc>
      </w:tr>
      <w:tr>
        <w:trPr>
          <w:trHeight w:val="32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4.10</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Supplemental Indenture No. 1, dated as of June 13,</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2019, to Indenture dated as of June 4, 2019, by and</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for the 3.800%</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Senior Notes due 2029</w:t>
            </w:r>
          </w:p>
        </w:tc>
      </w:tr>
      <w:tr>
        <w:trPr>
          <w:trHeight w:val="52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4.11</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Supplemental Indenture No. 2, dated as of October 3,</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2019, to Indenture dated as of June 4, 2019, by and</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for the 2.750%</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Senior Notes due 2027 and the 3.700% Senior Notes</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due 2049</w:t>
            </w:r>
          </w:p>
        </w:tc>
      </w:tr>
      <w:tr>
        <w:trPr>
          <w:trHeight w:val="30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231F20"/>
              </w:rPr>
              <w:t>4.12</w:t>
            </w: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w w:val="99"/>
              </w:rPr>
              <w:t>Supplemental Indenture No. 3, dated as of January 10,</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2020, to Indenture dated as of June 4, 2019, by and</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r>
      <w:tr>
        <w:trPr>
          <w:trHeight w:val="200"/>
        </w:trPr>
        <w:tc>
          <w:tcPr>
            <w:tcW w:w="640" w:type="dxa"/>
            <w:vAlign w:val="bottom"/>
          </w:tcPr>
          <w:p>
            <w:pPr>
              <w:spacing w:after="0"/>
              <w:rPr>
                <w:sz w:val="17"/>
                <w:szCs w:val="17"/>
                <w:color w:val="auto"/>
              </w:rPr>
            </w:pPr>
          </w:p>
        </w:tc>
        <w:tc>
          <w:tcPr>
            <w:tcW w:w="4660" w:type="dxa"/>
            <w:vAlign w:val="bottom"/>
          </w:tcPr>
          <w:p>
            <w:pPr>
              <w:ind w:left="3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for the 2.900%</w:t>
            </w:r>
          </w:p>
        </w:tc>
      </w:tr>
      <w:tr>
        <w:trPr>
          <w:trHeight w:val="260"/>
        </w:trPr>
        <w:tc>
          <w:tcPr>
            <w:tcW w:w="640" w:type="dxa"/>
            <w:vAlign w:val="bottom"/>
          </w:tcPr>
          <w:p>
            <w:pPr>
              <w:spacing w:after="0"/>
              <w:rPr>
                <w:sz w:val="22"/>
                <w:szCs w:val="22"/>
                <w:color w:val="auto"/>
              </w:rPr>
            </w:pPr>
          </w:p>
        </w:tc>
        <w:tc>
          <w:tcPr>
            <w:tcW w:w="46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Senior Notes due 2030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-4558030</wp:posOffset>
                </wp:positionV>
                <wp:extent cx="6514465" cy="82867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28675"/>
                        </a:xfrm>
                        <a:prstGeom prst="rect">
                          <a:avLst/>
                        </a:prstGeom>
                        <a:solidFill>
                          <a:srgbClr val="E3E4E5"/>
                        </a:solidFill>
                      </wps:spPr>
                      <wps:bodyPr/>
                    </wps:wsp>
                  </a:graphicData>
                </a:graphic>
              </wp:anchor>
            </w:drawing>
          </mc:Choice>
          <mc:Fallback>
            <w:pict>
              <v:rect id="Shape 82" o:spid="_x0000_s1107" style="position:absolute;margin-left:-0.4499pt;margin-top:-358.8999pt;width:512.95pt;height:6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-2919730</wp:posOffset>
                </wp:positionV>
                <wp:extent cx="6514465" cy="42862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28625"/>
                        </a:xfrm>
                        <a:prstGeom prst="rect">
                          <a:avLst/>
                        </a:prstGeom>
                        <a:solidFill>
                          <a:srgbClr val="E3E4E5"/>
                        </a:solidFill>
                      </wps:spPr>
                      <wps:bodyPr/>
                    </wps:wsp>
                  </a:graphicData>
                </a:graphic>
              </wp:anchor>
            </w:drawing>
          </mc:Choice>
          <mc:Fallback>
            <w:pict>
              <v:rect id="Shape 83" o:spid="_x0000_s1108" style="position:absolute;margin-left:-0.4499pt;margin-top:-229.8999pt;width:512.95pt;height:3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-1548130</wp:posOffset>
                </wp:positionV>
                <wp:extent cx="6514465" cy="80010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00100"/>
                        </a:xfrm>
                        <a:prstGeom prst="rect">
                          <a:avLst/>
                        </a:prstGeom>
                        <a:solidFill>
                          <a:srgbClr val="E3E4E5"/>
                        </a:solidFill>
                      </wps:spPr>
                      <wps:bodyPr/>
                    </wps:wsp>
                  </a:graphicData>
                </a:graphic>
              </wp:anchor>
            </w:drawing>
          </mc:Choice>
          <mc:Fallback>
            <w:pict>
              <v:rect id="Shape 84" o:spid="_x0000_s1109" style="position:absolute;margin-left:-0.4499pt;margin-top:-121.8999pt;width:512.95pt;height:6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w:t>
            </w:r>
          </w:p>
        </w:tc>
        <w:tc>
          <w:tcPr>
            <w:tcW w:w="58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8, 2017</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50"/>
        </w:trPr>
        <w:tc>
          <w:tcPr>
            <w:tcW w:w="8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May 22,</w:t>
            </w:r>
          </w:p>
        </w:tc>
        <w:tc>
          <w:tcPr>
            <w:tcW w:w="58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2018</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10"/>
        </w:trPr>
        <w:tc>
          <w:tcPr>
            <w:tcW w:w="8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15,</w:t>
            </w:r>
          </w:p>
        </w:tc>
        <w:tc>
          <w:tcPr>
            <w:tcW w:w="58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2019</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80"/>
        </w:trPr>
        <w:tc>
          <w:tcPr>
            <w:tcW w:w="88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231F20"/>
                <w:w w:val="98"/>
              </w:rPr>
              <w:t>S-3ASR</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333-231931</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4, 2019</w:t>
            </w:r>
          </w:p>
        </w:tc>
        <w:tc>
          <w:tcPr>
            <w:tcW w:w="580" w:type="dxa"/>
            <w:vAlign w:val="bottom"/>
          </w:tcPr>
          <w:p>
            <w:pPr>
              <w:jc w:val="center"/>
              <w:ind w:left="140"/>
              <w:spacing w:after="0"/>
              <w:rPr>
                <w:sz w:val="20"/>
                <w:szCs w:val="20"/>
                <w:color w:val="auto"/>
              </w:rPr>
            </w:pPr>
            <w:r>
              <w:rPr>
                <w:rFonts w:ascii="Times New Roman" w:cs="Times New Roman" w:eastAsia="Times New Roman" w:hAnsi="Times New Roman"/>
                <w:sz w:val="20"/>
                <w:szCs w:val="20"/>
                <w:color w:val="231F20"/>
                <w:w w:val="97"/>
              </w:rPr>
              <w:t>4.22</w:t>
            </w:r>
          </w:p>
        </w:tc>
        <w:tc>
          <w:tcPr>
            <w:tcW w:w="0" w:type="dxa"/>
            <w:vAlign w:val="bottom"/>
          </w:tcPr>
          <w:p>
            <w:pPr>
              <w:spacing w:after="0"/>
              <w:rPr>
                <w:sz w:val="1"/>
                <w:szCs w:val="1"/>
                <w:color w:val="auto"/>
              </w:rPr>
            </w:pPr>
          </w:p>
        </w:tc>
      </w:tr>
      <w:tr>
        <w:trPr>
          <w:trHeight w:val="1120"/>
        </w:trPr>
        <w:tc>
          <w:tcPr>
            <w:tcW w:w="8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June 13,</w:t>
            </w:r>
          </w:p>
        </w:tc>
        <w:tc>
          <w:tcPr>
            <w:tcW w:w="58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2019</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05"/>
        </w:trPr>
        <w:tc>
          <w:tcPr>
            <w:tcW w:w="8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October 3,</w:t>
            </w:r>
          </w:p>
        </w:tc>
        <w:tc>
          <w:tcPr>
            <w:tcW w:w="58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2019</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65"/>
        </w:trPr>
        <w:tc>
          <w:tcPr>
            <w:tcW w:w="8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January 10,</w:t>
            </w:r>
          </w:p>
        </w:tc>
        <w:tc>
          <w:tcPr>
            <w:tcW w:w="580" w:type="dxa"/>
            <w:vAlign w:val="bottom"/>
            <w:vMerge w:val="restart"/>
          </w:tcPr>
          <w:p>
            <w:pPr>
              <w:jc w:val="center"/>
              <w:ind w:left="140"/>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88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2020</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340" w:space="440"/>
            <w:col w:w="4480"/>
          </w:cols>
          <w:pgMar w:left="820" w:top="58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260"/>
          </w:cols>
          <w:pgMar w:left="820" w:top="588" w:right="800" w:bottom="0" w:gutter="0" w:footer="0" w:header="0"/>
          <w:type w:val="continuous"/>
        </w:sectPr>
      </w:pPr>
    </w:p>
    <w:bookmarkStart w:id="79" w:name="page80"/>
    <w:bookmarkEnd w:id="79"/>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6"/>
                <w:szCs w:val="16"/>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4.13</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4, dated as of June 3,</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2020, to Indenture dated as of June 4, 2019,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for the 2.100%</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Senior Notes due 2030 and the 3.100% Senior Notes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due 2050</w:t>
            </w:r>
          </w:p>
        </w:tc>
        <w:tc>
          <w:tcPr>
            <w:tcW w:w="0" w:type="dxa"/>
            <w:vAlign w:val="bottom"/>
          </w:tcPr>
          <w:p>
            <w:pPr>
              <w:spacing w:after="0"/>
              <w:rPr>
                <w:sz w:val="1"/>
                <w:szCs w:val="1"/>
                <w:color w:val="auto"/>
              </w:rPr>
            </w:pPr>
          </w:p>
        </w:tc>
      </w:tr>
      <w:tr>
        <w:trPr>
          <w:trHeight w:val="36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4.14</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5, dated as of September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10, 2020, to Indenture dated as of June 4, 2019, by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among the Company, U.S. Bank National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Association, as Trustee, and Elavon Financial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Services DAC, UK Branch, as Paying Agent, for the</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0.500% Senior Notes due 2028 and the 1.000% Senior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Notes due 2032</w:t>
            </w:r>
          </w:p>
        </w:tc>
        <w:tc>
          <w:tcPr>
            <w:tcW w:w="0" w:type="dxa"/>
            <w:vAlign w:val="bottom"/>
          </w:tcPr>
          <w:p>
            <w:pPr>
              <w:spacing w:after="0"/>
              <w:rPr>
                <w:sz w:val="1"/>
                <w:szCs w:val="1"/>
                <w:color w:val="auto"/>
              </w:rPr>
            </w:pPr>
          </w:p>
        </w:tc>
      </w:tr>
      <w:tr>
        <w:trPr>
          <w:trHeight w:val="331"/>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4.15</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6, dated as of September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28, 2020, to Indenture dated as of June 4, 2019, by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between American Tower Corporation and 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Bank National Association, as Trustee, for the 1.875%</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Senior Notes due 2030</w:t>
            </w:r>
          </w:p>
        </w:tc>
        <w:tc>
          <w:tcPr>
            <w:tcW w:w="0" w:type="dxa"/>
            <w:vAlign w:val="bottom"/>
          </w:tcPr>
          <w:p>
            <w:pPr>
              <w:spacing w:after="0"/>
              <w:rPr>
                <w:sz w:val="1"/>
                <w:szCs w:val="1"/>
                <w:color w:val="auto"/>
              </w:rPr>
            </w:pPr>
          </w:p>
        </w:tc>
      </w:tr>
      <w:tr>
        <w:trPr>
          <w:trHeight w:val="37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4.16</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7, dated as of November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 2020, to Indenture dated as of June 4, 2019, by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between American Tower Corporation and 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Bank National Association, as Trustee, for the 1.500%</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Senior Notes due 2028 and the 2.950% Senior Notes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due 2051</w:t>
            </w:r>
          </w:p>
        </w:tc>
        <w:tc>
          <w:tcPr>
            <w:tcW w:w="0" w:type="dxa"/>
            <w:vAlign w:val="bottom"/>
          </w:tcPr>
          <w:p>
            <w:pPr>
              <w:spacing w:after="0"/>
              <w:rPr>
                <w:sz w:val="1"/>
                <w:szCs w:val="1"/>
                <w:color w:val="auto"/>
              </w:rPr>
            </w:pPr>
          </w:p>
        </w:tc>
      </w:tr>
      <w:tr>
        <w:trPr>
          <w:trHeight w:val="38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4.17</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8, dated as of March 29,</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2021, to Indenture dated as of June 4, 2019,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for the 1.600%</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Senior Notes due 2026 and the 2.700% Senior Notes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due 2031</w:t>
            </w:r>
          </w:p>
        </w:tc>
        <w:tc>
          <w:tcPr>
            <w:tcW w:w="0" w:type="dxa"/>
            <w:vAlign w:val="bottom"/>
          </w:tcPr>
          <w:p>
            <w:pPr>
              <w:spacing w:after="0"/>
              <w:rPr>
                <w:sz w:val="1"/>
                <w:szCs w:val="1"/>
                <w:color w:val="auto"/>
              </w:rPr>
            </w:pPr>
          </w:p>
        </w:tc>
      </w:tr>
      <w:tr>
        <w:trPr>
          <w:trHeight w:val="27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4.18</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9, dated as of May 21,</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2021, to Indenture dated as of June 4, 2019,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among the Company, U.S. Bank National Association,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 Trustee, and Elavon Financial Services DAC, UK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Branch, as Paying Agent, for the 0.450% Senior Notes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due 2027, the 0.875% Senior Notes due 2029 and the</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1.250% Senior Notes due 2033</w:t>
            </w:r>
          </w:p>
        </w:tc>
        <w:tc>
          <w:tcPr>
            <w:tcW w:w="0" w:type="dxa"/>
            <w:vAlign w:val="bottom"/>
          </w:tcPr>
          <w:p>
            <w:pPr>
              <w:spacing w:after="0"/>
              <w:rPr>
                <w:sz w:val="1"/>
                <w:szCs w:val="1"/>
                <w:color w:val="auto"/>
              </w:rPr>
            </w:pP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4.19</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w w:val="99"/>
              </w:rPr>
              <w:t>Supplemental Indenture No. 10, dated as of September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27, 2021, to Indenture dated as of June 4, 2019, by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between American Tower Corporation and 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Bank National Association, as Trustee, for the 1.450%</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Senior Notes due 2026 and the 2.300% Senior Notes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due 2031</w:t>
            </w:r>
          </w:p>
        </w:tc>
        <w:tc>
          <w:tcPr>
            <w:tcW w:w="0" w:type="dxa"/>
            <w:vAlign w:val="bottom"/>
          </w:tcPr>
          <w:p>
            <w:pPr>
              <w:spacing w:after="0"/>
              <w:rPr>
                <w:sz w:val="1"/>
                <w:szCs w:val="1"/>
                <w:color w:val="auto"/>
              </w:rPr>
            </w:pPr>
          </w:p>
        </w:tc>
      </w:tr>
      <w:tr>
        <w:trPr>
          <w:trHeight w:val="30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4.20</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w w:val="99"/>
              </w:rPr>
              <w:t>Supplemental Indenture No. 11, dated as of October 5,</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2021, to Indenture dated as of June 4, 2019,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among the Company, U.S. Bank National Association,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 Trustee, and Elavon Financial Services DAC, UK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Branch, as Paying Agent, for the 0.400% Senior Notes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due 2027 and the 0.950% Senior Notes due 2030</w:t>
            </w:r>
          </w:p>
        </w:tc>
        <w:tc>
          <w:tcPr>
            <w:tcW w:w="0" w:type="dxa"/>
            <w:vAlign w:val="bottom"/>
          </w:tcPr>
          <w:p>
            <w:pPr>
              <w:spacing w:after="0"/>
              <w:rPr>
                <w:sz w:val="1"/>
                <w:szCs w:val="1"/>
                <w:color w:val="auto"/>
              </w:rPr>
            </w:pPr>
          </w:p>
        </w:tc>
      </w:tr>
      <w:tr>
        <w:trPr>
          <w:trHeight w:val="331"/>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4.21</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12, dated as of April 1,</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2022, to Indenture dated as of June 4, 2019,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 Company, National Association, as Trustee, for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the 3.650% Senior Notes due 2027 and the 4.050%</w:t>
            </w:r>
          </w:p>
        </w:tc>
        <w:tc>
          <w:tcPr>
            <w:tcW w:w="0" w:type="dxa"/>
            <w:vAlign w:val="bottom"/>
          </w:tcPr>
          <w:p>
            <w:pPr>
              <w:spacing w:after="0"/>
              <w:rPr>
                <w:sz w:val="1"/>
                <w:szCs w:val="1"/>
                <w:color w:val="auto"/>
              </w:rPr>
            </w:pPr>
          </w:p>
        </w:tc>
      </w:tr>
      <w:tr>
        <w:trPr>
          <w:trHeight w:val="32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4.22</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Indenture dated as of June 1, 2022, by and between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the Company and U.S. Bank Trust Company, National</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Association,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-8392160</wp:posOffset>
                </wp:positionV>
                <wp:extent cx="6514465" cy="84772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47725"/>
                        </a:xfrm>
                        <a:prstGeom prst="rect">
                          <a:avLst/>
                        </a:prstGeom>
                        <a:solidFill>
                          <a:srgbClr val="E3E4E5"/>
                        </a:solidFill>
                      </wps:spPr>
                      <wps:bodyPr/>
                    </wps:wsp>
                  </a:graphicData>
                </a:graphic>
              </wp:anchor>
            </w:drawing>
          </mc:Choice>
          <mc:Fallback>
            <w:pict>
              <v:rect id="Shape 85" o:spid="_x0000_s1110" style="position:absolute;margin-left:-2.4499pt;margin-top:-660.7999pt;width:512.95pt;height:6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-6449060</wp:posOffset>
                </wp:positionV>
                <wp:extent cx="6514465" cy="71437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14375"/>
                        </a:xfrm>
                        <a:prstGeom prst="rect">
                          <a:avLst/>
                        </a:prstGeom>
                        <a:solidFill>
                          <a:srgbClr val="E3E4E5"/>
                        </a:solidFill>
                      </wps:spPr>
                      <wps:bodyPr/>
                    </wps:wsp>
                  </a:graphicData>
                </a:graphic>
              </wp:anchor>
            </w:drawing>
          </mc:Choice>
          <mc:Fallback>
            <w:pict>
              <v:rect id="Shape 86" o:spid="_x0000_s1111" style="position:absolute;margin-left:-2.4499pt;margin-top:-507.7999pt;width:512.95pt;height:5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-4753610</wp:posOffset>
                </wp:positionV>
                <wp:extent cx="6514465" cy="80010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00100"/>
                        </a:xfrm>
                        <a:prstGeom prst="rect">
                          <a:avLst/>
                        </a:prstGeom>
                        <a:solidFill>
                          <a:srgbClr val="E3E4E5"/>
                        </a:solidFill>
                      </wps:spPr>
                      <wps:bodyPr/>
                    </wps:wsp>
                  </a:graphicData>
                </a:graphic>
              </wp:anchor>
            </w:drawing>
          </mc:Choice>
          <mc:Fallback>
            <w:pict>
              <v:rect id="Shape 87" o:spid="_x0000_s1112" style="position:absolute;margin-left:-2.4499pt;margin-top:-374.2999pt;width:512.95pt;height:6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-2934335</wp:posOffset>
                </wp:positionV>
                <wp:extent cx="6514465" cy="8001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00100"/>
                        </a:xfrm>
                        <a:prstGeom prst="rect">
                          <a:avLst/>
                        </a:prstGeom>
                        <a:solidFill>
                          <a:srgbClr val="E3E4E5"/>
                        </a:solidFill>
                      </wps:spPr>
                      <wps:bodyPr/>
                    </wps:wsp>
                  </a:graphicData>
                </a:graphic>
              </wp:anchor>
            </w:drawing>
          </mc:Choice>
          <mc:Fallback>
            <w:pict>
              <v:rect id="Shape 88" o:spid="_x0000_s1113" style="position:absolute;margin-left:-2.4499pt;margin-top:-231.0499pt;width:512.95pt;height:6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-1181735</wp:posOffset>
                </wp:positionV>
                <wp:extent cx="6514465" cy="67627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676275"/>
                        </a:xfrm>
                        <a:prstGeom prst="rect">
                          <a:avLst/>
                        </a:prstGeom>
                        <a:solidFill>
                          <a:srgbClr val="E3E4E5"/>
                        </a:solidFill>
                      </wps:spPr>
                      <wps:bodyPr/>
                    </wps:wsp>
                  </a:graphicData>
                </a:graphic>
              </wp:anchor>
            </w:drawing>
          </mc:Choice>
          <mc:Fallback>
            <w:pict>
              <v:rect id="Shape 89" o:spid="_x0000_s1114" style="position:absolute;margin-left:-2.4499pt;margin-top:-93.0499pt;width:512.95pt;height:5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00" w:type="dxa"/>
            <w:vAlign w:val="bottom"/>
            <w:tcBorders>
              <w:top w:val="single" w:sz="8" w:color="231F20"/>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380" w:type="dxa"/>
            <w:vAlign w:val="bottom"/>
            <w:tcBorders>
              <w:top w:val="single" w:sz="8" w:color="231F20"/>
            </w:tcBorders>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400" w:type="dxa"/>
            <w:vAlign w:val="bottom"/>
            <w:tcBorders>
              <w:top w:val="single" w:sz="8" w:color="231F20"/>
            </w:tcBorders>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40" w:type="dxa"/>
            <w:vAlign w:val="bottom"/>
            <w:tcBorders>
              <w:top w:val="single" w:sz="8" w:color="231F20"/>
            </w:tcBorders>
            <w:gridSpan w:val="4"/>
          </w:tcPr>
          <w:p>
            <w:pPr>
              <w:jc w:val="center"/>
              <w:ind w:left="62"/>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tcBorders>
              <w:top w:val="single" w:sz="8" w:color="231F20"/>
            </w:tcBorders>
            <w:gridSpan w:val="3"/>
            <w:vMerge w:val="continue"/>
          </w:tcPr>
          <w:p>
            <w:pPr>
              <w:spacing w:after="0"/>
              <w:rPr>
                <w:sz w:val="12"/>
                <w:szCs w:val="12"/>
                <w:color w:val="auto"/>
              </w:rPr>
            </w:pPr>
          </w:p>
        </w:tc>
        <w:tc>
          <w:tcPr>
            <w:tcW w:w="1380" w:type="dxa"/>
            <w:vAlign w:val="bottom"/>
            <w:tcBorders>
              <w:top w:val="single" w:sz="8" w:color="231F20"/>
            </w:tcBorders>
            <w:gridSpan w:val="3"/>
            <w:vMerge w:val="continue"/>
          </w:tcPr>
          <w:p>
            <w:pPr>
              <w:spacing w:after="0"/>
              <w:rPr>
                <w:sz w:val="12"/>
                <w:szCs w:val="12"/>
                <w:color w:val="auto"/>
              </w:rPr>
            </w:pPr>
          </w:p>
        </w:tc>
        <w:tc>
          <w:tcPr>
            <w:tcW w:w="1400" w:type="dxa"/>
            <w:vAlign w:val="bottom"/>
            <w:tcBorders>
              <w:top w:val="single" w:sz="8" w:color="231F20"/>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3"/>
        </w:trPr>
        <w:tc>
          <w:tcPr>
            <w:tcW w:w="2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36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231F20"/>
              </w:rPr>
              <w:t>June 3, 2020</w:t>
            </w:r>
          </w:p>
        </w:tc>
        <w:tc>
          <w:tcPr>
            <w:tcW w:w="740" w:type="dxa"/>
            <w:vAlign w:val="bottom"/>
            <w:gridSpan w:val="4"/>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0"/>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rPr>
              <w:t>September</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10, 2020</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0"/>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rPr>
              <w:t>September</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28, 2020</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231F20"/>
                <w:w w:val="99"/>
              </w:rPr>
              <w:t>November</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20, 2020</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5"/>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March 29,</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02"/>
              <w:spacing w:after="0"/>
              <w:rPr>
                <w:sz w:val="20"/>
                <w:szCs w:val="20"/>
                <w:color w:val="auto"/>
              </w:rPr>
            </w:pPr>
            <w:r>
              <w:rPr>
                <w:rFonts w:ascii="Times New Roman" w:cs="Times New Roman" w:eastAsia="Times New Roman" w:hAnsi="Times New Roman"/>
                <w:sz w:val="20"/>
                <w:szCs w:val="20"/>
                <w:color w:val="231F20"/>
                <w:w w:val="99"/>
              </w:rPr>
              <w:t>2021</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0"/>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8"/>
              </w:rPr>
              <w:t>May 21,</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02"/>
              <w:spacing w:after="0"/>
              <w:rPr>
                <w:sz w:val="20"/>
                <w:szCs w:val="20"/>
                <w:color w:val="auto"/>
              </w:rPr>
            </w:pPr>
            <w:r>
              <w:rPr>
                <w:rFonts w:ascii="Times New Roman" w:cs="Times New Roman" w:eastAsia="Times New Roman" w:hAnsi="Times New Roman"/>
                <w:sz w:val="20"/>
                <w:szCs w:val="20"/>
                <w:color w:val="231F20"/>
                <w:w w:val="99"/>
              </w:rPr>
              <w:t>2021</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5"/>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rPr>
              <w:t>September</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27, 2021</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5"/>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231F20"/>
                <w:w w:val="99"/>
              </w:rPr>
              <w:t>October 5,</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02"/>
              <w:spacing w:after="0"/>
              <w:rPr>
                <w:sz w:val="20"/>
                <w:szCs w:val="20"/>
                <w:color w:val="auto"/>
              </w:rPr>
            </w:pPr>
            <w:r>
              <w:rPr>
                <w:rFonts w:ascii="Times New Roman" w:cs="Times New Roman" w:eastAsia="Times New Roman" w:hAnsi="Times New Roman"/>
                <w:sz w:val="20"/>
                <w:szCs w:val="20"/>
                <w:color w:val="231F20"/>
                <w:w w:val="99"/>
              </w:rPr>
              <w:t>2021</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0"/>
        </w:trPr>
        <w:tc>
          <w:tcPr>
            <w:tcW w:w="260" w:type="dxa"/>
            <w:vAlign w:val="bottom"/>
          </w:tcPr>
          <w:p>
            <w:pPr>
              <w:spacing w:after="0"/>
              <w:rPr>
                <w:sz w:val="24"/>
                <w:szCs w:val="24"/>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April 1,</w:t>
            </w:r>
          </w:p>
        </w:tc>
        <w:tc>
          <w:tcPr>
            <w:tcW w:w="740" w:type="dxa"/>
            <w:vAlign w:val="bottom"/>
            <w:gridSpan w:val="4"/>
            <w:vMerge w:val="restart"/>
          </w:tcPr>
          <w:p>
            <w:pPr>
              <w:jc w:val="center"/>
              <w:ind w:left="6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1380" w:type="dxa"/>
            <w:vAlign w:val="bottom"/>
            <w:gridSpan w:val="3"/>
            <w:vMerge w:val="continue"/>
          </w:tcPr>
          <w:p>
            <w:pPr>
              <w:spacing w:after="0"/>
              <w:rPr>
                <w:sz w:val="22"/>
                <w:szCs w:val="22"/>
                <w:color w:val="auto"/>
              </w:rPr>
            </w:pPr>
          </w:p>
        </w:tc>
        <w:tc>
          <w:tcPr>
            <w:tcW w:w="1160" w:type="dxa"/>
            <w:vAlign w:val="bottom"/>
            <w:gridSpan w:val="2"/>
          </w:tcPr>
          <w:p>
            <w:pPr>
              <w:jc w:val="center"/>
              <w:ind w:left="102"/>
              <w:spacing w:after="0"/>
              <w:rPr>
                <w:sz w:val="20"/>
                <w:szCs w:val="20"/>
                <w:color w:val="auto"/>
              </w:rPr>
            </w:pPr>
            <w:r>
              <w:rPr>
                <w:rFonts w:ascii="Times New Roman" w:cs="Times New Roman" w:eastAsia="Times New Roman" w:hAnsi="Times New Roman"/>
                <w:sz w:val="20"/>
                <w:szCs w:val="20"/>
                <w:color w:val="231F20"/>
                <w:w w:val="99"/>
              </w:rPr>
              <w:t>2022</w:t>
            </w:r>
          </w:p>
        </w:tc>
        <w:tc>
          <w:tcPr>
            <w:tcW w:w="240" w:type="dxa"/>
            <w:vAlign w:val="bottom"/>
          </w:tcPr>
          <w:p>
            <w:pPr>
              <w:spacing w:after="0"/>
              <w:rPr>
                <w:sz w:val="22"/>
                <w:szCs w:val="22"/>
                <w:color w:val="auto"/>
              </w:rPr>
            </w:pPr>
          </w:p>
        </w:tc>
        <w:tc>
          <w:tcPr>
            <w:tcW w:w="74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0"/>
        </w:trPr>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231F20"/>
                <w:w w:val="98"/>
              </w:rPr>
              <w:t>S-3ASR</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231F20"/>
                <w:w w:val="99"/>
              </w:rPr>
              <w:t>333-265348</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231F20"/>
              </w:rPr>
              <w:t>June 1, 2022</w:t>
            </w:r>
          </w:p>
        </w:tc>
        <w:tc>
          <w:tcPr>
            <w:tcW w:w="740" w:type="dxa"/>
            <w:vAlign w:val="bottom"/>
            <w:gridSpan w:val="4"/>
          </w:tcPr>
          <w:p>
            <w:pPr>
              <w:jc w:val="center"/>
              <w:ind w:left="62"/>
              <w:spacing w:after="0"/>
              <w:rPr>
                <w:sz w:val="20"/>
                <w:szCs w:val="20"/>
                <w:color w:val="auto"/>
              </w:rPr>
            </w:pPr>
            <w:r>
              <w:rPr>
                <w:rFonts w:ascii="Times New Roman" w:cs="Times New Roman" w:eastAsia="Times New Roman" w:hAnsi="Times New Roman"/>
                <w:sz w:val="20"/>
                <w:szCs w:val="20"/>
                <w:color w:val="231F20"/>
                <w:w w:val="97"/>
              </w:rPr>
              <w:t>4.32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320" w:space="300"/>
            <w:col w:w="4600"/>
          </w:cols>
          <w:pgMar w:left="860" w:top="588" w:right="800" w:bottom="0" w:gutter="0" w:footer="0" w:header="0"/>
        </w:sectPr>
      </w:pPr>
    </w:p>
    <w:p>
      <w:pPr>
        <w:spacing w:after="0" w:line="3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220"/>
          </w:cols>
          <w:pgMar w:left="860" w:top="588" w:right="800" w:bottom="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38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2800" w:type="dxa"/>
            <w:vAlign w:val="bottom"/>
            <w:tcBorders>
              <w:bottom w:val="single" w:sz="8" w:color="231F20"/>
            </w:tcBorders>
            <w:gridSpan w:val="6"/>
          </w:tcPr>
          <w:p>
            <w:pPr>
              <w:ind w:left="40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22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 No.</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840" w:type="dxa"/>
            <w:vAlign w:val="bottom"/>
            <w:gridSpan w:val="5"/>
          </w:tcPr>
          <w:p>
            <w:pPr>
              <w:jc w:val="center"/>
              <w:ind w:left="2"/>
              <w:spacing w:after="0" w:line="139"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540" w:type="dxa"/>
            <w:vAlign w:val="bottom"/>
            <w:tcBorders>
              <w:top w:val="single" w:sz="8" w:color="231F20"/>
            </w:tcBorders>
            <w:gridSpan w:val="2"/>
          </w:tcPr>
          <w:p>
            <w:pPr>
              <w:spacing w:after="0" w:line="140" w:lineRule="exact"/>
              <w:rPr>
                <w:sz w:val="20"/>
                <w:szCs w:val="20"/>
                <w:color w:val="auto"/>
              </w:rPr>
            </w:pPr>
            <w:r>
              <w:rPr>
                <w:rFonts w:ascii="Times New Roman" w:cs="Times New Roman" w:eastAsia="Times New Roman" w:hAnsi="Times New Roman"/>
                <w:sz w:val="16"/>
                <w:szCs w:val="16"/>
                <w:b w:val="1"/>
                <w:bCs w:val="1"/>
                <w:color w:val="231F20"/>
              </w:rPr>
              <w:t>No.</w:t>
            </w:r>
          </w:p>
        </w:tc>
        <w:tc>
          <w:tcPr>
            <w:tcW w:w="174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40" w:type="dxa"/>
            <w:vAlign w:val="bottom"/>
            <w:tcBorders>
              <w:top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Borders>
              <w:top w:val="single" w:sz="8" w:color="231F20"/>
            </w:tcBorders>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top w:val="single" w:sz="8" w:color="231F20"/>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Borders>
              <w:top w:val="single" w:sz="8" w:color="231F20"/>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top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80" w:type="dxa"/>
            <w:vAlign w:val="bottom"/>
            <w:gridSpan w:val="3"/>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4.23</w:t>
            </w: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1, dated as of March 3,</w:t>
            </w:r>
          </w:p>
        </w:tc>
        <w:tc>
          <w:tcPr>
            <w:tcW w:w="260" w:type="dxa"/>
            <w:vAlign w:val="bottom"/>
            <w:shd w:val="clear" w:color="auto" w:fill="E3E4E5"/>
          </w:tcPr>
          <w:p>
            <w:pPr>
              <w:spacing w:after="0"/>
              <w:rPr>
                <w:sz w:val="22"/>
                <w:szCs w:val="22"/>
                <w:color w:val="auto"/>
              </w:rPr>
            </w:pPr>
          </w:p>
        </w:tc>
        <w:tc>
          <w:tcPr>
            <w:tcW w:w="380" w:type="dxa"/>
            <w:vAlign w:val="bottom"/>
            <w:shd w:val="clear" w:color="auto" w:fill="E3E4E5"/>
          </w:tcPr>
          <w:p>
            <w:pPr>
              <w:spacing w:after="0"/>
              <w:rPr>
                <w:sz w:val="22"/>
                <w:szCs w:val="22"/>
                <w:color w:val="auto"/>
              </w:rPr>
            </w:pPr>
          </w:p>
        </w:tc>
        <w:tc>
          <w:tcPr>
            <w:tcW w:w="32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520" w:type="dxa"/>
            <w:vAlign w:val="bottom"/>
            <w:shd w:val="clear" w:color="auto" w:fill="E3E4E5"/>
          </w:tcPr>
          <w:p>
            <w:pPr>
              <w:spacing w:after="0"/>
              <w:rPr>
                <w:sz w:val="22"/>
                <w:szCs w:val="22"/>
                <w:color w:val="auto"/>
              </w:rPr>
            </w:pPr>
          </w:p>
        </w:tc>
        <w:tc>
          <w:tcPr>
            <w:tcW w:w="40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4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4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8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2023, to Indenture dated as of June 1, 2022, by and</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 Company, National Association, as Trustee, for</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March 3,</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the 5.500% Senior Notes due 2028 and the 5.650%</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Senior Notes due 2033</w:t>
            </w:r>
          </w:p>
        </w:tc>
        <w:tc>
          <w:tcPr>
            <w:tcW w:w="260" w:type="dxa"/>
            <w:vAlign w:val="bottom"/>
            <w:shd w:val="clear" w:color="auto" w:fill="E3E4E5"/>
          </w:tcPr>
          <w:p>
            <w:pPr>
              <w:spacing w:after="0"/>
              <w:rPr>
                <w:sz w:val="23"/>
                <w:szCs w:val="23"/>
                <w:color w:val="auto"/>
              </w:rPr>
            </w:pPr>
          </w:p>
        </w:tc>
        <w:tc>
          <w:tcPr>
            <w:tcW w:w="700" w:type="dxa"/>
            <w:vAlign w:val="bottom"/>
            <w:gridSpan w:val="2"/>
            <w:vMerge w:val="continue"/>
            <w:shd w:val="clear" w:color="auto" w:fill="E3E4E5"/>
          </w:tcPr>
          <w:p>
            <w:pPr>
              <w:spacing w:after="0"/>
              <w:rPr>
                <w:sz w:val="23"/>
                <w:szCs w:val="23"/>
                <w:color w:val="auto"/>
              </w:rPr>
            </w:pPr>
          </w:p>
        </w:tc>
        <w:tc>
          <w:tcPr>
            <w:tcW w:w="1400" w:type="dxa"/>
            <w:vAlign w:val="bottom"/>
            <w:gridSpan w:val="3"/>
            <w:vMerge w:val="continue"/>
            <w:shd w:val="clear" w:color="auto" w:fill="E3E4E5"/>
          </w:tcPr>
          <w:p>
            <w:pPr>
              <w:spacing w:after="0"/>
              <w:rPr>
                <w:sz w:val="23"/>
                <w:szCs w:val="23"/>
                <w:color w:val="auto"/>
              </w:rPr>
            </w:pPr>
          </w:p>
        </w:tc>
        <w:tc>
          <w:tcPr>
            <w:tcW w:w="1180" w:type="dxa"/>
            <w:vAlign w:val="bottom"/>
            <w:gridSpan w:val="2"/>
            <w:shd w:val="clear" w:color="auto" w:fill="E3E4E5"/>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2023</w:t>
            </w:r>
          </w:p>
        </w:tc>
        <w:tc>
          <w:tcPr>
            <w:tcW w:w="220" w:type="dxa"/>
            <w:vAlign w:val="bottom"/>
            <w:shd w:val="clear" w:color="auto" w:fill="E3E4E5"/>
          </w:tcPr>
          <w:p>
            <w:pPr>
              <w:spacing w:after="0"/>
              <w:rPr>
                <w:sz w:val="23"/>
                <w:szCs w:val="23"/>
                <w:color w:val="auto"/>
              </w:rPr>
            </w:pPr>
          </w:p>
        </w:tc>
        <w:tc>
          <w:tcPr>
            <w:tcW w:w="760" w:type="dxa"/>
            <w:vAlign w:val="bottom"/>
            <w:gridSpan w:val="4"/>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4.24</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2, dated as of May 16,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2023, to Indenture dated as of June 1, 2022 by and</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among the Company, U.S. Bank Trust Company,</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and Elavon</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Financial Services DAC, UK Branch, as Paying</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231F20"/>
                <w:w w:val="98"/>
              </w:rPr>
              <w:t>May 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Agent, for the 4.125% Senior Notes due 2027 and the</w:t>
            </w:r>
          </w:p>
        </w:tc>
        <w:tc>
          <w:tcPr>
            <w:tcW w:w="260" w:type="dxa"/>
            <w:vAlign w:val="bottom"/>
          </w:tcPr>
          <w:p>
            <w:pPr>
              <w:spacing w:after="0"/>
              <w:rPr>
                <w:sz w:val="17"/>
                <w:szCs w:val="17"/>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760" w:type="dxa"/>
            <w:vAlign w:val="bottom"/>
            <w:gridSpan w:val="4"/>
            <w:vMerge w:val="restart"/>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4.625% Senior Notes due 2031</w:t>
            </w:r>
          </w:p>
        </w:tc>
        <w:tc>
          <w:tcPr>
            <w:tcW w:w="26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118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2023</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580" w:type="dxa"/>
            <w:vAlign w:val="bottom"/>
            <w:gridSpan w:val="3"/>
            <w:shd w:val="clear" w:color="auto" w:fill="E3E4E5"/>
          </w:tcPr>
          <w:p>
            <w:pPr>
              <w:ind w:left="40"/>
              <w:spacing w:after="0" w:line="213" w:lineRule="exact"/>
              <w:rPr>
                <w:sz w:val="20"/>
                <w:szCs w:val="20"/>
                <w:color w:val="auto"/>
              </w:rPr>
            </w:pPr>
            <w:r>
              <w:rPr>
                <w:rFonts w:ascii="Times New Roman" w:cs="Times New Roman" w:eastAsia="Times New Roman" w:hAnsi="Times New Roman"/>
                <w:sz w:val="20"/>
                <w:szCs w:val="20"/>
                <w:color w:val="231F20"/>
              </w:rPr>
              <w:t>4.25</w:t>
            </w:r>
          </w:p>
        </w:tc>
        <w:tc>
          <w:tcPr>
            <w:tcW w:w="5080" w:type="dxa"/>
            <w:vAlign w:val="bottom"/>
            <w:gridSpan w:val="3"/>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Supplemental Indenture No. 3, dated as of May 25,</w:t>
            </w:r>
          </w:p>
        </w:tc>
        <w:tc>
          <w:tcPr>
            <w:tcW w:w="260" w:type="dxa"/>
            <w:vAlign w:val="bottom"/>
            <w:shd w:val="clear" w:color="auto" w:fill="E3E4E5"/>
          </w:tcPr>
          <w:p>
            <w:pPr>
              <w:spacing w:after="0"/>
              <w:rPr>
                <w:sz w:val="18"/>
                <w:szCs w:val="18"/>
                <w:color w:val="auto"/>
              </w:rPr>
            </w:pPr>
          </w:p>
        </w:tc>
        <w:tc>
          <w:tcPr>
            <w:tcW w:w="38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480" w:type="dxa"/>
            <w:vAlign w:val="bottom"/>
            <w:shd w:val="clear" w:color="auto" w:fill="E3E4E5"/>
          </w:tcPr>
          <w:p>
            <w:pPr>
              <w:spacing w:after="0"/>
              <w:rPr>
                <w:sz w:val="18"/>
                <w:szCs w:val="18"/>
                <w:color w:val="auto"/>
              </w:rPr>
            </w:pPr>
          </w:p>
        </w:tc>
        <w:tc>
          <w:tcPr>
            <w:tcW w:w="520" w:type="dxa"/>
            <w:vAlign w:val="bottom"/>
            <w:shd w:val="clear" w:color="auto" w:fill="E3E4E5"/>
          </w:tcPr>
          <w:p>
            <w:pPr>
              <w:spacing w:after="0"/>
              <w:rPr>
                <w:sz w:val="18"/>
                <w:szCs w:val="18"/>
                <w:color w:val="auto"/>
              </w:rPr>
            </w:pPr>
          </w:p>
        </w:tc>
        <w:tc>
          <w:tcPr>
            <w:tcW w:w="400" w:type="dxa"/>
            <w:vAlign w:val="bottom"/>
            <w:shd w:val="clear" w:color="auto" w:fill="E3E4E5"/>
          </w:tcPr>
          <w:p>
            <w:pPr>
              <w:spacing w:after="0"/>
              <w:rPr>
                <w:sz w:val="18"/>
                <w:szCs w:val="18"/>
                <w:color w:val="auto"/>
              </w:rPr>
            </w:pPr>
          </w:p>
        </w:tc>
        <w:tc>
          <w:tcPr>
            <w:tcW w:w="240" w:type="dxa"/>
            <w:vAlign w:val="bottom"/>
            <w:shd w:val="clear" w:color="auto" w:fill="E3E4E5"/>
          </w:tcPr>
          <w:p>
            <w:pPr>
              <w:spacing w:after="0"/>
              <w:rPr>
                <w:sz w:val="18"/>
                <w:szCs w:val="18"/>
                <w:color w:val="auto"/>
              </w:rPr>
            </w:pPr>
          </w:p>
        </w:tc>
        <w:tc>
          <w:tcPr>
            <w:tcW w:w="9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8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2023, to Indenture dated as of June 1, 2022, by and</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 Company, National Association, as Trustee, for</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20"/>
              <w:spacing w:after="0"/>
              <w:rPr>
                <w:sz w:val="20"/>
                <w:szCs w:val="20"/>
                <w:color w:val="auto"/>
              </w:rPr>
            </w:pPr>
            <w:r>
              <w:rPr>
                <w:rFonts w:ascii="Times New Roman" w:cs="Times New Roman" w:eastAsia="Times New Roman" w:hAnsi="Times New Roman"/>
                <w:sz w:val="20"/>
                <w:szCs w:val="20"/>
                <w:color w:val="231F20"/>
                <w:w w:val="98"/>
              </w:rPr>
              <w:t>May 25,</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the 5.250% Senior Notes due 2028 and the 5.550%</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300" w:type="dxa"/>
            <w:vAlign w:val="bottom"/>
            <w:shd w:val="clear" w:color="auto" w:fill="E3E4E5"/>
          </w:tcPr>
          <w:p>
            <w:pPr>
              <w:spacing w:after="0"/>
              <w:rPr>
                <w:sz w:val="22"/>
                <w:szCs w:val="22"/>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Senior Notes due 2033</w:t>
            </w:r>
          </w:p>
        </w:tc>
        <w:tc>
          <w:tcPr>
            <w:tcW w:w="260" w:type="dxa"/>
            <w:vAlign w:val="bottom"/>
            <w:shd w:val="clear" w:color="auto" w:fill="E3E4E5"/>
          </w:tcPr>
          <w:p>
            <w:pPr>
              <w:spacing w:after="0"/>
              <w:rPr>
                <w:sz w:val="22"/>
                <w:szCs w:val="22"/>
                <w:color w:val="auto"/>
              </w:rPr>
            </w:pPr>
          </w:p>
        </w:tc>
        <w:tc>
          <w:tcPr>
            <w:tcW w:w="700" w:type="dxa"/>
            <w:vAlign w:val="bottom"/>
            <w:gridSpan w:val="2"/>
            <w:vMerge w:val="continue"/>
            <w:shd w:val="clear" w:color="auto" w:fill="E3E4E5"/>
          </w:tcPr>
          <w:p>
            <w:pPr>
              <w:spacing w:after="0"/>
              <w:rPr>
                <w:sz w:val="22"/>
                <w:szCs w:val="22"/>
                <w:color w:val="auto"/>
              </w:rPr>
            </w:pPr>
          </w:p>
        </w:tc>
        <w:tc>
          <w:tcPr>
            <w:tcW w:w="1400" w:type="dxa"/>
            <w:vAlign w:val="bottom"/>
            <w:gridSpan w:val="3"/>
            <w:vMerge w:val="continue"/>
            <w:shd w:val="clear" w:color="auto" w:fill="E3E4E5"/>
          </w:tcPr>
          <w:p>
            <w:pPr>
              <w:spacing w:after="0"/>
              <w:rPr>
                <w:sz w:val="22"/>
                <w:szCs w:val="22"/>
                <w:color w:val="auto"/>
              </w:rPr>
            </w:pPr>
          </w:p>
        </w:tc>
        <w:tc>
          <w:tcPr>
            <w:tcW w:w="1180" w:type="dxa"/>
            <w:vAlign w:val="bottom"/>
            <w:gridSpan w:val="2"/>
            <w:shd w:val="clear" w:color="auto" w:fill="E3E4E5"/>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2023</w:t>
            </w:r>
          </w:p>
        </w:tc>
        <w:tc>
          <w:tcPr>
            <w:tcW w:w="220" w:type="dxa"/>
            <w:vAlign w:val="bottom"/>
            <w:shd w:val="clear" w:color="auto" w:fill="E3E4E5"/>
          </w:tcPr>
          <w:p>
            <w:pPr>
              <w:spacing w:after="0"/>
              <w:rPr>
                <w:sz w:val="22"/>
                <w:szCs w:val="22"/>
                <w:color w:val="auto"/>
              </w:rPr>
            </w:pPr>
          </w:p>
        </w:tc>
        <w:tc>
          <w:tcPr>
            <w:tcW w:w="760" w:type="dxa"/>
            <w:vAlign w:val="bottom"/>
            <w:gridSpan w:val="4"/>
            <w:vMerge w:val="continue"/>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4.26</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4, dated as of September</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15, 2023, to Indenture dated as of June 1, 2022, by</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between American Tower Corporation and U.S.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Trust Company, National Association, as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231F20"/>
              </w:rPr>
              <w:t>September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Trustee, for the 5.800% Senior Notes due 2028 and</w:t>
            </w:r>
          </w:p>
        </w:tc>
        <w:tc>
          <w:tcPr>
            <w:tcW w:w="260" w:type="dxa"/>
            <w:vAlign w:val="bottom"/>
          </w:tcPr>
          <w:p>
            <w:pPr>
              <w:spacing w:after="0"/>
              <w:rPr>
                <w:sz w:val="17"/>
                <w:szCs w:val="17"/>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760" w:type="dxa"/>
            <w:vAlign w:val="bottom"/>
            <w:gridSpan w:val="4"/>
            <w:vMerge w:val="restart"/>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the 5.900% Senior Notes due 2033</w:t>
            </w:r>
          </w:p>
        </w:tc>
        <w:tc>
          <w:tcPr>
            <w:tcW w:w="26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118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color w:val="231F20"/>
                <w:w w:val="99"/>
              </w:rPr>
              <w:t>15, 2023</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580" w:type="dxa"/>
            <w:vAlign w:val="bottom"/>
            <w:gridSpan w:val="3"/>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4.27</w:t>
            </w: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5, dated as of March 7,</w:t>
            </w:r>
          </w:p>
        </w:tc>
        <w:tc>
          <w:tcPr>
            <w:tcW w:w="260" w:type="dxa"/>
            <w:vAlign w:val="bottom"/>
            <w:shd w:val="clear" w:color="auto" w:fill="E3E4E5"/>
          </w:tcPr>
          <w:p>
            <w:pPr>
              <w:spacing w:after="0"/>
              <w:rPr>
                <w:sz w:val="20"/>
                <w:szCs w:val="20"/>
                <w:color w:val="auto"/>
              </w:rPr>
            </w:pPr>
          </w:p>
        </w:tc>
        <w:tc>
          <w:tcPr>
            <w:tcW w:w="3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480" w:type="dxa"/>
            <w:vAlign w:val="bottom"/>
            <w:shd w:val="clear" w:color="auto" w:fill="E3E4E5"/>
          </w:tcPr>
          <w:p>
            <w:pPr>
              <w:spacing w:after="0"/>
              <w:rPr>
                <w:sz w:val="20"/>
                <w:szCs w:val="20"/>
                <w:color w:val="auto"/>
              </w:rPr>
            </w:pPr>
          </w:p>
        </w:tc>
        <w:tc>
          <w:tcPr>
            <w:tcW w:w="520" w:type="dxa"/>
            <w:vAlign w:val="bottom"/>
            <w:shd w:val="clear" w:color="auto" w:fill="E3E4E5"/>
          </w:tcPr>
          <w:p>
            <w:pPr>
              <w:spacing w:after="0"/>
              <w:rPr>
                <w:sz w:val="20"/>
                <w:szCs w:val="20"/>
                <w:color w:val="auto"/>
              </w:rPr>
            </w:pPr>
          </w:p>
        </w:tc>
        <w:tc>
          <w:tcPr>
            <w:tcW w:w="40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p>
        </w:tc>
        <w:tc>
          <w:tcPr>
            <w:tcW w:w="94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14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18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2024, to Indenture dated as of June 1, 2022, by and</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the Company and U.S. Bank Trust Company,</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for the 5.200%</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March 7,</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Senior Notes due 2029 and the 5.450% Senior Notes</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due 2034</w:t>
            </w:r>
          </w:p>
        </w:tc>
        <w:tc>
          <w:tcPr>
            <w:tcW w:w="260" w:type="dxa"/>
            <w:vAlign w:val="bottom"/>
            <w:shd w:val="clear" w:color="auto" w:fill="E3E4E5"/>
          </w:tcPr>
          <w:p>
            <w:pPr>
              <w:spacing w:after="0"/>
              <w:rPr>
                <w:sz w:val="23"/>
                <w:szCs w:val="23"/>
                <w:color w:val="auto"/>
              </w:rPr>
            </w:pPr>
          </w:p>
        </w:tc>
        <w:tc>
          <w:tcPr>
            <w:tcW w:w="700" w:type="dxa"/>
            <w:vAlign w:val="bottom"/>
            <w:gridSpan w:val="2"/>
            <w:vMerge w:val="continue"/>
            <w:shd w:val="clear" w:color="auto" w:fill="E3E4E5"/>
          </w:tcPr>
          <w:p>
            <w:pPr>
              <w:spacing w:after="0"/>
              <w:rPr>
                <w:sz w:val="23"/>
                <w:szCs w:val="23"/>
                <w:color w:val="auto"/>
              </w:rPr>
            </w:pPr>
          </w:p>
        </w:tc>
        <w:tc>
          <w:tcPr>
            <w:tcW w:w="1400" w:type="dxa"/>
            <w:vAlign w:val="bottom"/>
            <w:gridSpan w:val="3"/>
            <w:vMerge w:val="continue"/>
            <w:shd w:val="clear" w:color="auto" w:fill="E3E4E5"/>
          </w:tcPr>
          <w:p>
            <w:pPr>
              <w:spacing w:after="0"/>
              <w:rPr>
                <w:sz w:val="23"/>
                <w:szCs w:val="23"/>
                <w:color w:val="auto"/>
              </w:rPr>
            </w:pPr>
          </w:p>
        </w:tc>
        <w:tc>
          <w:tcPr>
            <w:tcW w:w="1180" w:type="dxa"/>
            <w:vAlign w:val="bottom"/>
            <w:gridSpan w:val="2"/>
            <w:shd w:val="clear" w:color="auto" w:fill="E3E4E5"/>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2024</w:t>
            </w:r>
          </w:p>
        </w:tc>
        <w:tc>
          <w:tcPr>
            <w:tcW w:w="220" w:type="dxa"/>
            <w:vAlign w:val="bottom"/>
            <w:shd w:val="clear" w:color="auto" w:fill="E3E4E5"/>
          </w:tcPr>
          <w:p>
            <w:pPr>
              <w:spacing w:after="0"/>
              <w:rPr>
                <w:sz w:val="23"/>
                <w:szCs w:val="23"/>
                <w:color w:val="auto"/>
              </w:rPr>
            </w:pPr>
          </w:p>
        </w:tc>
        <w:tc>
          <w:tcPr>
            <w:tcW w:w="760" w:type="dxa"/>
            <w:vAlign w:val="bottom"/>
            <w:gridSpan w:val="4"/>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4.28</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6, dated as of May 29,</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2024, to Indenture dated as of June 1, 2022, by and</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among the Company, U.S. Bank Trust Company,</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and Elavon</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Financial Services DAC, UK Branch, as Paying</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231F20"/>
                <w:w w:val="98"/>
              </w:rPr>
              <w:t>May 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Agent, for the 3.900% Senior Notes due 2030 and the</w:t>
            </w:r>
          </w:p>
        </w:tc>
        <w:tc>
          <w:tcPr>
            <w:tcW w:w="260" w:type="dxa"/>
            <w:vAlign w:val="bottom"/>
          </w:tcPr>
          <w:p>
            <w:pPr>
              <w:spacing w:after="0"/>
              <w:rPr>
                <w:sz w:val="17"/>
                <w:szCs w:val="17"/>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760" w:type="dxa"/>
            <w:vAlign w:val="bottom"/>
            <w:gridSpan w:val="4"/>
            <w:vMerge w:val="restart"/>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4.100% Senior Notes due 2034</w:t>
            </w:r>
          </w:p>
        </w:tc>
        <w:tc>
          <w:tcPr>
            <w:tcW w:w="26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118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2024</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580" w:type="dxa"/>
            <w:vAlign w:val="bottom"/>
            <w:gridSpan w:val="3"/>
            <w:shd w:val="clear" w:color="auto" w:fill="E3E4E5"/>
          </w:tcPr>
          <w:p>
            <w:pPr>
              <w:ind w:left="40"/>
              <w:spacing w:after="0" w:line="213" w:lineRule="exact"/>
              <w:rPr>
                <w:sz w:val="20"/>
                <w:szCs w:val="20"/>
                <w:color w:val="auto"/>
              </w:rPr>
            </w:pPr>
            <w:r>
              <w:rPr>
                <w:rFonts w:ascii="Times New Roman" w:cs="Times New Roman" w:eastAsia="Times New Roman" w:hAnsi="Times New Roman"/>
                <w:sz w:val="20"/>
                <w:szCs w:val="20"/>
                <w:color w:val="231F20"/>
              </w:rPr>
              <w:t>4.29</w:t>
            </w:r>
          </w:p>
        </w:tc>
        <w:tc>
          <w:tcPr>
            <w:tcW w:w="5080" w:type="dxa"/>
            <w:vAlign w:val="bottom"/>
            <w:gridSpan w:val="3"/>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Supplemental Indenture No. 7, dated as of November</w:t>
            </w:r>
          </w:p>
        </w:tc>
        <w:tc>
          <w:tcPr>
            <w:tcW w:w="260" w:type="dxa"/>
            <w:vAlign w:val="bottom"/>
            <w:shd w:val="clear" w:color="auto" w:fill="E3E4E5"/>
          </w:tcPr>
          <w:p>
            <w:pPr>
              <w:spacing w:after="0"/>
              <w:rPr>
                <w:sz w:val="18"/>
                <w:szCs w:val="18"/>
                <w:color w:val="auto"/>
              </w:rPr>
            </w:pPr>
          </w:p>
        </w:tc>
        <w:tc>
          <w:tcPr>
            <w:tcW w:w="38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480" w:type="dxa"/>
            <w:vAlign w:val="bottom"/>
            <w:shd w:val="clear" w:color="auto" w:fill="E3E4E5"/>
          </w:tcPr>
          <w:p>
            <w:pPr>
              <w:spacing w:after="0"/>
              <w:rPr>
                <w:sz w:val="18"/>
                <w:szCs w:val="18"/>
                <w:color w:val="auto"/>
              </w:rPr>
            </w:pPr>
          </w:p>
        </w:tc>
        <w:tc>
          <w:tcPr>
            <w:tcW w:w="520" w:type="dxa"/>
            <w:vAlign w:val="bottom"/>
            <w:shd w:val="clear" w:color="auto" w:fill="E3E4E5"/>
          </w:tcPr>
          <w:p>
            <w:pPr>
              <w:spacing w:after="0"/>
              <w:rPr>
                <w:sz w:val="18"/>
                <w:szCs w:val="18"/>
                <w:color w:val="auto"/>
              </w:rPr>
            </w:pPr>
          </w:p>
        </w:tc>
        <w:tc>
          <w:tcPr>
            <w:tcW w:w="400" w:type="dxa"/>
            <w:vAlign w:val="bottom"/>
            <w:shd w:val="clear" w:color="auto" w:fill="E3E4E5"/>
          </w:tcPr>
          <w:p>
            <w:pPr>
              <w:spacing w:after="0"/>
              <w:rPr>
                <w:sz w:val="18"/>
                <w:szCs w:val="18"/>
                <w:color w:val="auto"/>
              </w:rPr>
            </w:pPr>
          </w:p>
        </w:tc>
        <w:tc>
          <w:tcPr>
            <w:tcW w:w="240" w:type="dxa"/>
            <w:vAlign w:val="bottom"/>
            <w:shd w:val="clear" w:color="auto" w:fill="E3E4E5"/>
          </w:tcPr>
          <w:p>
            <w:pPr>
              <w:spacing w:after="0"/>
              <w:rPr>
                <w:sz w:val="18"/>
                <w:szCs w:val="18"/>
                <w:color w:val="auto"/>
              </w:rPr>
            </w:pPr>
          </w:p>
        </w:tc>
        <w:tc>
          <w:tcPr>
            <w:tcW w:w="9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4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18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21, 2024, to Indenture dated as of June 1, 2022, by</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between American Tower Corporation and U.S.</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Trust Company, National Association, as</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November</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Trustee, for the 5.000% Senior Notes due 2030 and</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the 5.400% Senior Notes due 2035</w:t>
            </w:r>
          </w:p>
        </w:tc>
        <w:tc>
          <w:tcPr>
            <w:tcW w:w="260" w:type="dxa"/>
            <w:vAlign w:val="bottom"/>
            <w:shd w:val="clear" w:color="auto" w:fill="E3E4E5"/>
          </w:tcPr>
          <w:p>
            <w:pPr>
              <w:spacing w:after="0"/>
              <w:rPr>
                <w:sz w:val="20"/>
                <w:szCs w:val="20"/>
                <w:color w:val="auto"/>
              </w:rPr>
            </w:pPr>
          </w:p>
        </w:tc>
        <w:tc>
          <w:tcPr>
            <w:tcW w:w="700" w:type="dxa"/>
            <w:vAlign w:val="bottom"/>
            <w:gridSpan w:val="2"/>
            <w:vMerge w:val="continue"/>
            <w:shd w:val="clear" w:color="auto" w:fill="E3E4E5"/>
          </w:tcPr>
          <w:p>
            <w:pPr>
              <w:spacing w:after="0"/>
              <w:rPr>
                <w:sz w:val="20"/>
                <w:szCs w:val="20"/>
                <w:color w:val="auto"/>
              </w:rPr>
            </w:pPr>
          </w:p>
        </w:tc>
        <w:tc>
          <w:tcPr>
            <w:tcW w:w="1400" w:type="dxa"/>
            <w:vAlign w:val="bottom"/>
            <w:gridSpan w:val="3"/>
            <w:vMerge w:val="continue"/>
            <w:shd w:val="clear" w:color="auto" w:fill="E3E4E5"/>
          </w:tcPr>
          <w:p>
            <w:pPr>
              <w:spacing w:after="0"/>
              <w:rPr>
                <w:sz w:val="20"/>
                <w:szCs w:val="20"/>
                <w:color w:val="auto"/>
              </w:rPr>
            </w:pPr>
          </w:p>
        </w:tc>
        <w:tc>
          <w:tcPr>
            <w:tcW w:w="1180" w:type="dxa"/>
            <w:vAlign w:val="bottom"/>
            <w:gridSpan w:val="2"/>
            <w:shd w:val="clear" w:color="auto" w:fill="E3E4E5"/>
          </w:tcPr>
          <w:p>
            <w:pPr>
              <w:jc w:val="center"/>
              <w:ind w:left="142"/>
              <w:spacing w:after="0"/>
              <w:rPr>
                <w:sz w:val="20"/>
                <w:szCs w:val="20"/>
                <w:color w:val="auto"/>
              </w:rPr>
            </w:pPr>
            <w:r>
              <w:rPr>
                <w:rFonts w:ascii="Times New Roman" w:cs="Times New Roman" w:eastAsia="Times New Roman" w:hAnsi="Times New Roman"/>
                <w:sz w:val="20"/>
                <w:szCs w:val="20"/>
                <w:color w:val="231F20"/>
                <w:w w:val="99"/>
              </w:rPr>
              <w:t>21, 2024</w:t>
            </w:r>
          </w:p>
        </w:tc>
        <w:tc>
          <w:tcPr>
            <w:tcW w:w="220" w:type="dxa"/>
            <w:vAlign w:val="bottom"/>
            <w:shd w:val="clear" w:color="auto" w:fill="E3E4E5"/>
          </w:tcPr>
          <w:p>
            <w:pPr>
              <w:spacing w:after="0"/>
              <w:rPr>
                <w:sz w:val="20"/>
                <w:szCs w:val="20"/>
                <w:color w:val="auto"/>
              </w:rPr>
            </w:pPr>
          </w:p>
        </w:tc>
        <w:tc>
          <w:tcPr>
            <w:tcW w:w="760" w:type="dxa"/>
            <w:vAlign w:val="bottom"/>
            <w:gridSpan w:val="4"/>
            <w:vMerge w:val="continue"/>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231F20"/>
              </w:rPr>
              <w:t>4.30</w:t>
            </w: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8, dated as of March 14,</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2025, to Indenture dated as of June 1, 2022, by and</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 Company, National Association, as Trustee, for</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231F20"/>
                <w:w w:val="99"/>
              </w:rPr>
              <w:t>March 14,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the 4.900% Senior Notes due 2030 and the 5.350%</w:t>
            </w:r>
          </w:p>
        </w:tc>
        <w:tc>
          <w:tcPr>
            <w:tcW w:w="260" w:type="dxa"/>
            <w:vAlign w:val="bottom"/>
          </w:tcPr>
          <w:p>
            <w:pPr>
              <w:spacing w:after="0"/>
              <w:rPr>
                <w:sz w:val="17"/>
                <w:szCs w:val="17"/>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760" w:type="dxa"/>
            <w:vAlign w:val="bottom"/>
            <w:gridSpan w:val="4"/>
            <w:vMerge w:val="restart"/>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Senior Notes due 2035</w:t>
            </w:r>
          </w:p>
        </w:tc>
        <w:tc>
          <w:tcPr>
            <w:tcW w:w="26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118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2025</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580" w:type="dxa"/>
            <w:vAlign w:val="bottom"/>
            <w:gridSpan w:val="3"/>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4.31</w:t>
            </w: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9, dated as of May 30,</w:t>
            </w:r>
          </w:p>
        </w:tc>
        <w:tc>
          <w:tcPr>
            <w:tcW w:w="260" w:type="dxa"/>
            <w:vAlign w:val="bottom"/>
            <w:shd w:val="clear" w:color="auto" w:fill="E3E4E5"/>
          </w:tcPr>
          <w:p>
            <w:pPr>
              <w:spacing w:after="0"/>
              <w:rPr>
                <w:sz w:val="22"/>
                <w:szCs w:val="22"/>
                <w:color w:val="auto"/>
              </w:rPr>
            </w:pPr>
          </w:p>
        </w:tc>
        <w:tc>
          <w:tcPr>
            <w:tcW w:w="380" w:type="dxa"/>
            <w:vAlign w:val="bottom"/>
            <w:shd w:val="clear" w:color="auto" w:fill="E3E4E5"/>
          </w:tcPr>
          <w:p>
            <w:pPr>
              <w:spacing w:after="0"/>
              <w:rPr>
                <w:sz w:val="22"/>
                <w:szCs w:val="22"/>
                <w:color w:val="auto"/>
              </w:rPr>
            </w:pPr>
          </w:p>
        </w:tc>
        <w:tc>
          <w:tcPr>
            <w:tcW w:w="32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520" w:type="dxa"/>
            <w:vAlign w:val="bottom"/>
            <w:shd w:val="clear" w:color="auto" w:fill="E3E4E5"/>
          </w:tcPr>
          <w:p>
            <w:pPr>
              <w:spacing w:after="0"/>
              <w:rPr>
                <w:sz w:val="22"/>
                <w:szCs w:val="22"/>
                <w:color w:val="auto"/>
              </w:rPr>
            </w:pPr>
          </w:p>
        </w:tc>
        <w:tc>
          <w:tcPr>
            <w:tcW w:w="400" w:type="dxa"/>
            <w:vAlign w:val="bottom"/>
            <w:shd w:val="clear" w:color="auto" w:fill="E3E4E5"/>
          </w:tcPr>
          <w:p>
            <w:pPr>
              <w:spacing w:after="0"/>
              <w:rPr>
                <w:sz w:val="22"/>
                <w:szCs w:val="22"/>
                <w:color w:val="auto"/>
              </w:rPr>
            </w:pPr>
          </w:p>
        </w:tc>
        <w:tc>
          <w:tcPr>
            <w:tcW w:w="240" w:type="dxa"/>
            <w:vAlign w:val="bottom"/>
            <w:shd w:val="clear" w:color="auto" w:fill="E3E4E5"/>
          </w:tcPr>
          <w:p>
            <w:pPr>
              <w:spacing w:after="0"/>
              <w:rPr>
                <w:sz w:val="22"/>
                <w:szCs w:val="22"/>
                <w:color w:val="auto"/>
              </w:rPr>
            </w:pPr>
          </w:p>
        </w:tc>
        <w:tc>
          <w:tcPr>
            <w:tcW w:w="94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4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8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2025, to Indenture dated as of June 1, 2022, by and</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among the Company, U.S. Bank Trust Company,</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9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National Association, as Trustee, and U.S. Bank</w:t>
            </w:r>
          </w:p>
        </w:tc>
        <w:tc>
          <w:tcPr>
            <w:tcW w:w="260" w:type="dxa"/>
            <w:vAlign w:val="bottom"/>
            <w:shd w:val="clear" w:color="auto" w:fill="E3E4E5"/>
          </w:tcPr>
          <w:p>
            <w:pPr>
              <w:spacing w:after="0"/>
              <w:rPr>
                <w:sz w:val="17"/>
                <w:szCs w:val="17"/>
                <w:color w:val="auto"/>
              </w:rPr>
            </w:pPr>
          </w:p>
        </w:tc>
        <w:tc>
          <w:tcPr>
            <w:tcW w:w="3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480" w:type="dxa"/>
            <w:vAlign w:val="bottom"/>
            <w:shd w:val="clear" w:color="auto" w:fill="E3E4E5"/>
          </w:tcPr>
          <w:p>
            <w:pPr>
              <w:spacing w:after="0"/>
              <w:rPr>
                <w:sz w:val="17"/>
                <w:szCs w:val="17"/>
                <w:color w:val="auto"/>
              </w:rPr>
            </w:pPr>
          </w:p>
        </w:tc>
        <w:tc>
          <w:tcPr>
            <w:tcW w:w="520" w:type="dxa"/>
            <w:vAlign w:val="bottom"/>
            <w:shd w:val="clear" w:color="auto" w:fill="E3E4E5"/>
          </w:tcPr>
          <w:p>
            <w:pPr>
              <w:spacing w:after="0"/>
              <w:rPr>
                <w:sz w:val="17"/>
                <w:szCs w:val="17"/>
                <w:color w:val="auto"/>
              </w:rPr>
            </w:pPr>
          </w:p>
        </w:tc>
        <w:tc>
          <w:tcPr>
            <w:tcW w:w="40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1160" w:type="dxa"/>
            <w:vAlign w:val="bottom"/>
            <w:gridSpan w:val="2"/>
            <w:vMerge w:val="restart"/>
            <w:shd w:val="clear" w:color="auto" w:fill="E3E4E5"/>
          </w:tcPr>
          <w:p>
            <w:pPr>
              <w:jc w:val="center"/>
              <w:ind w:right="220"/>
              <w:spacing w:after="0"/>
              <w:rPr>
                <w:sz w:val="20"/>
                <w:szCs w:val="20"/>
                <w:color w:val="auto"/>
              </w:rPr>
            </w:pPr>
            <w:r>
              <w:rPr>
                <w:rFonts w:ascii="Times New Roman" w:cs="Times New Roman" w:eastAsia="Times New Roman" w:hAnsi="Times New Roman"/>
                <w:sz w:val="20"/>
                <w:szCs w:val="20"/>
                <w:color w:val="231F20"/>
                <w:w w:val="98"/>
              </w:rPr>
              <w:t>May 30,</w:t>
            </w:r>
          </w:p>
        </w:tc>
        <w:tc>
          <w:tcPr>
            <w:tcW w:w="220" w:type="dxa"/>
            <w:vAlign w:val="bottom"/>
            <w:shd w:val="clear" w:color="auto" w:fill="E3E4E5"/>
          </w:tcPr>
          <w:p>
            <w:pPr>
              <w:spacing w:after="0"/>
              <w:rPr>
                <w:sz w:val="17"/>
                <w:szCs w:val="17"/>
                <w:color w:val="auto"/>
              </w:rPr>
            </w:pPr>
          </w:p>
        </w:tc>
        <w:tc>
          <w:tcPr>
            <w:tcW w:w="14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shd w:val="clear" w:color="auto" w:fill="E3E4E5"/>
          </w:tcPr>
          <w:p>
            <w:pPr>
              <w:spacing w:after="0"/>
              <w:rPr>
                <w:sz w:val="17"/>
                <w:szCs w:val="17"/>
                <w:color w:val="auto"/>
              </w:rPr>
            </w:pPr>
          </w:p>
        </w:tc>
        <w:tc>
          <w:tcPr>
            <w:tcW w:w="24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5080" w:type="dxa"/>
            <w:vAlign w:val="bottom"/>
            <w:gridSpan w:val="3"/>
            <w:shd w:val="clear" w:color="auto" w:fill="E3E4E5"/>
          </w:tcPr>
          <w:p>
            <w:pPr>
              <w:ind w:left="400"/>
              <w:spacing w:after="0" w:line="200" w:lineRule="exact"/>
              <w:rPr>
                <w:sz w:val="20"/>
                <w:szCs w:val="20"/>
                <w:color w:val="auto"/>
              </w:rPr>
            </w:pPr>
            <w:r>
              <w:rPr>
                <w:rFonts w:ascii="Times New Roman" w:cs="Times New Roman" w:eastAsia="Times New Roman" w:hAnsi="Times New Roman"/>
                <w:sz w:val="20"/>
                <w:szCs w:val="20"/>
                <w:color w:val="231F20"/>
              </w:rPr>
              <w:t>Europe DAC, UK Branch, as Paying Agent, for the</w:t>
            </w:r>
          </w:p>
        </w:tc>
        <w:tc>
          <w:tcPr>
            <w:tcW w:w="260" w:type="dxa"/>
            <w:vAlign w:val="bottom"/>
            <w:shd w:val="clear" w:color="auto" w:fill="E3E4E5"/>
          </w:tcPr>
          <w:p>
            <w:pPr>
              <w:spacing w:after="0"/>
              <w:rPr>
                <w:sz w:val="17"/>
                <w:szCs w:val="17"/>
                <w:color w:val="auto"/>
              </w:rPr>
            </w:pPr>
          </w:p>
        </w:tc>
        <w:tc>
          <w:tcPr>
            <w:tcW w:w="700" w:type="dxa"/>
            <w:vAlign w:val="bottom"/>
            <w:gridSpan w:val="2"/>
            <w:vMerge w:val="restart"/>
            <w:shd w:val="clear" w:color="auto" w:fill="E3E4E5"/>
          </w:tcPr>
          <w:p>
            <w:pPr>
              <w:jc w:val="center"/>
              <w:ind w:right="320"/>
              <w:spacing w:after="0"/>
              <w:rPr>
                <w:sz w:val="20"/>
                <w:szCs w:val="20"/>
                <w:color w:val="auto"/>
              </w:rPr>
            </w:pPr>
            <w:r>
              <w:rPr>
                <w:rFonts w:ascii="Times New Roman" w:cs="Times New Roman" w:eastAsia="Times New Roman" w:hAnsi="Times New Roman"/>
                <w:sz w:val="20"/>
                <w:szCs w:val="20"/>
                <w:color w:val="231F20"/>
                <w:w w:val="96"/>
              </w:rPr>
              <w:t>8-K</w:t>
            </w:r>
          </w:p>
        </w:tc>
        <w:tc>
          <w:tcPr>
            <w:tcW w:w="1400" w:type="dxa"/>
            <w:vAlign w:val="bottom"/>
            <w:gridSpan w:val="3"/>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shd w:val="clear" w:color="auto" w:fill="E3E4E5"/>
          </w:tcPr>
          <w:p>
            <w:pPr>
              <w:spacing w:after="0"/>
              <w:rPr>
                <w:sz w:val="17"/>
                <w:szCs w:val="17"/>
                <w:color w:val="auto"/>
              </w:rPr>
            </w:pPr>
          </w:p>
        </w:tc>
        <w:tc>
          <w:tcPr>
            <w:tcW w:w="1160" w:type="dxa"/>
            <w:vAlign w:val="bottom"/>
            <w:gridSpan w:val="2"/>
            <w:vMerge w:val="continue"/>
            <w:shd w:val="clear" w:color="auto" w:fill="E3E4E5"/>
          </w:tcPr>
          <w:p>
            <w:pPr>
              <w:spacing w:after="0"/>
              <w:rPr>
                <w:sz w:val="17"/>
                <w:szCs w:val="17"/>
                <w:color w:val="auto"/>
              </w:rPr>
            </w:pPr>
          </w:p>
        </w:tc>
        <w:tc>
          <w:tcPr>
            <w:tcW w:w="760" w:type="dxa"/>
            <w:vAlign w:val="bottom"/>
            <w:gridSpan w:val="4"/>
            <w:vMerge w:val="restart"/>
            <w:shd w:val="clear" w:color="auto" w:fill="E3E4E5"/>
          </w:tcPr>
          <w:p>
            <w:pPr>
              <w:jc w:val="center"/>
              <w:ind w:left="8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E3E4E5"/>
          </w:tcPr>
          <w:p>
            <w:pPr>
              <w:spacing w:after="0"/>
              <w:rPr>
                <w:sz w:val="23"/>
                <w:szCs w:val="23"/>
                <w:color w:val="auto"/>
              </w:rPr>
            </w:pPr>
          </w:p>
        </w:tc>
        <w:tc>
          <w:tcPr>
            <w:tcW w:w="24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5080" w:type="dxa"/>
            <w:vAlign w:val="bottom"/>
            <w:gridSpan w:val="3"/>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3.625% Senior Notes due 2032</w:t>
            </w:r>
          </w:p>
        </w:tc>
        <w:tc>
          <w:tcPr>
            <w:tcW w:w="260" w:type="dxa"/>
            <w:vAlign w:val="bottom"/>
            <w:shd w:val="clear" w:color="auto" w:fill="E3E4E5"/>
          </w:tcPr>
          <w:p>
            <w:pPr>
              <w:spacing w:after="0"/>
              <w:rPr>
                <w:sz w:val="23"/>
                <w:szCs w:val="23"/>
                <w:color w:val="auto"/>
              </w:rPr>
            </w:pPr>
          </w:p>
        </w:tc>
        <w:tc>
          <w:tcPr>
            <w:tcW w:w="700" w:type="dxa"/>
            <w:vAlign w:val="bottom"/>
            <w:gridSpan w:val="2"/>
            <w:vMerge w:val="continue"/>
            <w:shd w:val="clear" w:color="auto" w:fill="E3E4E5"/>
          </w:tcPr>
          <w:p>
            <w:pPr>
              <w:spacing w:after="0"/>
              <w:rPr>
                <w:sz w:val="23"/>
                <w:szCs w:val="23"/>
                <w:color w:val="auto"/>
              </w:rPr>
            </w:pPr>
          </w:p>
        </w:tc>
        <w:tc>
          <w:tcPr>
            <w:tcW w:w="1400" w:type="dxa"/>
            <w:vAlign w:val="bottom"/>
            <w:gridSpan w:val="3"/>
            <w:vMerge w:val="continue"/>
            <w:shd w:val="clear" w:color="auto" w:fill="E3E4E5"/>
          </w:tcPr>
          <w:p>
            <w:pPr>
              <w:spacing w:after="0"/>
              <w:rPr>
                <w:sz w:val="23"/>
                <w:szCs w:val="23"/>
                <w:color w:val="auto"/>
              </w:rPr>
            </w:pPr>
          </w:p>
        </w:tc>
        <w:tc>
          <w:tcPr>
            <w:tcW w:w="1180" w:type="dxa"/>
            <w:vAlign w:val="bottom"/>
            <w:gridSpan w:val="2"/>
            <w:shd w:val="clear" w:color="auto" w:fill="E3E4E5"/>
          </w:tcPr>
          <w:p>
            <w:pPr>
              <w:jc w:val="center"/>
              <w:ind w:left="122"/>
              <w:spacing w:after="0"/>
              <w:rPr>
                <w:sz w:val="20"/>
                <w:szCs w:val="20"/>
                <w:color w:val="auto"/>
              </w:rPr>
            </w:pPr>
            <w:r>
              <w:rPr>
                <w:rFonts w:ascii="Times New Roman" w:cs="Times New Roman" w:eastAsia="Times New Roman" w:hAnsi="Times New Roman"/>
                <w:sz w:val="20"/>
                <w:szCs w:val="20"/>
                <w:color w:val="231F20"/>
                <w:w w:val="99"/>
              </w:rPr>
              <w:t>2025</w:t>
            </w:r>
          </w:p>
        </w:tc>
        <w:tc>
          <w:tcPr>
            <w:tcW w:w="220" w:type="dxa"/>
            <w:vAlign w:val="bottom"/>
            <w:shd w:val="clear" w:color="auto" w:fill="E3E4E5"/>
          </w:tcPr>
          <w:p>
            <w:pPr>
              <w:spacing w:after="0"/>
              <w:rPr>
                <w:sz w:val="23"/>
                <w:szCs w:val="23"/>
                <w:color w:val="auto"/>
              </w:rPr>
            </w:pPr>
          </w:p>
        </w:tc>
        <w:tc>
          <w:tcPr>
            <w:tcW w:w="760" w:type="dxa"/>
            <w:vAlign w:val="bottom"/>
            <w:gridSpan w:val="4"/>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58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260"/>
          </w:cols>
          <w:pgMar w:left="820" w:top="588" w:right="800" w:bottom="0" w:gutter="0" w:footer="0" w:header="0"/>
          <w:type w:val="continuous"/>
        </w:sectPr>
      </w:pPr>
    </w:p>
    <w:bookmarkStart w:id="81" w:name="page82"/>
    <w:bookmarkEnd w:id="81"/>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6"/>
                <w:szCs w:val="16"/>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4.32</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Indenture dated as of June 2, 2025, by and between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the Company and U.S. Bank Trust Company, National</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Association, as Trustee</w:t>
            </w:r>
          </w:p>
        </w:tc>
        <w:tc>
          <w:tcPr>
            <w:tcW w:w="0" w:type="dxa"/>
            <w:vAlign w:val="bottom"/>
          </w:tcPr>
          <w:p>
            <w:pPr>
              <w:spacing w:after="0"/>
              <w:rPr>
                <w:sz w:val="1"/>
                <w:szCs w:val="1"/>
                <w:color w:val="auto"/>
              </w:rPr>
            </w:pPr>
          </w:p>
        </w:tc>
      </w:tr>
      <w:tr>
        <w:trPr>
          <w:trHeight w:val="331"/>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4.33</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Supplemental Indenture No. 1, dated as of December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5, 2025, to Indenture dated as of June 2, 2025,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between American Tower Corporation and U.S. Bank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 Company, National Association, as Trustee, for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the 4.700% Senior Notes due 2032</w:t>
            </w:r>
          </w:p>
        </w:tc>
        <w:tc>
          <w:tcPr>
            <w:tcW w:w="0" w:type="dxa"/>
            <w:vAlign w:val="bottom"/>
          </w:tcPr>
          <w:p>
            <w:pPr>
              <w:spacing w:after="0"/>
              <w:rPr>
                <w:sz w:val="1"/>
                <w:szCs w:val="1"/>
                <w:color w:val="auto"/>
              </w:rPr>
            </w:pPr>
          </w:p>
        </w:tc>
      </w:tr>
      <w:tr>
        <w:trPr>
          <w:trHeight w:val="32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4.34</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Third Amended and Restated Indenture, dated May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29, 2015, by and between GTP Acquisition Partners I,</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LLC, ACC Tower Sub, LLC, DCS Tower Sub, LLC,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GTP South Acquisitions II, LLC, GTP Acquisition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Partners II, LLC, GTP Acquisition Partners, III, LLC,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GTP Infrastructure I, LLC, GTP Infrastructure II,</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LLC, GTP Infrastructure III, LLC, GTP Towers VIII,</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LLC, GTP Towers I, LLC, GTP Towers II, LLC, GTP</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Towers IV, LLC, GTP Towers V, LLC, GTP Towers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VII, LLC, GTP Towers IX, LLC, PCS Structures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Towers, LLC and GTP TRS I LLC, as Obligors, and</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The Bank of New York Mellon, as Trustee</w:t>
            </w:r>
          </w:p>
        </w:tc>
        <w:tc>
          <w:tcPr>
            <w:tcW w:w="0" w:type="dxa"/>
            <w:vAlign w:val="bottom"/>
          </w:tcPr>
          <w:p>
            <w:pPr>
              <w:spacing w:after="0"/>
              <w:rPr>
                <w:sz w:val="1"/>
                <w:szCs w:val="1"/>
                <w:color w:val="auto"/>
              </w:rPr>
            </w:pPr>
          </w:p>
        </w:tc>
      </w:tr>
      <w:tr>
        <w:trPr>
          <w:trHeight w:val="36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4.35</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Description of Registrant’s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-2554605</wp:posOffset>
                </wp:positionV>
                <wp:extent cx="6514465" cy="68580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685800"/>
                        </a:xfrm>
                        <a:prstGeom prst="rect">
                          <a:avLst/>
                        </a:prstGeom>
                        <a:solidFill>
                          <a:srgbClr val="E3E4E5"/>
                        </a:solidFill>
                      </wps:spPr>
                      <wps:bodyPr/>
                    </wps:wsp>
                  </a:graphicData>
                </a:graphic>
              </wp:anchor>
            </w:drawing>
          </mc:Choice>
          <mc:Fallback>
            <w:pict>
              <v:rect id="Shape 90" o:spid="_x0000_s1115" style="position:absolute;margin-left:-0.4499pt;margin-top:-201.1499pt;width:512.95pt;height: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-173355</wp:posOffset>
                </wp:positionV>
                <wp:extent cx="6514465" cy="68516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685165"/>
                        </a:xfrm>
                        <a:prstGeom prst="rect">
                          <a:avLst/>
                        </a:prstGeom>
                        <a:solidFill>
                          <a:srgbClr val="E3E4E5"/>
                        </a:solidFill>
                      </wps:spPr>
                      <wps:bodyPr/>
                    </wps:wsp>
                  </a:graphicData>
                </a:graphic>
              </wp:anchor>
            </w:drawing>
          </mc:Choice>
          <mc:Fallback>
            <w:pict>
              <v:rect id="Shape 91" o:spid="_x0000_s1116" style="position:absolute;margin-left:-0.4499pt;margin-top:-13.6499pt;width:512.95pt;height:5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American Tower Corporation 2000 Employee Stock</w:t>
            </w:r>
          </w:p>
        </w:tc>
      </w:tr>
      <w:tr>
        <w:trPr>
          <w:trHeight w:val="260"/>
        </w:trPr>
        <w:tc>
          <w:tcPr>
            <w:tcW w:w="700" w:type="dxa"/>
            <w:vAlign w:val="bottom"/>
          </w:tcPr>
          <w:p>
            <w:pPr>
              <w:spacing w:after="0"/>
              <w:rPr>
                <w:sz w:val="22"/>
                <w:szCs w:val="22"/>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Purchase Plan, as amended and restated</w:t>
            </w:r>
          </w:p>
        </w:tc>
      </w:tr>
      <w:tr>
        <w:trPr>
          <w:trHeight w:val="4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American Tower Corporation 2007 Equity Incentive</w:t>
            </w:r>
          </w:p>
        </w:tc>
      </w:tr>
      <w:tr>
        <w:trPr>
          <w:trHeight w:val="260"/>
        </w:trPr>
        <w:tc>
          <w:tcPr>
            <w:tcW w:w="700" w:type="dxa"/>
            <w:vAlign w:val="bottom"/>
          </w:tcPr>
          <w:p>
            <w:pPr>
              <w:spacing w:after="0"/>
              <w:rPr>
                <w:sz w:val="22"/>
                <w:szCs w:val="22"/>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Plan</w:t>
            </w:r>
          </w:p>
        </w:tc>
      </w:tr>
      <w:tr>
        <w:trPr>
          <w:trHeight w:val="46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Amendment to American Tower Corporation 2007</w:t>
            </w:r>
          </w:p>
        </w:tc>
      </w:tr>
      <w:tr>
        <w:trPr>
          <w:trHeight w:val="260"/>
        </w:trPr>
        <w:tc>
          <w:tcPr>
            <w:tcW w:w="700" w:type="dxa"/>
            <w:vAlign w:val="bottom"/>
          </w:tcPr>
          <w:p>
            <w:pPr>
              <w:spacing w:after="0"/>
              <w:rPr>
                <w:sz w:val="22"/>
                <w:szCs w:val="22"/>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Equity Incentive Plan</w:t>
            </w:r>
          </w:p>
        </w:tc>
      </w:tr>
      <w:tr>
        <w:trPr>
          <w:trHeight w:val="46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Form of Restricted Stock Unit Agreement (U.S.</w:t>
            </w:r>
          </w:p>
        </w:tc>
      </w:tr>
      <w:tr>
        <w:trPr>
          <w:trHeight w:val="200"/>
        </w:trPr>
        <w:tc>
          <w:tcPr>
            <w:tcW w:w="700" w:type="dxa"/>
            <w:vAlign w:val="bottom"/>
          </w:tcPr>
          <w:p>
            <w:pPr>
              <w:spacing w:after="0"/>
              <w:rPr>
                <w:sz w:val="17"/>
                <w:szCs w:val="17"/>
                <w:color w:val="auto"/>
              </w:rPr>
            </w:pPr>
          </w:p>
        </w:tc>
        <w:tc>
          <w:tcPr>
            <w:tcW w:w="45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Employee / Non-Employee Director) (For grants</w:t>
            </w:r>
          </w:p>
        </w:tc>
      </w:tr>
      <w:tr>
        <w:trPr>
          <w:trHeight w:val="200"/>
        </w:trPr>
        <w:tc>
          <w:tcPr>
            <w:tcW w:w="700" w:type="dxa"/>
            <w:vAlign w:val="bottom"/>
          </w:tcPr>
          <w:p>
            <w:pPr>
              <w:spacing w:after="0"/>
              <w:rPr>
                <w:sz w:val="17"/>
                <w:szCs w:val="17"/>
                <w:color w:val="auto"/>
              </w:rPr>
            </w:pPr>
          </w:p>
        </w:tc>
        <w:tc>
          <w:tcPr>
            <w:tcW w:w="45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made March 1, 2019 - December 4, 2022 (Non-</w:t>
            </w:r>
          </w:p>
        </w:tc>
      </w:tr>
      <w:tr>
        <w:trPr>
          <w:trHeight w:val="200"/>
        </w:trPr>
        <w:tc>
          <w:tcPr>
            <w:tcW w:w="700" w:type="dxa"/>
            <w:vAlign w:val="bottom"/>
          </w:tcPr>
          <w:p>
            <w:pPr>
              <w:spacing w:after="0"/>
              <w:rPr>
                <w:sz w:val="17"/>
                <w:szCs w:val="17"/>
                <w:color w:val="auto"/>
              </w:rPr>
            </w:pPr>
          </w:p>
        </w:tc>
        <w:tc>
          <w:tcPr>
            <w:tcW w:w="45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Employee Directors) / September 30, 2023 (U.S.</w:t>
            </w:r>
          </w:p>
        </w:tc>
      </w:tr>
      <w:tr>
        <w:trPr>
          <w:trHeight w:val="200"/>
        </w:trPr>
        <w:tc>
          <w:tcPr>
            <w:tcW w:w="700" w:type="dxa"/>
            <w:vAlign w:val="bottom"/>
          </w:tcPr>
          <w:p>
            <w:pPr>
              <w:spacing w:after="0"/>
              <w:rPr>
                <w:sz w:val="17"/>
                <w:szCs w:val="17"/>
                <w:color w:val="auto"/>
              </w:rPr>
            </w:pPr>
          </w:p>
        </w:tc>
        <w:tc>
          <w:tcPr>
            <w:tcW w:w="45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Employees)) Pursuant to the American Tower</w:t>
            </w:r>
          </w:p>
        </w:tc>
      </w:tr>
      <w:tr>
        <w:trPr>
          <w:trHeight w:val="260"/>
        </w:trPr>
        <w:tc>
          <w:tcPr>
            <w:tcW w:w="700" w:type="dxa"/>
            <w:vAlign w:val="bottom"/>
          </w:tcPr>
          <w:p>
            <w:pPr>
              <w:spacing w:after="0"/>
              <w:rPr>
                <w:sz w:val="22"/>
                <w:szCs w:val="22"/>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Corporation 2007 Equity Incentive Plan, as amended</w:t>
            </w:r>
          </w:p>
        </w:tc>
      </w:tr>
      <w:tr>
        <w:trPr>
          <w:trHeight w:val="331"/>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Form of Restricted Stock Unit Agreement (Non-U.S.</w:t>
            </w:r>
          </w:p>
        </w:tc>
      </w:tr>
      <w:tr>
        <w:trPr>
          <w:trHeight w:val="200"/>
        </w:trPr>
        <w:tc>
          <w:tcPr>
            <w:tcW w:w="700" w:type="dxa"/>
            <w:vAlign w:val="bottom"/>
          </w:tcPr>
          <w:p>
            <w:pPr>
              <w:spacing w:after="0"/>
              <w:rPr>
                <w:sz w:val="17"/>
                <w:szCs w:val="17"/>
                <w:color w:val="auto"/>
              </w:rPr>
            </w:pPr>
          </w:p>
        </w:tc>
        <w:tc>
          <w:tcPr>
            <w:tcW w:w="45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Employee) (For grants made March 1, 2019 –</w:t>
            </w:r>
          </w:p>
        </w:tc>
      </w:tr>
      <w:tr>
        <w:trPr>
          <w:trHeight w:val="200"/>
        </w:trPr>
        <w:tc>
          <w:tcPr>
            <w:tcW w:w="700" w:type="dxa"/>
            <w:vAlign w:val="bottom"/>
          </w:tcPr>
          <w:p>
            <w:pPr>
              <w:spacing w:after="0"/>
              <w:rPr>
                <w:sz w:val="17"/>
                <w:szCs w:val="17"/>
                <w:color w:val="auto"/>
              </w:rPr>
            </w:pPr>
          </w:p>
        </w:tc>
        <w:tc>
          <w:tcPr>
            <w:tcW w:w="45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w w:val="99"/>
              </w:rPr>
              <w:t>September 30, 2023) Pursuant to the American Tower</w:t>
            </w:r>
          </w:p>
        </w:tc>
      </w:tr>
      <w:tr>
        <w:trPr>
          <w:trHeight w:val="260"/>
        </w:trPr>
        <w:tc>
          <w:tcPr>
            <w:tcW w:w="700" w:type="dxa"/>
            <w:vAlign w:val="bottom"/>
          </w:tcPr>
          <w:p>
            <w:pPr>
              <w:spacing w:after="0"/>
              <w:rPr>
                <w:sz w:val="22"/>
                <w:szCs w:val="22"/>
                <w:color w:val="auto"/>
              </w:rPr>
            </w:pPr>
          </w:p>
        </w:tc>
        <w:tc>
          <w:tcPr>
            <w:tcW w:w="45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Corporation 2007 Equity Incentive Plan, as amended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-2354580</wp:posOffset>
                </wp:positionV>
                <wp:extent cx="6514465" cy="39052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90525"/>
                        </a:xfrm>
                        <a:prstGeom prst="rect">
                          <a:avLst/>
                        </a:prstGeom>
                        <a:solidFill>
                          <a:srgbClr val="E3E4E5"/>
                        </a:solidFill>
                      </wps:spPr>
                      <wps:bodyPr/>
                    </wps:wsp>
                  </a:graphicData>
                </a:graphic>
              </wp:anchor>
            </w:drawing>
          </mc:Choice>
          <mc:Fallback>
            <w:pict>
              <v:rect id="Shape 92" o:spid="_x0000_s1117" style="position:absolute;margin-left:-0.4499pt;margin-top:-185.3999pt;width:512.95pt;height:3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-1459230</wp:posOffset>
                </wp:positionV>
                <wp:extent cx="6514465" cy="83820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38200"/>
                        </a:xfrm>
                        <a:prstGeom prst="rect">
                          <a:avLst/>
                        </a:prstGeom>
                        <a:solidFill>
                          <a:srgbClr val="E3E4E5"/>
                        </a:solidFill>
                      </wps:spPr>
                      <wps:bodyPr/>
                    </wps:wsp>
                  </a:graphicData>
                </a:graphic>
              </wp:anchor>
            </w:drawing>
          </mc:Choice>
          <mc:Fallback>
            <w:pict>
              <v:rect id="Shape 93" o:spid="_x0000_s1118" style="position:absolute;margin-left:-0.4499pt;margin-top:-114.8999pt;width:512.95pt;height: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4"/>
              </w:rPr>
              <w:t>Form</w:t>
            </w:r>
          </w:p>
        </w:tc>
        <w:tc>
          <w:tcPr>
            <w:tcW w:w="1640" w:type="dxa"/>
            <w:vAlign w:val="bottom"/>
            <w:tcBorders>
              <w:top w:val="single" w:sz="8" w:color="231F20"/>
            </w:tcBorders>
            <w:gridSpan w:val="3"/>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480" w:type="dxa"/>
            <w:vAlign w:val="bottom"/>
            <w:tcBorders>
              <w:top w:val="single" w:sz="8" w:color="231F20"/>
            </w:tcBorders>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100"/>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80" w:type="dxa"/>
            <w:vAlign w:val="bottom"/>
            <w:tcBorders>
              <w:top w:val="single" w:sz="8" w:color="231F20"/>
            </w:tcBorders>
            <w:vMerge w:val="continue"/>
          </w:tcPr>
          <w:p>
            <w:pPr>
              <w:spacing w:after="0"/>
              <w:rPr>
                <w:sz w:val="12"/>
                <w:szCs w:val="12"/>
                <w:color w:val="auto"/>
              </w:rPr>
            </w:pPr>
          </w:p>
        </w:tc>
        <w:tc>
          <w:tcPr>
            <w:tcW w:w="1640" w:type="dxa"/>
            <w:vAlign w:val="bottom"/>
            <w:tcBorders>
              <w:top w:val="single" w:sz="8" w:color="231F20"/>
            </w:tcBorders>
            <w:gridSpan w:val="3"/>
            <w:vMerge w:val="continue"/>
          </w:tcPr>
          <w:p>
            <w:pPr>
              <w:spacing w:after="0"/>
              <w:rPr>
                <w:sz w:val="12"/>
                <w:szCs w:val="12"/>
                <w:color w:val="auto"/>
              </w:rPr>
            </w:pPr>
          </w:p>
        </w:tc>
        <w:tc>
          <w:tcPr>
            <w:tcW w:w="148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1200" w:val="left"/>
          <w:tab w:leader="none" w:pos="2540" w:val="left"/>
          <w:tab w:leader="none" w:pos="4040" w:val="left"/>
        </w:tabs>
        <w:rPr>
          <w:sz w:val="20"/>
          <w:szCs w:val="20"/>
          <w:color w:val="auto"/>
        </w:rPr>
      </w:pPr>
      <w:r>
        <w:rPr>
          <w:rFonts w:ascii="Times New Roman" w:cs="Times New Roman" w:eastAsia="Times New Roman" w:hAnsi="Times New Roman"/>
          <w:sz w:val="20"/>
          <w:szCs w:val="20"/>
          <w:color w:val="231F20"/>
        </w:rPr>
        <w:t>S-3ASR</w:t>
      </w:r>
      <w:r>
        <w:rPr>
          <w:sz w:val="20"/>
          <w:szCs w:val="20"/>
          <w:color w:val="auto"/>
        </w:rPr>
        <w:tab/>
      </w:r>
      <w:r>
        <w:rPr>
          <w:rFonts w:ascii="Times New Roman" w:cs="Times New Roman" w:eastAsia="Times New Roman" w:hAnsi="Times New Roman"/>
          <w:sz w:val="20"/>
          <w:szCs w:val="20"/>
          <w:color w:val="231F20"/>
        </w:rPr>
        <w:t>333-287714</w:t>
      </w:r>
      <w:r>
        <w:rPr>
          <w:sz w:val="20"/>
          <w:szCs w:val="20"/>
          <w:color w:val="auto"/>
        </w:rPr>
        <w:tab/>
      </w:r>
      <w:r>
        <w:rPr>
          <w:rFonts w:ascii="Times New Roman" w:cs="Times New Roman" w:eastAsia="Times New Roman" w:hAnsi="Times New Roman"/>
          <w:sz w:val="20"/>
          <w:szCs w:val="20"/>
          <w:color w:val="231F20"/>
        </w:rPr>
        <w:t>June 2, 2025</w:t>
      </w:r>
      <w:r>
        <w:rPr>
          <w:sz w:val="20"/>
          <w:szCs w:val="20"/>
          <w:color w:val="auto"/>
        </w:rPr>
        <w:tab/>
      </w:r>
      <w:r>
        <w:rPr>
          <w:rFonts w:ascii="Times New Roman" w:cs="Times New Roman" w:eastAsia="Times New Roman" w:hAnsi="Times New Roman"/>
          <w:sz w:val="19"/>
          <w:szCs w:val="19"/>
          <w:color w:val="231F20"/>
        </w:rPr>
        <w:t>4.34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8-K</w:t>
            </w:r>
          </w:p>
        </w:tc>
        <w:tc>
          <w:tcPr>
            <w:tcW w:w="14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0"/>
        </w:trPr>
        <w:tc>
          <w:tcPr>
            <w:tcW w:w="6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40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231F20"/>
              </w:rPr>
              <w:t>5, 2025</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rPr>
              <w:t>10-Q</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July 29,</w:t>
            </w:r>
          </w:p>
        </w:tc>
        <w:tc>
          <w:tcPr>
            <w:tcW w:w="74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60"/>
        </w:trPr>
        <w:tc>
          <w:tcPr>
            <w:tcW w:w="100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100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231F20"/>
              </w:rPr>
              <w:t>Filed</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4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0"/>
        </w:trPr>
        <w:tc>
          <w:tcPr>
            <w:tcW w:w="100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231F20"/>
                <w:w w:val="97"/>
              </w:rPr>
              <w:t>4.35</w:t>
            </w:r>
          </w:p>
        </w:tc>
        <w:tc>
          <w:tcPr>
            <w:tcW w:w="130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10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rPr>
              <w:t>10-Q</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October 28,</w:t>
            </w:r>
          </w:p>
        </w:tc>
        <w:tc>
          <w:tcPr>
            <w:tcW w:w="74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10.1</w:t>
            </w:r>
          </w:p>
        </w:tc>
        <w:tc>
          <w:tcPr>
            <w:tcW w:w="0" w:type="dxa"/>
            <w:vAlign w:val="bottom"/>
          </w:tcPr>
          <w:p>
            <w:pPr>
              <w:spacing w:after="0"/>
              <w:rPr>
                <w:sz w:val="1"/>
                <w:szCs w:val="1"/>
                <w:color w:val="auto"/>
              </w:rPr>
            </w:pPr>
          </w:p>
        </w:tc>
      </w:tr>
      <w:tr>
        <w:trPr>
          <w:trHeight w:val="260"/>
        </w:trPr>
        <w:tc>
          <w:tcPr>
            <w:tcW w:w="100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2021</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10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rPr>
              <w:t>DEF 14A</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22,</w:t>
            </w:r>
          </w:p>
        </w:tc>
        <w:tc>
          <w:tcPr>
            <w:tcW w:w="7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rPr>
              <w:t>Annex</w:t>
            </w:r>
          </w:p>
        </w:tc>
        <w:tc>
          <w:tcPr>
            <w:tcW w:w="0" w:type="dxa"/>
            <w:vAlign w:val="bottom"/>
          </w:tcPr>
          <w:p>
            <w:pPr>
              <w:spacing w:after="0"/>
              <w:rPr>
                <w:sz w:val="1"/>
                <w:szCs w:val="1"/>
                <w:color w:val="auto"/>
              </w:rPr>
            </w:pPr>
          </w:p>
        </w:tc>
      </w:tr>
      <w:tr>
        <w:trPr>
          <w:trHeight w:val="260"/>
        </w:trPr>
        <w:tc>
          <w:tcPr>
            <w:tcW w:w="100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2017</w:t>
            </w:r>
          </w:p>
        </w:tc>
        <w:tc>
          <w:tcPr>
            <w:tcW w:w="74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6"/>
              </w:rPr>
              <w:t>A</w:t>
            </w:r>
          </w:p>
        </w:tc>
        <w:tc>
          <w:tcPr>
            <w:tcW w:w="0" w:type="dxa"/>
            <w:vAlign w:val="bottom"/>
          </w:tcPr>
          <w:p>
            <w:pPr>
              <w:spacing w:after="0"/>
              <w:rPr>
                <w:sz w:val="1"/>
                <w:szCs w:val="1"/>
                <w:color w:val="auto"/>
              </w:rPr>
            </w:pPr>
          </w:p>
        </w:tc>
      </w:tr>
      <w:tr>
        <w:trPr>
          <w:trHeight w:val="430"/>
        </w:trPr>
        <w:tc>
          <w:tcPr>
            <w:tcW w:w="10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231F20"/>
                <w:w w:val="96"/>
              </w:rPr>
              <w:t>8-K</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14,</w:t>
            </w:r>
          </w:p>
        </w:tc>
        <w:tc>
          <w:tcPr>
            <w:tcW w:w="74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10.1</w:t>
            </w:r>
          </w:p>
        </w:tc>
        <w:tc>
          <w:tcPr>
            <w:tcW w:w="0" w:type="dxa"/>
            <w:vAlign w:val="bottom"/>
          </w:tcPr>
          <w:p>
            <w:pPr>
              <w:spacing w:after="0"/>
              <w:rPr>
                <w:sz w:val="1"/>
                <w:szCs w:val="1"/>
                <w:color w:val="auto"/>
              </w:rPr>
            </w:pPr>
          </w:p>
        </w:tc>
      </w:tr>
      <w:tr>
        <w:trPr>
          <w:trHeight w:val="260"/>
        </w:trPr>
        <w:tc>
          <w:tcPr>
            <w:tcW w:w="100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2017</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10.10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27, 2019</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10.11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27, 2019</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880" w:h="15480" w:orient="portrait"/>
          <w:cols w:equalWidth="0" w:num="2">
            <w:col w:w="5360" w:space="300"/>
            <w:col w:w="4600"/>
          </w:cols>
          <w:pgMar w:left="820" w:top="588" w:right="800" w:bottom="0" w:gutter="0" w:footer="0" w:header="0"/>
        </w:sectPr>
      </w:pPr>
    </w:p>
    <w:tbl>
      <w:tblPr>
        <w:tblLayout w:type="fixed"/>
        <w:tblInd w:w="0" w:type="dxa"/>
        <w:tblCellMar>
          <w:top w:w="0" w:type="dxa"/>
          <w:left w:w="0" w:type="dxa"/>
          <w:bottom w:w="0" w:type="dxa"/>
          <w:right w:w="0" w:type="dxa"/>
        </w:tblCellMar>
      </w:tblPr>
      <w:tr>
        <w:trPr>
          <w:trHeight w:val="282"/>
        </w:trPr>
        <w:tc>
          <w:tcPr>
            <w:tcW w:w="74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10.6*</w:t>
            </w:r>
          </w:p>
        </w:tc>
        <w:tc>
          <w:tcPr>
            <w:tcW w:w="48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Form of Notice of Grant of Performance-Based</w:t>
            </w:r>
          </w:p>
        </w:tc>
        <w:tc>
          <w:tcPr>
            <w:tcW w:w="1060" w:type="dxa"/>
            <w:vAlign w:val="bottom"/>
            <w:shd w:val="clear" w:color="auto" w:fill="E3E4E5"/>
          </w:tcPr>
          <w:p>
            <w:pPr>
              <w:spacing w:after="0"/>
              <w:rPr>
                <w:sz w:val="24"/>
                <w:szCs w:val="24"/>
                <w:color w:val="auto"/>
              </w:rPr>
            </w:pPr>
          </w:p>
        </w:tc>
        <w:tc>
          <w:tcPr>
            <w:tcW w:w="1440" w:type="dxa"/>
            <w:vAlign w:val="bottom"/>
            <w:shd w:val="clear" w:color="auto" w:fill="E3E4E5"/>
          </w:tcPr>
          <w:p>
            <w:pPr>
              <w:spacing w:after="0"/>
              <w:rPr>
                <w:sz w:val="24"/>
                <w:szCs w:val="24"/>
                <w:color w:val="auto"/>
              </w:rPr>
            </w:pPr>
          </w:p>
        </w:tc>
        <w:tc>
          <w:tcPr>
            <w:tcW w:w="1320" w:type="dxa"/>
            <w:vAlign w:val="bottom"/>
            <w:shd w:val="clear" w:color="auto" w:fill="E3E4E5"/>
          </w:tcPr>
          <w:p>
            <w:pPr>
              <w:spacing w:after="0"/>
              <w:rPr>
                <w:sz w:val="24"/>
                <w:szCs w:val="24"/>
                <w:color w:val="auto"/>
              </w:rPr>
            </w:pPr>
          </w:p>
        </w:tc>
        <w:tc>
          <w:tcPr>
            <w:tcW w:w="86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840" w:type="dxa"/>
            <w:vAlign w:val="bottom"/>
            <w:shd w:val="clear" w:color="auto" w:fill="E3E4E5"/>
          </w:tcPr>
          <w:p>
            <w:pPr>
              <w:ind w:left="240"/>
              <w:spacing w:after="0" w:line="200" w:lineRule="exact"/>
              <w:rPr>
                <w:sz w:val="20"/>
                <w:szCs w:val="20"/>
                <w:color w:val="auto"/>
              </w:rPr>
            </w:pPr>
            <w:r>
              <w:rPr>
                <w:rFonts w:ascii="Times New Roman" w:cs="Times New Roman" w:eastAsia="Times New Roman" w:hAnsi="Times New Roman"/>
                <w:sz w:val="20"/>
                <w:szCs w:val="20"/>
                <w:color w:val="231F20"/>
              </w:rPr>
              <w:t>Restricted Stock Units Agreement (U.S. Employee)</w:t>
            </w:r>
          </w:p>
        </w:tc>
        <w:tc>
          <w:tcPr>
            <w:tcW w:w="1060" w:type="dxa"/>
            <w:vAlign w:val="bottom"/>
            <w:shd w:val="clear" w:color="auto" w:fill="E3E4E5"/>
          </w:tcPr>
          <w:p>
            <w:pPr>
              <w:spacing w:after="0"/>
              <w:rPr>
                <w:sz w:val="17"/>
                <w:szCs w:val="17"/>
                <w:color w:val="auto"/>
              </w:rPr>
            </w:pPr>
          </w:p>
        </w:tc>
        <w:tc>
          <w:tcPr>
            <w:tcW w:w="1440" w:type="dxa"/>
            <w:vAlign w:val="bottom"/>
            <w:shd w:val="clear" w:color="auto" w:fill="E3E4E5"/>
          </w:tcPr>
          <w:p>
            <w:pPr>
              <w:spacing w:after="0"/>
              <w:rPr>
                <w:sz w:val="17"/>
                <w:szCs w:val="17"/>
                <w:color w:val="auto"/>
              </w:rPr>
            </w:pPr>
          </w:p>
        </w:tc>
        <w:tc>
          <w:tcPr>
            <w:tcW w:w="1320" w:type="dxa"/>
            <w:vAlign w:val="bottom"/>
            <w:shd w:val="clear" w:color="auto" w:fill="E3E4E5"/>
          </w:tcPr>
          <w:p>
            <w:pPr>
              <w:spacing w:after="0"/>
              <w:rPr>
                <w:sz w:val="17"/>
                <w:szCs w:val="17"/>
                <w:color w:val="auto"/>
              </w:rPr>
            </w:pPr>
          </w:p>
        </w:tc>
        <w:tc>
          <w:tcPr>
            <w:tcW w:w="8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840" w:type="dxa"/>
            <w:vAlign w:val="bottom"/>
            <w:shd w:val="clear" w:color="auto" w:fill="E3E4E5"/>
          </w:tcPr>
          <w:p>
            <w:pPr>
              <w:ind w:left="240"/>
              <w:spacing w:after="0" w:line="200" w:lineRule="exact"/>
              <w:rPr>
                <w:sz w:val="20"/>
                <w:szCs w:val="20"/>
                <w:color w:val="auto"/>
              </w:rPr>
            </w:pPr>
            <w:r>
              <w:rPr>
                <w:rFonts w:ascii="Times New Roman" w:cs="Times New Roman" w:eastAsia="Times New Roman" w:hAnsi="Times New Roman"/>
                <w:sz w:val="20"/>
                <w:szCs w:val="20"/>
                <w:color w:val="231F20"/>
              </w:rPr>
              <w:t>(For grants made April 11, 2020 – September 30,</w:t>
            </w:r>
          </w:p>
        </w:tc>
        <w:tc>
          <w:tcPr>
            <w:tcW w:w="1060" w:type="dxa"/>
            <w:vAlign w:val="bottom"/>
            <w:shd w:val="clear" w:color="auto" w:fill="E3E4E5"/>
          </w:tcPr>
          <w:p>
            <w:pPr>
              <w:spacing w:after="0"/>
              <w:rPr>
                <w:sz w:val="17"/>
                <w:szCs w:val="17"/>
                <w:color w:val="auto"/>
              </w:rPr>
            </w:pPr>
          </w:p>
        </w:tc>
        <w:tc>
          <w:tcPr>
            <w:tcW w:w="1440" w:type="dxa"/>
            <w:vAlign w:val="bottom"/>
            <w:shd w:val="clear" w:color="auto" w:fill="E3E4E5"/>
          </w:tcPr>
          <w:p>
            <w:pPr>
              <w:spacing w:after="0"/>
              <w:rPr>
                <w:sz w:val="17"/>
                <w:szCs w:val="17"/>
                <w:color w:val="auto"/>
              </w:rPr>
            </w:pPr>
          </w:p>
        </w:tc>
        <w:tc>
          <w:tcPr>
            <w:tcW w:w="132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April 16,</w:t>
            </w:r>
          </w:p>
        </w:tc>
        <w:tc>
          <w:tcPr>
            <w:tcW w:w="8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840" w:type="dxa"/>
            <w:vAlign w:val="bottom"/>
            <w:shd w:val="clear" w:color="auto" w:fill="E3E4E5"/>
          </w:tcPr>
          <w:p>
            <w:pPr>
              <w:ind w:left="240"/>
              <w:spacing w:after="0" w:line="200" w:lineRule="exact"/>
              <w:rPr>
                <w:sz w:val="20"/>
                <w:szCs w:val="20"/>
                <w:color w:val="auto"/>
              </w:rPr>
            </w:pPr>
            <w:r>
              <w:rPr>
                <w:rFonts w:ascii="Times New Roman" w:cs="Times New Roman" w:eastAsia="Times New Roman" w:hAnsi="Times New Roman"/>
                <w:sz w:val="20"/>
                <w:szCs w:val="20"/>
                <w:color w:val="231F20"/>
              </w:rPr>
              <w:t>2023) Pursuant to the American Tower Corporation</w:t>
            </w:r>
          </w:p>
        </w:tc>
        <w:tc>
          <w:tcPr>
            <w:tcW w:w="106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7"/>
              </w:rPr>
              <w:t>8-K/A</w:t>
            </w:r>
          </w:p>
        </w:tc>
        <w:tc>
          <w:tcPr>
            <w:tcW w:w="1440" w:type="dxa"/>
            <w:vAlign w:val="bottom"/>
            <w:vMerge w:val="restart"/>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20" w:type="dxa"/>
            <w:vAlign w:val="bottom"/>
            <w:vMerge w:val="continue"/>
            <w:shd w:val="clear" w:color="auto" w:fill="E3E4E5"/>
          </w:tcPr>
          <w:p>
            <w:pPr>
              <w:spacing w:after="0"/>
              <w:rPr>
                <w:sz w:val="17"/>
                <w:szCs w:val="17"/>
                <w:color w:val="auto"/>
              </w:rPr>
            </w:pPr>
          </w:p>
        </w:tc>
        <w:tc>
          <w:tcPr>
            <w:tcW w:w="860" w:type="dxa"/>
            <w:vAlign w:val="bottom"/>
            <w:vMerge w:val="restart"/>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10.1</w:t>
            </w:r>
          </w:p>
        </w:tc>
        <w:tc>
          <w:tcPr>
            <w:tcW w:w="0" w:type="dxa"/>
            <w:vAlign w:val="bottom"/>
          </w:tcPr>
          <w:p>
            <w:pPr>
              <w:spacing w:after="0"/>
              <w:rPr>
                <w:sz w:val="1"/>
                <w:szCs w:val="1"/>
                <w:color w:val="auto"/>
              </w:rPr>
            </w:pPr>
          </w:p>
        </w:tc>
      </w:tr>
      <w:tr>
        <w:trPr>
          <w:trHeight w:val="273"/>
        </w:trPr>
        <w:tc>
          <w:tcPr>
            <w:tcW w:w="740" w:type="dxa"/>
            <w:vAlign w:val="bottom"/>
            <w:shd w:val="clear" w:color="auto" w:fill="E3E4E5"/>
          </w:tcPr>
          <w:p>
            <w:pPr>
              <w:spacing w:after="0"/>
              <w:rPr>
                <w:sz w:val="23"/>
                <w:szCs w:val="23"/>
                <w:color w:val="auto"/>
              </w:rPr>
            </w:pPr>
          </w:p>
        </w:tc>
        <w:tc>
          <w:tcPr>
            <w:tcW w:w="48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2007 Equity Incentive Plan, as amended</w:t>
            </w:r>
          </w:p>
        </w:tc>
        <w:tc>
          <w:tcPr>
            <w:tcW w:w="1060" w:type="dxa"/>
            <w:vAlign w:val="bottom"/>
            <w:vMerge w:val="continue"/>
            <w:shd w:val="clear" w:color="auto" w:fill="E3E4E5"/>
          </w:tcPr>
          <w:p>
            <w:pPr>
              <w:spacing w:after="0"/>
              <w:rPr>
                <w:sz w:val="23"/>
                <w:szCs w:val="23"/>
                <w:color w:val="auto"/>
              </w:rPr>
            </w:pPr>
          </w:p>
        </w:tc>
        <w:tc>
          <w:tcPr>
            <w:tcW w:w="1440" w:type="dxa"/>
            <w:vAlign w:val="bottom"/>
            <w:vMerge w:val="continue"/>
            <w:shd w:val="clear" w:color="auto" w:fill="E3E4E5"/>
          </w:tcPr>
          <w:p>
            <w:pPr>
              <w:spacing w:after="0"/>
              <w:rPr>
                <w:sz w:val="23"/>
                <w:szCs w:val="23"/>
                <w:color w:val="auto"/>
              </w:rPr>
            </w:pPr>
          </w:p>
        </w:tc>
        <w:tc>
          <w:tcPr>
            <w:tcW w:w="132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9"/>
              </w:rPr>
              <w:t>2020</w:t>
            </w:r>
          </w:p>
        </w:tc>
        <w:tc>
          <w:tcPr>
            <w:tcW w:w="86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7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10.7*</w:t>
            </w:r>
          </w:p>
        </w:tc>
        <w:tc>
          <w:tcPr>
            <w:tcW w:w="48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Form of Notice of Grant of Performance-Based</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840" w:type="dxa"/>
            <w:vAlign w:val="bottom"/>
          </w:tcPr>
          <w:p>
            <w:pPr>
              <w:ind w:left="240"/>
              <w:spacing w:after="0" w:line="224" w:lineRule="exact"/>
              <w:rPr>
                <w:sz w:val="20"/>
                <w:szCs w:val="20"/>
                <w:color w:val="auto"/>
              </w:rPr>
            </w:pPr>
            <w:r>
              <w:rPr>
                <w:rFonts w:ascii="Times New Roman" w:cs="Times New Roman" w:eastAsia="Times New Roman" w:hAnsi="Times New Roman"/>
                <w:sz w:val="20"/>
                <w:szCs w:val="20"/>
                <w:color w:val="231F20"/>
              </w:rPr>
              <w:t>Restricted Stock Units Agreement (Non-U.S.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840" w:type="dxa"/>
            <w:vAlign w:val="bottom"/>
          </w:tcPr>
          <w:p>
            <w:pPr>
              <w:ind w:left="240"/>
              <w:spacing w:after="0" w:line="224" w:lineRule="exact"/>
              <w:rPr>
                <w:sz w:val="20"/>
                <w:szCs w:val="20"/>
                <w:color w:val="auto"/>
              </w:rPr>
            </w:pPr>
            <w:r>
              <w:rPr>
                <w:rFonts w:ascii="Times New Roman" w:cs="Times New Roman" w:eastAsia="Times New Roman" w:hAnsi="Times New Roman"/>
                <w:sz w:val="20"/>
                <w:szCs w:val="20"/>
                <w:color w:val="231F20"/>
              </w:rPr>
              <w:t>Employee) (For grants made June 1, 2021 –</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July 29,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484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September 30, 2023) Pursuant to the American Tower</w:t>
            </w: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Corporation 2007 Equity Incentive Plan, as amended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20" w:top="58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260"/>
          </w:cols>
          <w:pgMar w:left="820" w:top="588" w:right="800" w:bottom="0" w:gutter="0" w:footer="0" w:header="0"/>
          <w:type w:val="continuous"/>
        </w:sectPr>
      </w:pPr>
    </w:p>
    <w:bookmarkStart w:id="82" w:name="page83"/>
    <w:bookmarkEnd w:id="82"/>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540" w:type="dxa"/>
            <w:vAlign w:val="bottom"/>
          </w:tcPr>
          <w:p>
            <w:pPr>
              <w:spacing w:after="0"/>
              <w:rPr>
                <w:sz w:val="16"/>
                <w:szCs w:val="16"/>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Borders>
              <w:top w:val="single" w:sz="8" w:color="231F20"/>
            </w:tcBorders>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Borders>
              <w:top w:val="single" w:sz="8" w:color="231F20"/>
            </w:tcBorders>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10.8*</w:t>
            </w:r>
          </w:p>
        </w:tc>
        <w:tc>
          <w:tcPr>
            <w:tcW w:w="200" w:type="dxa"/>
            <w:vAlign w:val="bottom"/>
          </w:tcPr>
          <w:p>
            <w:pPr>
              <w:spacing w:after="0"/>
              <w:rPr>
                <w:sz w:val="21"/>
                <w:szCs w:val="21"/>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Restricted Stock Unit Agreement (Non-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Director) (For grants made December 5,</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w w:val="99"/>
              </w:rPr>
              <w:t>2022 – September 30, 2023) Pursuant to the American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Tower Corporation 2007 Equity Incentive Plan, as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amended</w:t>
            </w:r>
          </w:p>
        </w:tc>
        <w:tc>
          <w:tcPr>
            <w:tcW w:w="0" w:type="dxa"/>
            <w:vAlign w:val="bottom"/>
          </w:tcPr>
          <w:p>
            <w:pPr>
              <w:spacing w:after="0"/>
              <w:rPr>
                <w:sz w:val="1"/>
                <w:szCs w:val="1"/>
                <w:color w:val="auto"/>
              </w:rPr>
            </w:pPr>
          </w:p>
        </w:tc>
      </w:tr>
      <w:tr>
        <w:trPr>
          <w:trHeight w:val="38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10.9*</w:t>
            </w:r>
          </w:p>
        </w:tc>
        <w:tc>
          <w:tcPr>
            <w:tcW w:w="200" w:type="dxa"/>
            <w:vAlign w:val="bottom"/>
          </w:tcPr>
          <w:p>
            <w:pPr>
              <w:spacing w:after="0"/>
              <w:rPr>
                <w:sz w:val="24"/>
                <w:szCs w:val="24"/>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Restricted Stock Units Agreement (U.S.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(For grants made October 1, 2023 –</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December 31, 2023) Pursuant to the American Tower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Corporation 2007 Equity Incentive Plan, as amended</w:t>
            </w:r>
          </w:p>
        </w:tc>
        <w:tc>
          <w:tcPr>
            <w:tcW w:w="0" w:type="dxa"/>
            <w:vAlign w:val="bottom"/>
          </w:tcPr>
          <w:p>
            <w:pPr>
              <w:spacing w:after="0"/>
              <w:rPr>
                <w:sz w:val="1"/>
                <w:szCs w:val="1"/>
                <w:color w:val="auto"/>
              </w:rPr>
            </w:pPr>
          </w:p>
        </w:tc>
      </w:tr>
      <w:tr>
        <w:trPr>
          <w:trHeight w:val="345"/>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10.10*</w:t>
            </w: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Restricted Stock Units Agreement (Non-U.S.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(For grants made October 1, 2023 –</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December 31, 2023) Pursuant to the American Tower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Corporation 2007 Equity Incentive Plan, as amended</w:t>
            </w:r>
          </w:p>
        </w:tc>
        <w:tc>
          <w:tcPr>
            <w:tcW w:w="0" w:type="dxa"/>
            <w:vAlign w:val="bottom"/>
          </w:tcPr>
          <w:p>
            <w:pPr>
              <w:spacing w:after="0"/>
              <w:rPr>
                <w:sz w:val="1"/>
                <w:szCs w:val="1"/>
                <w:color w:val="auto"/>
              </w:rPr>
            </w:pPr>
          </w:p>
        </w:tc>
      </w:tr>
      <w:tr>
        <w:trPr>
          <w:trHeight w:val="39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10.11*</w:t>
            </w: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Restricted Stock Units Agreement (Non-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Director) (For grants made beginning</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October 1, 2023) Pursuant to the American Tower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Corporation 2007 Equity Incentive Plan, as amended</w:t>
            </w:r>
          </w:p>
        </w:tc>
        <w:tc>
          <w:tcPr>
            <w:tcW w:w="0" w:type="dxa"/>
            <w:vAlign w:val="bottom"/>
          </w:tcPr>
          <w:p>
            <w:pPr>
              <w:spacing w:after="0"/>
              <w:rPr>
                <w:sz w:val="1"/>
                <w:szCs w:val="1"/>
                <w:color w:val="auto"/>
              </w:rPr>
            </w:pPr>
          </w:p>
        </w:tc>
      </w:tr>
      <w:tr>
        <w:trPr>
          <w:trHeight w:val="345"/>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10.12*</w:t>
            </w: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Restricted Stock Units Agreement (U.S.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(For grants made beginning January 1,</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2024) Pursuant to the American Tower Corporation</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2007 Equity Incentive Plan, as amended</w:t>
            </w:r>
          </w:p>
        </w:tc>
        <w:tc>
          <w:tcPr>
            <w:tcW w:w="0" w:type="dxa"/>
            <w:vAlign w:val="bottom"/>
          </w:tcPr>
          <w:p>
            <w:pPr>
              <w:spacing w:after="0"/>
              <w:rPr>
                <w:sz w:val="1"/>
                <w:szCs w:val="1"/>
                <w:color w:val="auto"/>
              </w:rPr>
            </w:pPr>
          </w:p>
        </w:tc>
      </w:tr>
      <w:tr>
        <w:trPr>
          <w:trHeight w:val="36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10.13*</w:t>
            </w: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Restricted Stock Units Agreement (Non-U.S.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(For grants made beginning January 1,</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2024) Pursuant to the American Tower Corporation</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2007 Equity Incentive Plan, as amended</w:t>
            </w:r>
          </w:p>
        </w:tc>
        <w:tc>
          <w:tcPr>
            <w:tcW w:w="0" w:type="dxa"/>
            <w:vAlign w:val="bottom"/>
          </w:tcPr>
          <w:p>
            <w:pPr>
              <w:spacing w:after="0"/>
              <w:rPr>
                <w:sz w:val="1"/>
                <w:szCs w:val="1"/>
                <w:color w:val="auto"/>
              </w:rPr>
            </w:pPr>
          </w:p>
        </w:tc>
      </w:tr>
      <w:tr>
        <w:trPr>
          <w:trHeight w:val="42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10.14*</w:t>
            </w: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Notice of Grant of Performance-Based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Restricted Stock Units Agreement (U.S. Employee)</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(For grants made beginning February 28, 2024)</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Pursuant to the American Tower Corporation 2007</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Equity Incentive Plan, as amended</w:t>
            </w:r>
          </w:p>
        </w:tc>
        <w:tc>
          <w:tcPr>
            <w:tcW w:w="0" w:type="dxa"/>
            <w:vAlign w:val="bottom"/>
          </w:tcPr>
          <w:p>
            <w:pPr>
              <w:spacing w:after="0"/>
              <w:rPr>
                <w:sz w:val="1"/>
                <w:szCs w:val="1"/>
                <w:color w:val="auto"/>
              </w:rPr>
            </w:pPr>
          </w:p>
        </w:tc>
      </w:tr>
      <w:tr>
        <w:trPr>
          <w:trHeight w:val="37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10.15*</w:t>
            </w: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Form of Notice of Grant of Performance-Based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Restricted Stock Units Agreement (Non-U.S.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Employee) (For grants made beginning February 28,</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2024) Pursuant to the American Tower Corporation</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2007 Equity Incentive Plan, as amended</w:t>
            </w:r>
          </w:p>
        </w:tc>
        <w:tc>
          <w:tcPr>
            <w:tcW w:w="0" w:type="dxa"/>
            <w:vAlign w:val="bottom"/>
          </w:tcPr>
          <w:p>
            <w:pPr>
              <w:spacing w:after="0"/>
              <w:rPr>
                <w:sz w:val="1"/>
                <w:szCs w:val="1"/>
                <w:color w:val="auto"/>
              </w:rPr>
            </w:pPr>
          </w:p>
        </w:tc>
      </w:tr>
      <w:tr>
        <w:trPr>
          <w:trHeight w:val="32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10.16</w:t>
            </w:r>
          </w:p>
        </w:tc>
        <w:tc>
          <w:tcPr>
            <w:tcW w:w="200" w:type="dxa"/>
            <w:vAlign w:val="bottom"/>
          </w:tcPr>
          <w:p>
            <w:pPr>
              <w:spacing w:after="0"/>
              <w:rPr>
                <w:sz w:val="24"/>
                <w:szCs w:val="24"/>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Second Amended and Restated Loan and Security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Agreement, dated as of March 29, 2018,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between American Tower Asset Sub, LLC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American Tower Assets Sub II, LLC, as Borrowers,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and U.S. Bank National Association, as Trustee for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American Tower Trust I, as Lender</w:t>
            </w:r>
          </w:p>
        </w:tc>
        <w:tc>
          <w:tcPr>
            <w:tcW w:w="0" w:type="dxa"/>
            <w:vAlign w:val="bottom"/>
          </w:tcPr>
          <w:p>
            <w:pPr>
              <w:spacing w:after="0"/>
              <w:rPr>
                <w:sz w:val="1"/>
                <w:szCs w:val="1"/>
                <w:color w:val="auto"/>
              </w:rPr>
            </w:pPr>
          </w:p>
        </w:tc>
      </w:tr>
      <w:tr>
        <w:trPr>
          <w:trHeight w:val="36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10.17</w:t>
            </w:r>
          </w:p>
        </w:tc>
        <w:tc>
          <w:tcPr>
            <w:tcW w:w="200" w:type="dxa"/>
            <w:vAlign w:val="bottom"/>
          </w:tcPr>
          <w:p>
            <w:pPr>
              <w:spacing w:after="0"/>
              <w:rPr>
                <w:sz w:val="24"/>
                <w:szCs w:val="24"/>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Second Supplement and Amendment dated as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March 13, 2023 to the Second Amended and Restated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Loan and Security Agreement dated as of March 29,</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w w:val="99"/>
              </w:rPr>
              <w:t>2018, by and among American Tower Asset Sub, LLC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and American Tower Asset Sub II, LLC, 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Borrowers, and U.S. Bank Trust Company, National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Association, as Trustee for American Tower Trust I</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Secured Tower Revenue Securities as Lender</w:t>
            </w:r>
          </w:p>
        </w:tc>
        <w:tc>
          <w:tcPr>
            <w:tcW w:w="0" w:type="dxa"/>
            <w:vAlign w:val="bottom"/>
          </w:tcPr>
          <w:p>
            <w:pPr>
              <w:spacing w:after="0"/>
              <w:rPr>
                <w:sz w:val="1"/>
                <w:szCs w:val="1"/>
                <w:color w:val="auto"/>
              </w:rPr>
            </w:pPr>
          </w:p>
        </w:tc>
      </w:tr>
      <w:tr>
        <w:trPr>
          <w:trHeight w:val="38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10.18</w:t>
            </w:r>
          </w:p>
        </w:tc>
        <w:tc>
          <w:tcPr>
            <w:tcW w:w="200" w:type="dxa"/>
            <w:vAlign w:val="bottom"/>
          </w:tcPr>
          <w:p>
            <w:pPr>
              <w:spacing w:after="0"/>
              <w:rPr>
                <w:sz w:val="24"/>
                <w:szCs w:val="24"/>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First Amended and Restated Management Agreement,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w w:val="99"/>
              </w:rPr>
              <w:t>dated as of March 15, 2013, by and between American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Tower Asset Sub, LLC and American Tower Asset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Sub II, LLC, as Owners, and SpectraSite</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Communications, LLC, as Manager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-8358505</wp:posOffset>
                </wp:positionV>
                <wp:extent cx="6514465" cy="72390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23900"/>
                        </a:xfrm>
                        <a:prstGeom prst="rect">
                          <a:avLst/>
                        </a:prstGeom>
                        <a:solidFill>
                          <a:srgbClr val="E3E4E5"/>
                        </a:solidFill>
                      </wps:spPr>
                      <wps:bodyPr/>
                    </wps:wsp>
                  </a:graphicData>
                </a:graphic>
              </wp:anchor>
            </w:drawing>
          </mc:Choice>
          <mc:Fallback>
            <w:pict>
              <v:rect id="Shape 94" o:spid="_x0000_s1119" style="position:absolute;margin-left:-2.4499pt;margin-top:-658.1499pt;width:512.95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-6929755</wp:posOffset>
                </wp:positionV>
                <wp:extent cx="6514465" cy="60007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600075"/>
                        </a:xfrm>
                        <a:prstGeom prst="rect">
                          <a:avLst/>
                        </a:prstGeom>
                        <a:solidFill>
                          <a:srgbClr val="E3E4E5"/>
                        </a:solidFill>
                      </wps:spPr>
                      <wps:bodyPr/>
                    </wps:wsp>
                  </a:graphicData>
                </a:graphic>
              </wp:anchor>
            </w:drawing>
          </mc:Choice>
          <mc:Fallback>
            <w:pict>
              <v:rect id="Shape 95" o:spid="_x0000_s1120" style="position:absolute;margin-left:-2.4499pt;margin-top:-545.6499pt;width:512.95pt;height:4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-5624830</wp:posOffset>
                </wp:positionV>
                <wp:extent cx="6514465" cy="58102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581025"/>
                        </a:xfrm>
                        <a:prstGeom prst="rect">
                          <a:avLst/>
                        </a:prstGeom>
                        <a:solidFill>
                          <a:srgbClr val="E3E4E5"/>
                        </a:solidFill>
                      </wps:spPr>
                      <wps:bodyPr/>
                    </wps:wsp>
                  </a:graphicData>
                </a:graphic>
              </wp:anchor>
            </w:drawing>
          </mc:Choice>
          <mc:Fallback>
            <w:pict>
              <v:rect id="Shape 96" o:spid="_x0000_s1121" style="position:absolute;margin-left:-2.4499pt;margin-top:-442.8999pt;width:512.95pt;height:4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-4291330</wp:posOffset>
                </wp:positionV>
                <wp:extent cx="6514465" cy="7143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14375"/>
                        </a:xfrm>
                        <a:prstGeom prst="rect">
                          <a:avLst/>
                        </a:prstGeom>
                        <a:solidFill>
                          <a:srgbClr val="E3E4E5"/>
                        </a:solidFill>
                      </wps:spPr>
                      <wps:bodyPr/>
                    </wps:wsp>
                  </a:graphicData>
                </a:graphic>
              </wp:anchor>
            </w:drawing>
          </mc:Choice>
          <mc:Fallback>
            <w:pict>
              <v:rect id="Shape 97" o:spid="_x0000_s1122" style="position:absolute;margin-left:-2.4499pt;margin-top:-337.8999pt;width:512.95pt;height:5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-2757805</wp:posOffset>
                </wp:positionV>
                <wp:extent cx="6514465" cy="8382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38200"/>
                        </a:xfrm>
                        <a:prstGeom prst="rect">
                          <a:avLst/>
                        </a:prstGeom>
                        <a:solidFill>
                          <a:srgbClr val="E3E4E5"/>
                        </a:solidFill>
                      </wps:spPr>
                      <wps:bodyPr/>
                    </wps:wsp>
                  </a:graphicData>
                </a:graphic>
              </wp:anchor>
            </w:drawing>
          </mc:Choice>
          <mc:Fallback>
            <w:pict>
              <v:rect id="Shape 98" o:spid="_x0000_s1123" style="position:absolute;margin-left:-2.4499pt;margin-top:-217.1499pt;width:512.95pt;height: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-681355</wp:posOffset>
                </wp:positionV>
                <wp:extent cx="6514465" cy="73279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32790"/>
                        </a:xfrm>
                        <a:prstGeom prst="rect">
                          <a:avLst/>
                        </a:prstGeom>
                        <a:solidFill>
                          <a:srgbClr val="E3E4E5"/>
                        </a:solidFill>
                      </wps:spPr>
                      <wps:bodyPr/>
                    </wps:wsp>
                  </a:graphicData>
                </a:graphic>
              </wp:anchor>
            </w:drawing>
          </mc:Choice>
          <mc:Fallback>
            <w:pict>
              <v:rect id="Shape 99" o:spid="_x0000_s1124" style="position:absolute;margin-left:-2.4499pt;margin-top:-53.6499pt;width:512.95pt;height:57.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4"/>
              </w:rPr>
              <w:t>Form</w:t>
            </w:r>
          </w:p>
        </w:tc>
        <w:tc>
          <w:tcPr>
            <w:tcW w:w="1640" w:type="dxa"/>
            <w:vAlign w:val="bottom"/>
            <w:tcBorders>
              <w:top w:val="single" w:sz="8" w:color="231F20"/>
            </w:tcBorders>
            <w:gridSpan w:val="3"/>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480" w:type="dxa"/>
            <w:vAlign w:val="bottom"/>
            <w:tcBorders>
              <w:top w:val="single" w:sz="8" w:color="231F20"/>
            </w:tcBorders>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100"/>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80" w:type="dxa"/>
            <w:vAlign w:val="bottom"/>
            <w:tcBorders>
              <w:top w:val="single" w:sz="8" w:color="231F20"/>
            </w:tcBorders>
            <w:vMerge w:val="continue"/>
          </w:tcPr>
          <w:p>
            <w:pPr>
              <w:spacing w:after="0"/>
              <w:rPr>
                <w:sz w:val="12"/>
                <w:szCs w:val="12"/>
                <w:color w:val="auto"/>
              </w:rPr>
            </w:pPr>
          </w:p>
        </w:tc>
        <w:tc>
          <w:tcPr>
            <w:tcW w:w="1640" w:type="dxa"/>
            <w:vAlign w:val="bottom"/>
            <w:tcBorders>
              <w:top w:val="single" w:sz="8" w:color="231F20"/>
            </w:tcBorders>
            <w:gridSpan w:val="3"/>
            <w:vMerge w:val="continue"/>
          </w:tcPr>
          <w:p>
            <w:pPr>
              <w:spacing w:after="0"/>
              <w:rPr>
                <w:sz w:val="12"/>
                <w:szCs w:val="12"/>
                <w:color w:val="auto"/>
              </w:rPr>
            </w:pPr>
          </w:p>
        </w:tc>
        <w:tc>
          <w:tcPr>
            <w:tcW w:w="148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10.9</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23, 2023</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5"/>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October 26,</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90"/>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October 26,</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5"/>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October 26,</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10.3</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60"/>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rPr>
              <w:t>10.14</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27, 2024</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20"/>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rPr>
              <w:t>10.15</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27, 2024</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70"/>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14,</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2024</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25"/>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14,</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2024</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25"/>
        </w:trPr>
        <w:tc>
          <w:tcPr>
            <w:tcW w:w="7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 2018</w:t>
            </w:r>
          </w:p>
        </w:tc>
        <w:tc>
          <w:tcPr>
            <w:tcW w:w="66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10.2</w:t>
            </w:r>
          </w:p>
        </w:tc>
        <w:tc>
          <w:tcPr>
            <w:tcW w:w="0" w:type="dxa"/>
            <w:vAlign w:val="bottom"/>
          </w:tcPr>
          <w:p>
            <w:pPr>
              <w:spacing w:after="0"/>
              <w:rPr>
                <w:sz w:val="1"/>
                <w:szCs w:val="1"/>
                <w:color w:val="auto"/>
              </w:rPr>
            </w:pPr>
          </w:p>
        </w:tc>
      </w:tr>
      <w:tr>
        <w:trPr>
          <w:trHeight w:val="1585"/>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April 26,</w:t>
            </w:r>
          </w:p>
        </w:tc>
        <w:tc>
          <w:tcPr>
            <w:tcW w:w="660" w:type="dxa"/>
            <w:vAlign w:val="bottom"/>
            <w:vMerge w:val="restart"/>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60"/>
        </w:trPr>
        <w:tc>
          <w:tcPr>
            <w:tcW w:w="7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1, 2013</w:t>
            </w:r>
          </w:p>
        </w:tc>
        <w:tc>
          <w:tcPr>
            <w:tcW w:w="66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7"/>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320" w:space="300"/>
            <w:col w:w="4600"/>
          </w:cols>
          <w:pgMar w:left="860" w:top="588" w:right="800" w:bottom="0" w:gutter="0" w:footer="0" w:header="0"/>
        </w:sectPr>
      </w:pPr>
    </w:p>
    <w:p>
      <w:pPr>
        <w:spacing w:after="0" w:line="3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220"/>
          </w:cols>
          <w:pgMar w:left="860" w:top="588" w:right="800" w:bottom="0" w:gutter="0" w:footer="0" w:header="0"/>
          <w:type w:val="continuous"/>
        </w:sectPr>
      </w:pPr>
    </w:p>
    <w:bookmarkStart w:id="83" w:name="page84"/>
    <w:bookmarkEnd w:id="83"/>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6"/>
                <w:szCs w:val="16"/>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10.19</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Second Amended and Restated Trust and Servicing</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Agreement, dated as of March 29, 2018,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among American Tower Depositor Sub, LLC, 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Depositor, Midland Loan Services, a Division of PNC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National Association, as Servicer, and U.S.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Bank National Association, as Trustee</w:t>
            </w:r>
          </w:p>
        </w:tc>
        <w:tc>
          <w:tcPr>
            <w:tcW w:w="0" w:type="dxa"/>
            <w:vAlign w:val="bottom"/>
          </w:tcPr>
          <w:p>
            <w:pPr>
              <w:spacing w:after="0"/>
              <w:rPr>
                <w:sz w:val="1"/>
                <w:szCs w:val="1"/>
                <w:color w:val="auto"/>
              </w:rPr>
            </w:pPr>
          </w:p>
        </w:tc>
      </w:tr>
      <w:tr>
        <w:trPr>
          <w:trHeight w:val="30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10.20</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w w:val="99"/>
              </w:rPr>
              <w:t>Second Trust Agreement Supplement and Amendment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dated as of March 13, 2023 to Second Amended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Restated Trust and Servicing Agreement dated as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March 29, 2018, by and among American Tower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Depositor Sub, LLC, as Depositor, Midland Loan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Services, a Division of PNC Bank, National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Association, as Servicer, and U.S. Bank Trust</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Company, National Association, as Trustee</w:t>
            </w: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10.21</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Second Amended and Restated Cash Management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Agreement, dated as of March 29, 2018, by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among American Tower Asset Sub, LLC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American Tower Asset Sub II, LLC, as Borrowers,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U.S. Bank National Association, as Trustee for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American Tower Trust I Secured Tower Revenue</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Securities, as Lender, Midland Loan Services, a</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Division of PNC Bank, National Association, 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Servicer, U.S. Bank National Association, as Agent,</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and SpectraSite Communications, LLC, as Manager</w:t>
            </w:r>
          </w:p>
        </w:tc>
        <w:tc>
          <w:tcPr>
            <w:tcW w:w="0" w:type="dxa"/>
            <w:vAlign w:val="bottom"/>
          </w:tcPr>
          <w:p>
            <w:pPr>
              <w:spacing w:after="0"/>
              <w:rPr>
                <w:sz w:val="1"/>
                <w:szCs w:val="1"/>
                <w:color w:val="auto"/>
              </w:rPr>
            </w:pPr>
          </w:p>
        </w:tc>
      </w:tr>
      <w:tr>
        <w:trPr>
          <w:trHeight w:val="36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10.22</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First Amendment dated as of March 13, 2023 to the</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Second Amended and Restated Cash Management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Agreement dated as of March 29, 2018, by and among</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American Tower Asset Sub, LLC, American Tower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Asset Sub II, LLC, the Borrowers party thereto, U.S.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Trust Company, National Association, 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Trustee for American Tower Trust I Secured Tower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Revenue Securities as Lender, Midland Loan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Services, a Division of PNC Bank, National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Association, as Servicer, U.S. Bank National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Association, as Agent, and Spectrasite</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Communications, LLC, as Manager</w:t>
            </w:r>
          </w:p>
        </w:tc>
        <w:tc>
          <w:tcPr>
            <w:tcW w:w="0" w:type="dxa"/>
            <w:vAlign w:val="bottom"/>
          </w:tcPr>
          <w:p>
            <w:pPr>
              <w:spacing w:after="0"/>
              <w:rPr>
                <w:sz w:val="1"/>
                <w:szCs w:val="1"/>
                <w:color w:val="auto"/>
              </w:rPr>
            </w:pPr>
          </w:p>
        </w:tc>
      </w:tr>
      <w:tr>
        <w:trPr>
          <w:trHeight w:val="32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10.23</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Agreement to Sublease by and among ALLTEL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Communications, Inc. the ALLTEL entities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American Towers, Inc. and American Tower</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Corporation, dated December 19, 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-4726305</wp:posOffset>
                </wp:positionV>
                <wp:extent cx="6514465" cy="105727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057275"/>
                        </a:xfrm>
                        <a:prstGeom prst="rect">
                          <a:avLst/>
                        </a:prstGeom>
                        <a:solidFill>
                          <a:srgbClr val="E3E4E5"/>
                        </a:solidFill>
                      </wps:spPr>
                      <wps:bodyPr/>
                    </wps:wsp>
                  </a:graphicData>
                </a:graphic>
              </wp:anchor>
            </w:drawing>
          </mc:Choice>
          <mc:Fallback>
            <w:pict>
              <v:rect id="Shape 100" o:spid="_x0000_s1125" style="position:absolute;margin-left:-0.4499pt;margin-top:-372.1499pt;width:512.95pt;height:8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-2192655</wp:posOffset>
                </wp:positionV>
                <wp:extent cx="6514465" cy="157162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571625"/>
                        </a:xfrm>
                        <a:prstGeom prst="rect">
                          <a:avLst/>
                        </a:prstGeom>
                        <a:solidFill>
                          <a:srgbClr val="E3E4E5"/>
                        </a:solidFill>
                      </wps:spPr>
                      <wps:bodyPr/>
                    </wps:wsp>
                  </a:graphicData>
                </a:graphic>
              </wp:anchor>
            </w:drawing>
          </mc:Choice>
          <mc:Fallback>
            <w:pict>
              <v:rect id="Shape 101" o:spid="_x0000_s1126" style="position:absolute;margin-left:-0.4499pt;margin-top:-172.6499pt;width:512.95pt;height:12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4"/>
              </w:rPr>
              <w:t>Form</w:t>
            </w:r>
          </w:p>
        </w:tc>
        <w:tc>
          <w:tcPr>
            <w:tcW w:w="1640" w:type="dxa"/>
            <w:vAlign w:val="bottom"/>
            <w:tcBorders>
              <w:top w:val="single" w:sz="8" w:color="231F20"/>
            </w:tcBorders>
            <w:gridSpan w:val="3"/>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480" w:type="dxa"/>
            <w:vAlign w:val="bottom"/>
            <w:tcBorders>
              <w:top w:val="single" w:sz="8" w:color="231F20"/>
            </w:tcBorders>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100"/>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80" w:type="dxa"/>
            <w:vAlign w:val="bottom"/>
            <w:tcBorders>
              <w:top w:val="single" w:sz="8" w:color="231F20"/>
            </w:tcBorders>
            <w:vMerge w:val="continue"/>
          </w:tcPr>
          <w:p>
            <w:pPr>
              <w:spacing w:after="0"/>
              <w:rPr>
                <w:sz w:val="12"/>
                <w:szCs w:val="12"/>
                <w:color w:val="auto"/>
              </w:rPr>
            </w:pPr>
          </w:p>
        </w:tc>
        <w:tc>
          <w:tcPr>
            <w:tcW w:w="1640" w:type="dxa"/>
            <w:vAlign w:val="bottom"/>
            <w:tcBorders>
              <w:top w:val="single" w:sz="8" w:color="231F20"/>
            </w:tcBorders>
            <w:gridSpan w:val="3"/>
            <w:vMerge w:val="continue"/>
          </w:tcPr>
          <w:p>
            <w:pPr>
              <w:spacing w:after="0"/>
              <w:rPr>
                <w:sz w:val="12"/>
                <w:szCs w:val="12"/>
                <w:color w:val="auto"/>
              </w:rPr>
            </w:pPr>
          </w:p>
        </w:tc>
        <w:tc>
          <w:tcPr>
            <w:tcW w:w="148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tabs>
          <w:tab w:leader="none" w:pos="1240" w:val="left"/>
          <w:tab w:leader="none" w:pos="2540" w:val="left"/>
          <w:tab w:leader="none" w:pos="404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001-14195</w:t>
      </w:r>
      <w:r>
        <w:rPr>
          <w:sz w:val="20"/>
          <w:szCs w:val="20"/>
          <w:color w:val="auto"/>
        </w:rPr>
        <w:tab/>
      </w:r>
      <w:r>
        <w:rPr>
          <w:rFonts w:ascii="Times New Roman" w:cs="Times New Roman" w:eastAsia="Times New Roman" w:hAnsi="Times New Roman"/>
          <w:sz w:val="20"/>
          <w:szCs w:val="20"/>
          <w:color w:val="231F20"/>
        </w:rPr>
        <w:t>May 2, 2018</w:t>
      </w:r>
      <w:r>
        <w:rPr>
          <w:sz w:val="20"/>
          <w:szCs w:val="20"/>
          <w:color w:val="auto"/>
        </w:rPr>
        <w:tab/>
      </w:r>
      <w:r>
        <w:rPr>
          <w:rFonts w:ascii="Times New Roman" w:cs="Times New Roman" w:eastAsia="Times New Roman" w:hAnsi="Times New Roman"/>
          <w:sz w:val="19"/>
          <w:szCs w:val="19"/>
          <w:color w:val="231F20"/>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231F20"/>
        </w:rPr>
        <w:t>April 26,</w:t>
      </w:r>
    </w:p>
    <w:p>
      <w:pPr>
        <w:ind w:left="240"/>
        <w:spacing w:after="0"/>
        <w:tabs>
          <w:tab w:leader="none" w:pos="1240" w:val="left"/>
          <w:tab w:leader="none" w:pos="2840" w:val="left"/>
          <w:tab w:leader="none" w:pos="404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001-14195</w:t>
      </w:r>
      <w:r>
        <w:rPr>
          <w:sz w:val="20"/>
          <w:szCs w:val="20"/>
          <w:color w:val="auto"/>
        </w:rPr>
        <w:tab/>
      </w:r>
      <w:r>
        <w:rPr>
          <w:rFonts w:ascii="Times New Roman" w:cs="Times New Roman" w:eastAsia="Times New Roman" w:hAnsi="Times New Roman"/>
          <w:sz w:val="20"/>
          <w:szCs w:val="20"/>
          <w:color w:val="231F20"/>
        </w:rPr>
        <w:t>2023</w:t>
      </w:r>
      <w:r>
        <w:rPr>
          <w:sz w:val="20"/>
          <w:szCs w:val="20"/>
          <w:color w:val="auto"/>
        </w:rPr>
        <w:tab/>
      </w:r>
      <w:r>
        <w:rPr>
          <w:rFonts w:ascii="Times New Roman" w:cs="Times New Roman" w:eastAsia="Times New Roman" w:hAnsi="Times New Roman"/>
          <w:sz w:val="19"/>
          <w:szCs w:val="19"/>
          <w:color w:val="231F20"/>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40"/>
        <w:spacing w:after="0"/>
        <w:tabs>
          <w:tab w:leader="none" w:pos="1240" w:val="left"/>
          <w:tab w:leader="none" w:pos="2540" w:val="left"/>
          <w:tab w:leader="none" w:pos="404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001-14195</w:t>
      </w:r>
      <w:r>
        <w:rPr>
          <w:sz w:val="20"/>
          <w:szCs w:val="20"/>
          <w:color w:val="auto"/>
        </w:rPr>
        <w:tab/>
      </w:r>
      <w:r>
        <w:rPr>
          <w:rFonts w:ascii="Times New Roman" w:cs="Times New Roman" w:eastAsia="Times New Roman" w:hAnsi="Times New Roman"/>
          <w:sz w:val="20"/>
          <w:szCs w:val="20"/>
          <w:color w:val="231F20"/>
        </w:rPr>
        <w:t>May 2, 2018</w:t>
      </w:r>
      <w:r>
        <w:rPr>
          <w:sz w:val="20"/>
          <w:szCs w:val="20"/>
          <w:color w:val="auto"/>
        </w:rPr>
        <w:tab/>
      </w:r>
      <w:r>
        <w:rPr>
          <w:rFonts w:ascii="Times New Roman" w:cs="Times New Roman" w:eastAsia="Times New Roman" w:hAnsi="Times New Roman"/>
          <w:sz w:val="19"/>
          <w:szCs w:val="19"/>
          <w:color w:val="231F20"/>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10-Q</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April 26,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45"/>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April 2,</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2001</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ectPr>
          <w:pgSz w:w="11880" w:h="15480" w:orient="portrait"/>
          <w:cols w:equalWidth="0" w:num="2">
            <w:col w:w="5360" w:space="300"/>
            <w:col w:w="4600"/>
          </w:cols>
          <w:pgMar w:left="820" w:top="588" w:right="800" w:bottom="0" w:gutter="0" w:footer="0" w:header="0"/>
        </w:sectPr>
      </w:pPr>
    </w:p>
    <w:tbl>
      <w:tblPr>
        <w:tblLayout w:type="fixed"/>
        <w:tblInd w:w="0" w:type="dxa"/>
        <w:tblCellMar>
          <w:top w:w="0" w:type="dxa"/>
          <w:left w:w="0" w:type="dxa"/>
          <w:bottom w:w="0" w:type="dxa"/>
          <w:right w:w="0" w:type="dxa"/>
        </w:tblCellMar>
      </w:tblPr>
      <w:tr>
        <w:trPr>
          <w:trHeight w:val="230"/>
        </w:trPr>
        <w:tc>
          <w:tcPr>
            <w:tcW w:w="74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10.24</w:t>
            </w:r>
          </w:p>
        </w:tc>
        <w:tc>
          <w:tcPr>
            <w:tcW w:w="472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Lease and Sublease, dated as of December 14, 2000,</w:t>
            </w:r>
          </w:p>
        </w:tc>
        <w:tc>
          <w:tcPr>
            <w:tcW w:w="126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SpectraSi</w:t>
            </w:r>
          </w:p>
        </w:tc>
        <w:tc>
          <w:tcPr>
            <w:tcW w:w="1380" w:type="dxa"/>
            <w:vAlign w:val="bottom"/>
            <w:shd w:val="clear" w:color="auto" w:fill="E3E4E5"/>
          </w:tcPr>
          <w:p>
            <w:pPr>
              <w:spacing w:after="0"/>
              <w:rPr>
                <w:sz w:val="19"/>
                <w:szCs w:val="19"/>
                <w:color w:val="auto"/>
              </w:rPr>
            </w:pPr>
          </w:p>
        </w:tc>
        <w:tc>
          <w:tcPr>
            <w:tcW w:w="1280" w:type="dxa"/>
            <w:vAlign w:val="bottom"/>
            <w:shd w:val="clear" w:color="auto" w:fill="E3E4E5"/>
          </w:tcPr>
          <w:p>
            <w:pPr>
              <w:spacing w:after="0"/>
              <w:rPr>
                <w:sz w:val="19"/>
                <w:szCs w:val="19"/>
                <w:color w:val="auto"/>
              </w:rPr>
            </w:pPr>
          </w:p>
        </w:tc>
        <w:tc>
          <w:tcPr>
            <w:tcW w:w="88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720" w:type="dxa"/>
            <w:vAlign w:val="bottom"/>
            <w:shd w:val="clear" w:color="auto" w:fill="E3E4E5"/>
          </w:tcPr>
          <w:p>
            <w:pPr>
              <w:ind w:left="240"/>
              <w:spacing w:after="0" w:line="200" w:lineRule="exact"/>
              <w:rPr>
                <w:sz w:val="20"/>
                <w:szCs w:val="20"/>
                <w:color w:val="auto"/>
              </w:rPr>
            </w:pPr>
            <w:r>
              <w:rPr>
                <w:rFonts w:ascii="Times New Roman" w:cs="Times New Roman" w:eastAsia="Times New Roman" w:hAnsi="Times New Roman"/>
                <w:sz w:val="20"/>
                <w:szCs w:val="20"/>
                <w:color w:val="231F20"/>
              </w:rPr>
              <w:t>by and among SBC Tower Holdings LLC, Southern</w:t>
            </w:r>
          </w:p>
        </w:tc>
        <w:tc>
          <w:tcPr>
            <w:tcW w:w="1260" w:type="dxa"/>
            <w:vAlign w:val="bottom"/>
            <w:shd w:val="clear" w:color="auto" w:fill="E3E4E5"/>
          </w:tcPr>
          <w:p>
            <w:pPr>
              <w:jc w:val="center"/>
              <w:spacing w:after="0" w:line="200" w:lineRule="exact"/>
              <w:rPr>
                <w:sz w:val="20"/>
                <w:szCs w:val="20"/>
                <w:color w:val="auto"/>
              </w:rPr>
            </w:pPr>
            <w:r>
              <w:rPr>
                <w:rFonts w:ascii="Times New Roman" w:cs="Times New Roman" w:eastAsia="Times New Roman" w:hAnsi="Times New Roman"/>
                <w:sz w:val="20"/>
                <w:szCs w:val="20"/>
                <w:color w:val="231F20"/>
                <w:w w:val="96"/>
              </w:rPr>
              <w:t>te</w:t>
            </w:r>
          </w:p>
        </w:tc>
        <w:tc>
          <w:tcPr>
            <w:tcW w:w="1380" w:type="dxa"/>
            <w:vAlign w:val="bottom"/>
            <w:shd w:val="clear" w:color="auto" w:fill="E3E4E5"/>
          </w:tcPr>
          <w:p>
            <w:pPr>
              <w:spacing w:after="0"/>
              <w:rPr>
                <w:sz w:val="17"/>
                <w:szCs w:val="17"/>
                <w:color w:val="auto"/>
              </w:rPr>
            </w:pPr>
          </w:p>
        </w:tc>
        <w:tc>
          <w:tcPr>
            <w:tcW w:w="128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720" w:type="dxa"/>
            <w:vAlign w:val="bottom"/>
            <w:shd w:val="clear" w:color="auto" w:fill="E3E4E5"/>
          </w:tcPr>
          <w:p>
            <w:pPr>
              <w:ind w:left="240"/>
              <w:spacing w:after="0" w:line="200" w:lineRule="exact"/>
              <w:rPr>
                <w:sz w:val="20"/>
                <w:szCs w:val="20"/>
                <w:color w:val="auto"/>
              </w:rPr>
            </w:pPr>
            <w:r>
              <w:rPr>
                <w:rFonts w:ascii="Times New Roman" w:cs="Times New Roman" w:eastAsia="Times New Roman" w:hAnsi="Times New Roman"/>
                <w:sz w:val="20"/>
                <w:szCs w:val="20"/>
                <w:color w:val="231F20"/>
              </w:rPr>
              <w:t>Towers, Inc., SBC Wireless, LLC and SpectraSite</w:t>
            </w:r>
          </w:p>
        </w:tc>
        <w:tc>
          <w:tcPr>
            <w:tcW w:w="1260" w:type="dxa"/>
            <w:vAlign w:val="bottom"/>
            <w:shd w:val="clear" w:color="auto" w:fill="E3E4E5"/>
          </w:tcPr>
          <w:p>
            <w:pPr>
              <w:jc w:val="center"/>
              <w:spacing w:after="0" w:line="200" w:lineRule="exact"/>
              <w:rPr>
                <w:sz w:val="20"/>
                <w:szCs w:val="20"/>
                <w:color w:val="auto"/>
              </w:rPr>
            </w:pPr>
            <w:r>
              <w:rPr>
                <w:rFonts w:ascii="Times New Roman" w:cs="Times New Roman" w:eastAsia="Times New Roman" w:hAnsi="Times New Roman"/>
                <w:sz w:val="20"/>
                <w:szCs w:val="20"/>
                <w:color w:val="231F20"/>
                <w:w w:val="99"/>
              </w:rPr>
              <w:t>Holdings,</w:t>
            </w:r>
          </w:p>
        </w:tc>
        <w:tc>
          <w:tcPr>
            <w:tcW w:w="1380" w:type="dxa"/>
            <w:vAlign w:val="bottom"/>
            <w:shd w:val="clear" w:color="auto" w:fill="E3E4E5"/>
          </w:tcPr>
          <w:p>
            <w:pPr>
              <w:spacing w:after="0"/>
              <w:rPr>
                <w:sz w:val="17"/>
                <w:szCs w:val="17"/>
                <w:color w:val="auto"/>
              </w:rPr>
            </w:pPr>
          </w:p>
        </w:tc>
        <w:tc>
          <w:tcPr>
            <w:tcW w:w="128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720" w:type="dxa"/>
            <w:vAlign w:val="bottom"/>
            <w:shd w:val="clear" w:color="auto" w:fill="E3E4E5"/>
          </w:tcPr>
          <w:p>
            <w:pPr>
              <w:ind w:left="240"/>
              <w:spacing w:after="0" w:line="200" w:lineRule="exact"/>
              <w:rPr>
                <w:sz w:val="20"/>
                <w:szCs w:val="20"/>
                <w:color w:val="auto"/>
              </w:rPr>
            </w:pPr>
            <w:r>
              <w:rPr>
                <w:rFonts w:ascii="Times New Roman" w:cs="Times New Roman" w:eastAsia="Times New Roman" w:hAnsi="Times New Roman"/>
                <w:sz w:val="20"/>
                <w:szCs w:val="20"/>
                <w:color w:val="231F20"/>
              </w:rPr>
              <w:t>Holdings, Inc.</w:t>
            </w:r>
          </w:p>
        </w:tc>
        <w:tc>
          <w:tcPr>
            <w:tcW w:w="1260" w:type="dxa"/>
            <w:vAlign w:val="bottom"/>
            <w:shd w:val="clear" w:color="auto" w:fill="E3E4E5"/>
          </w:tcPr>
          <w:p>
            <w:pPr>
              <w:jc w:val="center"/>
              <w:spacing w:after="0" w:line="200" w:lineRule="exact"/>
              <w:rPr>
                <w:sz w:val="20"/>
                <w:szCs w:val="20"/>
                <w:color w:val="auto"/>
              </w:rPr>
            </w:pPr>
            <w:r>
              <w:rPr>
                <w:rFonts w:ascii="Times New Roman" w:cs="Times New Roman" w:eastAsia="Times New Roman" w:hAnsi="Times New Roman"/>
                <w:sz w:val="20"/>
                <w:szCs w:val="20"/>
                <w:color w:val="231F20"/>
                <w:w w:val="98"/>
              </w:rPr>
              <w:t>Inc.</w:t>
            </w:r>
          </w:p>
        </w:tc>
        <w:tc>
          <w:tcPr>
            <w:tcW w:w="1380" w:type="dxa"/>
            <w:vAlign w:val="bottom"/>
            <w:shd w:val="clear" w:color="auto" w:fill="E3E4E5"/>
          </w:tcPr>
          <w:p>
            <w:pPr>
              <w:spacing w:after="0"/>
              <w:rPr>
                <w:sz w:val="17"/>
                <w:szCs w:val="17"/>
                <w:color w:val="auto"/>
              </w:rPr>
            </w:pPr>
          </w:p>
        </w:tc>
        <w:tc>
          <w:tcPr>
            <w:tcW w:w="128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40" w:type="dxa"/>
            <w:vAlign w:val="bottom"/>
            <w:shd w:val="clear" w:color="auto" w:fill="E3E4E5"/>
          </w:tcPr>
          <w:p>
            <w:pPr>
              <w:spacing w:after="0"/>
              <w:rPr>
                <w:sz w:val="15"/>
                <w:szCs w:val="15"/>
                <w:color w:val="auto"/>
              </w:rPr>
            </w:pPr>
          </w:p>
        </w:tc>
        <w:tc>
          <w:tcPr>
            <w:tcW w:w="4720" w:type="dxa"/>
            <w:vAlign w:val="bottom"/>
            <w:shd w:val="clear" w:color="auto" w:fill="E3E4E5"/>
          </w:tcPr>
          <w:p>
            <w:pPr>
              <w:spacing w:after="0"/>
              <w:rPr>
                <w:sz w:val="15"/>
                <w:szCs w:val="15"/>
                <w:color w:val="auto"/>
              </w:rPr>
            </w:pPr>
          </w:p>
        </w:tc>
        <w:tc>
          <w:tcPr>
            <w:tcW w:w="1260" w:type="dxa"/>
            <w:vAlign w:val="bottom"/>
            <w:shd w:val="clear" w:color="auto" w:fill="E3E4E5"/>
          </w:tcPr>
          <w:p>
            <w:pPr>
              <w:jc w:val="center"/>
              <w:spacing w:after="0" w:line="179" w:lineRule="exact"/>
              <w:rPr>
                <w:sz w:val="20"/>
                <w:szCs w:val="20"/>
                <w:color w:val="auto"/>
              </w:rPr>
            </w:pPr>
            <w:r>
              <w:rPr>
                <w:rFonts w:ascii="Times New Roman" w:cs="Times New Roman" w:eastAsia="Times New Roman" w:hAnsi="Times New Roman"/>
                <w:sz w:val="20"/>
                <w:szCs w:val="20"/>
                <w:color w:val="231F20"/>
              </w:rPr>
              <w:t>Quarterly</w:t>
            </w:r>
          </w:p>
        </w:tc>
        <w:tc>
          <w:tcPr>
            <w:tcW w:w="1380" w:type="dxa"/>
            <w:vAlign w:val="bottom"/>
            <w:shd w:val="clear" w:color="auto" w:fill="E3E4E5"/>
          </w:tcPr>
          <w:p>
            <w:pPr>
              <w:spacing w:after="0"/>
              <w:rPr>
                <w:sz w:val="15"/>
                <w:szCs w:val="15"/>
                <w:color w:val="auto"/>
              </w:rPr>
            </w:pPr>
          </w:p>
        </w:tc>
        <w:tc>
          <w:tcPr>
            <w:tcW w:w="1280" w:type="dxa"/>
            <w:vAlign w:val="bottom"/>
            <w:shd w:val="clear" w:color="auto" w:fill="E3E4E5"/>
          </w:tcPr>
          <w:p>
            <w:pPr>
              <w:spacing w:after="0"/>
              <w:rPr>
                <w:sz w:val="15"/>
                <w:szCs w:val="15"/>
                <w:color w:val="auto"/>
              </w:rPr>
            </w:pPr>
          </w:p>
        </w:tc>
        <w:tc>
          <w:tcPr>
            <w:tcW w:w="880" w:type="dxa"/>
            <w:vAlign w:val="bottom"/>
            <w:shd w:val="clear" w:color="auto" w:fill="E3E4E5"/>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720" w:type="dxa"/>
            <w:vAlign w:val="bottom"/>
            <w:shd w:val="clear" w:color="auto" w:fill="E3E4E5"/>
          </w:tcPr>
          <w:p>
            <w:pPr>
              <w:spacing w:after="0"/>
              <w:rPr>
                <w:sz w:val="17"/>
                <w:szCs w:val="17"/>
                <w:color w:val="auto"/>
              </w:rPr>
            </w:pPr>
          </w:p>
        </w:tc>
        <w:tc>
          <w:tcPr>
            <w:tcW w:w="1260" w:type="dxa"/>
            <w:vAlign w:val="bottom"/>
            <w:shd w:val="clear" w:color="auto" w:fill="E3E4E5"/>
          </w:tcPr>
          <w:p>
            <w:pPr>
              <w:jc w:val="center"/>
              <w:spacing w:after="0" w:line="200" w:lineRule="exact"/>
              <w:rPr>
                <w:sz w:val="20"/>
                <w:szCs w:val="20"/>
                <w:color w:val="auto"/>
              </w:rPr>
            </w:pPr>
            <w:r>
              <w:rPr>
                <w:rFonts w:ascii="Times New Roman" w:cs="Times New Roman" w:eastAsia="Times New Roman" w:hAnsi="Times New Roman"/>
                <w:sz w:val="20"/>
                <w:szCs w:val="20"/>
                <w:color w:val="231F20"/>
                <w:w w:val="98"/>
              </w:rPr>
              <w:t>Report on</w:t>
            </w:r>
          </w:p>
        </w:tc>
        <w:tc>
          <w:tcPr>
            <w:tcW w:w="1380" w:type="dxa"/>
            <w:vAlign w:val="bottom"/>
            <w:shd w:val="clear" w:color="auto" w:fill="E3E4E5"/>
          </w:tcPr>
          <w:p>
            <w:pPr>
              <w:spacing w:after="0"/>
              <w:rPr>
                <w:sz w:val="17"/>
                <w:szCs w:val="17"/>
                <w:color w:val="auto"/>
              </w:rPr>
            </w:pPr>
          </w:p>
        </w:tc>
        <w:tc>
          <w:tcPr>
            <w:tcW w:w="1280" w:type="dxa"/>
            <w:vAlign w:val="bottom"/>
            <w:vMerge w:val="restart"/>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8"/>
              </w:rPr>
              <w:t>May 11,</w:t>
            </w: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E3E4E5"/>
          </w:tcPr>
          <w:p>
            <w:pPr>
              <w:spacing w:after="0"/>
              <w:rPr>
                <w:sz w:val="17"/>
                <w:szCs w:val="17"/>
                <w:color w:val="auto"/>
              </w:rPr>
            </w:pPr>
          </w:p>
        </w:tc>
        <w:tc>
          <w:tcPr>
            <w:tcW w:w="4720" w:type="dxa"/>
            <w:vAlign w:val="bottom"/>
            <w:shd w:val="clear" w:color="auto" w:fill="E3E4E5"/>
          </w:tcPr>
          <w:p>
            <w:pPr>
              <w:spacing w:after="0"/>
              <w:rPr>
                <w:sz w:val="17"/>
                <w:szCs w:val="17"/>
                <w:color w:val="auto"/>
              </w:rPr>
            </w:pPr>
          </w:p>
        </w:tc>
        <w:tc>
          <w:tcPr>
            <w:tcW w:w="1260" w:type="dxa"/>
            <w:vAlign w:val="bottom"/>
            <w:shd w:val="clear" w:color="auto" w:fill="E3E4E5"/>
          </w:tcPr>
          <w:p>
            <w:pPr>
              <w:jc w:val="center"/>
              <w:spacing w:after="0" w:line="200" w:lineRule="exact"/>
              <w:rPr>
                <w:sz w:val="20"/>
                <w:szCs w:val="20"/>
                <w:color w:val="auto"/>
              </w:rPr>
            </w:pPr>
            <w:r>
              <w:rPr>
                <w:rFonts w:ascii="Times New Roman" w:cs="Times New Roman" w:eastAsia="Times New Roman" w:hAnsi="Times New Roman"/>
                <w:sz w:val="20"/>
                <w:szCs w:val="20"/>
                <w:color w:val="231F20"/>
                <w:w w:val="98"/>
              </w:rPr>
              <w:t>Form 10-</w:t>
            </w:r>
          </w:p>
        </w:tc>
        <w:tc>
          <w:tcPr>
            <w:tcW w:w="1380" w:type="dxa"/>
            <w:vAlign w:val="bottom"/>
            <w:vMerge w:val="restart"/>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231F20"/>
              </w:rPr>
              <w:t>000-27217</w:t>
            </w:r>
          </w:p>
        </w:tc>
        <w:tc>
          <w:tcPr>
            <w:tcW w:w="1280" w:type="dxa"/>
            <w:vAlign w:val="bottom"/>
            <w:vMerge w:val="continue"/>
            <w:shd w:val="clear" w:color="auto" w:fill="E3E4E5"/>
          </w:tcPr>
          <w:p>
            <w:pPr>
              <w:spacing w:after="0"/>
              <w:rPr>
                <w:sz w:val="17"/>
                <w:szCs w:val="17"/>
                <w:color w:val="auto"/>
              </w:rPr>
            </w:pPr>
          </w:p>
        </w:tc>
        <w:tc>
          <w:tcPr>
            <w:tcW w:w="880" w:type="dxa"/>
            <w:vAlign w:val="bottom"/>
            <w:vMerge w:val="restart"/>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10.2</w:t>
            </w:r>
          </w:p>
        </w:tc>
        <w:tc>
          <w:tcPr>
            <w:tcW w:w="0" w:type="dxa"/>
            <w:vAlign w:val="bottom"/>
          </w:tcPr>
          <w:p>
            <w:pPr>
              <w:spacing w:after="0"/>
              <w:rPr>
                <w:sz w:val="1"/>
                <w:szCs w:val="1"/>
                <w:color w:val="auto"/>
              </w:rPr>
            </w:pPr>
          </w:p>
        </w:tc>
      </w:tr>
      <w:tr>
        <w:trPr>
          <w:trHeight w:val="273"/>
        </w:trPr>
        <w:tc>
          <w:tcPr>
            <w:tcW w:w="740" w:type="dxa"/>
            <w:vAlign w:val="bottom"/>
            <w:shd w:val="clear" w:color="auto" w:fill="E3E4E5"/>
          </w:tcPr>
          <w:p>
            <w:pPr>
              <w:spacing w:after="0"/>
              <w:rPr>
                <w:sz w:val="23"/>
                <w:szCs w:val="23"/>
                <w:color w:val="auto"/>
              </w:rPr>
            </w:pPr>
          </w:p>
        </w:tc>
        <w:tc>
          <w:tcPr>
            <w:tcW w:w="4720" w:type="dxa"/>
            <w:vAlign w:val="bottom"/>
            <w:shd w:val="clear" w:color="auto" w:fill="E3E4E5"/>
          </w:tcPr>
          <w:p>
            <w:pPr>
              <w:spacing w:after="0"/>
              <w:rPr>
                <w:sz w:val="23"/>
                <w:szCs w:val="23"/>
                <w:color w:val="auto"/>
              </w:rPr>
            </w:pPr>
          </w:p>
        </w:tc>
        <w:tc>
          <w:tcPr>
            <w:tcW w:w="126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6"/>
              </w:rPr>
              <w:t>Q</w:t>
            </w:r>
          </w:p>
        </w:tc>
        <w:tc>
          <w:tcPr>
            <w:tcW w:w="1380" w:type="dxa"/>
            <w:vAlign w:val="bottom"/>
            <w:vMerge w:val="continue"/>
            <w:shd w:val="clear" w:color="auto" w:fill="E3E4E5"/>
          </w:tcPr>
          <w:p>
            <w:pPr>
              <w:spacing w:after="0"/>
              <w:rPr>
                <w:sz w:val="23"/>
                <w:szCs w:val="23"/>
                <w:color w:val="auto"/>
              </w:rPr>
            </w:pPr>
          </w:p>
        </w:tc>
        <w:tc>
          <w:tcPr>
            <w:tcW w:w="1280" w:type="dxa"/>
            <w:vAlign w:val="bottom"/>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2001</w:t>
            </w:r>
          </w:p>
        </w:tc>
        <w:tc>
          <w:tcPr>
            <w:tcW w:w="88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880" w:h="15480" w:orient="portrait"/>
          <w:cols w:equalWidth="0" w:num="1">
            <w:col w:w="10260"/>
          </w:cols>
          <w:pgMar w:left="820" w:top="588" w:right="800" w:bottom="0" w:gutter="0" w:footer="0" w:header="0"/>
          <w:type w:val="continuous"/>
        </w:sectPr>
      </w:pPr>
    </w:p>
    <w:p>
      <w:pPr>
        <w:ind w:left="40"/>
        <w:spacing w:after="0"/>
        <w:tabs>
          <w:tab w:leader="none" w:pos="960" w:val="left"/>
        </w:tabs>
        <w:rPr>
          <w:sz w:val="20"/>
          <w:szCs w:val="20"/>
          <w:color w:val="auto"/>
        </w:rPr>
      </w:pPr>
      <w:r>
        <w:rPr>
          <w:rFonts w:ascii="Times New Roman" w:cs="Times New Roman" w:eastAsia="Times New Roman" w:hAnsi="Times New Roman"/>
          <w:sz w:val="20"/>
          <w:szCs w:val="20"/>
          <w:color w:val="231F20"/>
        </w:rPr>
        <w:t>10.25*</w:t>
      </w:r>
      <w:r>
        <w:rPr>
          <w:sz w:val="20"/>
          <w:szCs w:val="20"/>
          <w:color w:val="auto"/>
        </w:rPr>
        <w:tab/>
      </w:r>
      <w:r>
        <w:rPr>
          <w:rFonts w:ascii="Times New Roman" w:cs="Times New Roman" w:eastAsia="Times New Roman" w:hAnsi="Times New Roman"/>
          <w:sz w:val="20"/>
          <w:szCs w:val="20"/>
          <w:color w:val="231F20"/>
        </w:rPr>
        <w:t>Amendment to Lease and Sublease, dated September</w:t>
      </w:r>
    </w:p>
    <w:p>
      <w:pPr>
        <w:ind w:left="980" w:hanging="937"/>
        <w:spacing w:after="0" w:line="222" w:lineRule="auto"/>
        <w:tabs>
          <w:tab w:leader="none" w:pos="980" w:val="left"/>
        </w:tabs>
        <w:numPr>
          <w:ilvl w:val="0"/>
          <w:numId w:val="6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30, 2008, by and between SpectraSite, LLC, American Tower Asset Sub II, LLC, SBC Wireless, LLC and SBC Tower Holdings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83185</wp:posOffset>
                </wp:positionV>
                <wp:extent cx="6514465" cy="35242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52425"/>
                        </a:xfrm>
                        <a:prstGeom prst="rect">
                          <a:avLst/>
                        </a:prstGeom>
                        <a:solidFill>
                          <a:srgbClr val="E3E4E5"/>
                        </a:solidFill>
                      </wps:spPr>
                      <wps:bodyPr/>
                    </wps:wsp>
                  </a:graphicData>
                </a:graphic>
              </wp:anchor>
            </w:drawing>
          </mc:Choice>
          <mc:Fallback>
            <w:pict>
              <v:rect id="Shape 102" o:spid="_x0000_s1127" style="position:absolute;margin-left:-0.4499pt;margin-top:6.55pt;width:512.95pt;height:27.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25" w:lineRule="exact"/>
        <w:rPr>
          <w:sz w:val="20"/>
          <w:szCs w:val="20"/>
          <w:color w:val="auto"/>
        </w:rPr>
      </w:pPr>
    </w:p>
    <w:p>
      <w:pPr>
        <w:ind w:left="980" w:right="440" w:hanging="944"/>
        <w:spacing w:after="0"/>
        <w:tabs>
          <w:tab w:leader="none" w:pos="960" w:val="left"/>
        </w:tabs>
        <w:rPr>
          <w:sz w:val="20"/>
          <w:szCs w:val="20"/>
          <w:color w:val="auto"/>
        </w:rPr>
      </w:pPr>
      <w:r>
        <w:rPr>
          <w:rFonts w:ascii="Times New Roman" w:cs="Times New Roman" w:eastAsia="Times New Roman" w:hAnsi="Times New Roman"/>
          <w:sz w:val="20"/>
          <w:szCs w:val="20"/>
          <w:color w:val="231F20"/>
        </w:rPr>
        <w:t>10.26*</w:t>
      </w:r>
      <w:r>
        <w:rPr>
          <w:sz w:val="20"/>
          <w:szCs w:val="20"/>
          <w:color w:val="auto"/>
        </w:rPr>
        <w:tab/>
      </w:r>
      <w:r>
        <w:rPr>
          <w:rFonts w:ascii="Times New Roman" w:cs="Times New Roman" w:eastAsia="Times New Roman" w:hAnsi="Times New Roman"/>
          <w:sz w:val="20"/>
          <w:szCs w:val="20"/>
          <w:color w:val="231F20"/>
        </w:rPr>
        <w:t>Summary Compensation Information for Current Named Executive Officers</w:t>
      </w:r>
    </w:p>
    <w:p>
      <w:pPr>
        <w:spacing w:after="0" w:line="20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0"/>
          <w:szCs w:val="20"/>
          <w:color w:val="231F20"/>
        </w:rPr>
        <w:t>10.27</w:t>
      </w:r>
      <w:r>
        <w:rPr>
          <w:sz w:val="20"/>
          <w:szCs w:val="20"/>
          <w:color w:val="auto"/>
        </w:rPr>
        <w:tab/>
      </w:r>
      <w:r>
        <w:rPr>
          <w:rFonts w:ascii="Times New Roman" w:cs="Times New Roman" w:eastAsia="Times New Roman" w:hAnsi="Times New Roman"/>
          <w:sz w:val="19"/>
          <w:szCs w:val="19"/>
          <w:color w:val="231F20"/>
        </w:rPr>
        <w:t>Form of Waiver and Termination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72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8, 2009</w:t>
            </w:r>
          </w:p>
        </w:tc>
        <w:tc>
          <w:tcPr>
            <w:tcW w:w="76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7"/>
              </w:rPr>
              <w:t>10.7</w:t>
            </w:r>
          </w:p>
        </w:tc>
        <w:tc>
          <w:tcPr>
            <w:tcW w:w="0" w:type="dxa"/>
            <w:vAlign w:val="bottom"/>
          </w:tcPr>
          <w:p>
            <w:pPr>
              <w:spacing w:after="0"/>
              <w:rPr>
                <w:sz w:val="1"/>
                <w:szCs w:val="1"/>
                <w:color w:val="auto"/>
              </w:rPr>
            </w:pPr>
          </w:p>
        </w:tc>
      </w:tr>
      <w:tr>
        <w:trPr>
          <w:trHeight w:val="400"/>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5,</w:t>
            </w:r>
          </w:p>
        </w:tc>
        <w:tc>
          <w:tcPr>
            <w:tcW w:w="7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Item</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2025</w:t>
            </w:r>
          </w:p>
        </w:tc>
        <w:tc>
          <w:tcPr>
            <w:tcW w:w="76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5.02(e)</w:t>
            </w:r>
          </w:p>
        </w:tc>
        <w:tc>
          <w:tcPr>
            <w:tcW w:w="0" w:type="dxa"/>
            <w:vAlign w:val="bottom"/>
          </w:tcPr>
          <w:p>
            <w:pPr>
              <w:spacing w:after="0"/>
              <w:rPr>
                <w:sz w:val="1"/>
                <w:szCs w:val="1"/>
                <w:color w:val="auto"/>
              </w:rPr>
            </w:pPr>
          </w:p>
        </w:tc>
      </w:tr>
      <w:tr>
        <w:trPr>
          <w:trHeight w:val="325"/>
        </w:trPr>
        <w:tc>
          <w:tcPr>
            <w:tcW w:w="7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231F20"/>
                <w:w w:val="96"/>
              </w:rPr>
              <w:t>8-K</w:t>
            </w:r>
          </w:p>
        </w:tc>
        <w:tc>
          <w:tcPr>
            <w:tcW w:w="138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001-14195</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5,</w:t>
            </w:r>
          </w:p>
        </w:tc>
        <w:tc>
          <w:tcPr>
            <w:tcW w:w="76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231F20"/>
                <w:w w:val="97"/>
              </w:rPr>
              <w:t>10.4</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2009</w:t>
            </w: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360" w:space="540"/>
            <w:col w:w="4360"/>
          </w:cols>
          <w:pgMar w:left="820" w:top="58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260"/>
          </w:cols>
          <w:pgMar w:left="820" w:top="588" w:right="800" w:bottom="0" w:gutter="0" w:footer="0" w:header="0"/>
          <w:type w:val="continuous"/>
        </w:sectPr>
      </w:pPr>
    </w:p>
    <w:bookmarkStart w:id="84" w:name="page85"/>
    <w:bookmarkEnd w:id="84"/>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540" w:type="dxa"/>
            <w:vAlign w:val="bottom"/>
          </w:tcPr>
          <w:p>
            <w:pPr>
              <w:spacing w:after="0"/>
              <w:rPr>
                <w:sz w:val="16"/>
                <w:szCs w:val="16"/>
                <w:color w:val="auto"/>
              </w:rPr>
            </w:pPr>
          </w:p>
        </w:tc>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Borders>
              <w:top w:val="single" w:sz="8" w:color="231F20"/>
            </w:tcBorders>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Borders>
              <w:top w:val="single" w:sz="8" w:color="231F20"/>
            </w:tcBorders>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10.28*</w:t>
            </w: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American Tower Corporation Severance Plan, as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Amended and Restated, as of January 1, 2024</w:t>
            </w:r>
          </w:p>
        </w:tc>
        <w:tc>
          <w:tcPr>
            <w:tcW w:w="0" w:type="dxa"/>
            <w:vAlign w:val="bottom"/>
          </w:tcPr>
          <w:p>
            <w:pPr>
              <w:spacing w:after="0"/>
              <w:rPr>
                <w:sz w:val="1"/>
                <w:szCs w:val="1"/>
                <w:color w:val="auto"/>
              </w:rPr>
            </w:pPr>
          </w:p>
        </w:tc>
      </w:tr>
      <w:tr>
        <w:trPr>
          <w:trHeight w:val="40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10.29*</w:t>
            </w: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American Tower Corporation Severance Plan,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3"/>
          </w:tcPr>
          <w:p>
            <w:pPr>
              <w:ind w:left="200"/>
              <w:spacing w:after="0" w:line="200" w:lineRule="exact"/>
              <w:rPr>
                <w:sz w:val="20"/>
                <w:szCs w:val="20"/>
                <w:color w:val="auto"/>
              </w:rPr>
            </w:pPr>
            <w:r>
              <w:rPr>
                <w:rFonts w:ascii="Times New Roman" w:cs="Times New Roman" w:eastAsia="Times New Roman" w:hAnsi="Times New Roman"/>
                <w:sz w:val="20"/>
                <w:szCs w:val="20"/>
                <w:color w:val="231F20"/>
              </w:rPr>
              <w:t>Program for Executive Vice Presidents and Chief</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Executive Officer, as of January 1, 2024</w:t>
            </w:r>
          </w:p>
        </w:tc>
        <w:tc>
          <w:tcPr>
            <w:tcW w:w="0" w:type="dxa"/>
            <w:vAlign w:val="bottom"/>
          </w:tcPr>
          <w:p>
            <w:pPr>
              <w:spacing w:after="0"/>
              <w:rPr>
                <w:sz w:val="1"/>
                <w:szCs w:val="1"/>
                <w:color w:val="auto"/>
              </w:rPr>
            </w:pPr>
          </w:p>
        </w:tc>
      </w:tr>
      <w:tr>
        <w:trPr>
          <w:trHeight w:val="38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10.30*</w:t>
            </w: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99"/>
              </w:rPr>
              <w:t>Letter Agreement, dated as of January 3, 2025, by and</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between the Company and Eugene M. Noel</w:t>
            </w:r>
          </w:p>
        </w:tc>
        <w:tc>
          <w:tcPr>
            <w:tcW w:w="0" w:type="dxa"/>
            <w:vAlign w:val="bottom"/>
          </w:tcPr>
          <w:p>
            <w:pPr>
              <w:spacing w:after="0"/>
              <w:rPr>
                <w:sz w:val="1"/>
                <w:szCs w:val="1"/>
                <w:color w:val="auto"/>
              </w:rPr>
            </w:pPr>
          </w:p>
        </w:tc>
      </w:tr>
      <w:tr>
        <w:trPr>
          <w:trHeight w:val="31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10.31*</w:t>
            </w: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w w:val="99"/>
              </w:rPr>
              <w:t>Letter Agreement, dated as of January 3, 2025, by and</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between the Company and Richard Rossi</w:t>
            </w:r>
          </w:p>
        </w:tc>
        <w:tc>
          <w:tcPr>
            <w:tcW w:w="0" w:type="dxa"/>
            <w:vAlign w:val="bottom"/>
          </w:tcPr>
          <w:p>
            <w:pPr>
              <w:spacing w:after="0"/>
              <w:rPr>
                <w:sz w:val="1"/>
                <w:szCs w:val="1"/>
                <w:color w:val="auto"/>
              </w:rPr>
            </w:pPr>
          </w:p>
        </w:tc>
      </w:tr>
      <w:tr>
        <w:trPr>
          <w:trHeight w:val="460"/>
        </w:trPr>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10.32*</w:t>
            </w: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Letter Agreement, dated as of January 26, 2026, by</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and between the Company and Paul Blanchett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-2072005</wp:posOffset>
                </wp:positionV>
                <wp:extent cx="6514465" cy="35242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52425"/>
                        </a:xfrm>
                        <a:prstGeom prst="rect">
                          <a:avLst/>
                        </a:prstGeom>
                        <a:solidFill>
                          <a:srgbClr val="E3E4E5"/>
                        </a:solidFill>
                      </wps:spPr>
                      <wps:bodyPr/>
                    </wps:wsp>
                  </a:graphicData>
                </a:graphic>
              </wp:anchor>
            </w:drawing>
          </mc:Choice>
          <mc:Fallback>
            <w:pict>
              <v:rect id="Shape 103" o:spid="_x0000_s1128" style="position:absolute;margin-left:-2.4499pt;margin-top:-163.1499pt;width:512.95pt;height:27.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-1119505</wp:posOffset>
                </wp:positionV>
                <wp:extent cx="6514465" cy="29527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95275"/>
                        </a:xfrm>
                        <a:prstGeom prst="rect">
                          <a:avLst/>
                        </a:prstGeom>
                        <a:solidFill>
                          <a:srgbClr val="E3E4E5"/>
                        </a:solidFill>
                      </wps:spPr>
                      <wps:bodyPr/>
                    </wps:wsp>
                  </a:graphicData>
                </a:graphic>
              </wp:anchor>
            </w:drawing>
          </mc:Choice>
          <mc:Fallback>
            <w:pict>
              <v:rect id="Shape 104" o:spid="_x0000_s1129" style="position:absolute;margin-left:-2.4499pt;margin-top:-88.1499pt;width:512.95pt;height:2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-300355</wp:posOffset>
                </wp:positionV>
                <wp:extent cx="6514465" cy="69469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694690"/>
                        </a:xfrm>
                        <a:prstGeom prst="rect">
                          <a:avLst/>
                        </a:prstGeom>
                        <a:solidFill>
                          <a:srgbClr val="E3E4E5"/>
                        </a:solidFill>
                      </wps:spPr>
                      <wps:bodyPr/>
                    </wps:wsp>
                  </a:graphicData>
                </a:graphic>
              </wp:anchor>
            </w:drawing>
          </mc:Choice>
          <mc:Fallback>
            <w:pict>
              <v:rect id="Shape 105" o:spid="_x0000_s1130" style="position:absolute;margin-left:-2.4499pt;margin-top:-23.6499pt;width:512.95pt;height:5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7"/>
              </w:rPr>
              <w:t>10.33</w:t>
            </w: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Third Amended and Restated Multicurrency</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w w:val="99"/>
              </w:rPr>
              <w:t>Revolving Credit Agreement, dated as of December 8,</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2021, among the Company and certain of its</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subsidiaries, as Borrower, Toronto Dominion (Texas)</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LLC, as Administrative Agent and Swingline Lender,</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BofA Securities, Inc., TD Securities (USA) LLC,</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Mizuho Bank, Ltd., Barclays Bank PLC, Citibank,</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N.A., JPMorgan Chase Bank, N.A., RBC Capital</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Markets and Morgan Stanley MUFG Loan Partners,</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LLC, as Joint Lead Arrangers and Joint Bookrunners,</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Mizuho Bank, Ltd., as Syndication Agent, and BofA</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Securities, Inc., Barclays Bank PLC, Citibank, N.A,</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JPMorgan Chase Bank, N.A., Royal Bank of Canada</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and Morgan Stanley MUFG Loan Partners, LLC, as</w:t>
            </w:r>
          </w:p>
        </w:tc>
      </w:tr>
      <w:tr>
        <w:trPr>
          <w:trHeight w:val="260"/>
        </w:trPr>
        <w:tc>
          <w:tcPr>
            <w:tcW w:w="700" w:type="dxa"/>
            <w:vAlign w:val="bottom"/>
          </w:tcPr>
          <w:p>
            <w:pPr>
              <w:spacing w:after="0"/>
              <w:rPr>
                <w:sz w:val="22"/>
                <w:szCs w:val="22"/>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Co-Documentation Agents</w:t>
            </w:r>
          </w:p>
        </w:tc>
      </w:tr>
      <w:tr>
        <w:trPr>
          <w:trHeight w:val="331"/>
        </w:trPr>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7"/>
              </w:rPr>
              <w:t>10.34</w:t>
            </w: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Amendment No. 1 to the Third Amended and Restated</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Multicurrency Revolving Credit Agreement, dated as</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of June 29, 2023, among the Company and certain of</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its subsidiaries as borrowers, Toronto Dominion</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(Texas) LLC, as administrative agent, and a majority</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of lenders under the Third Amended and Restated</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Multicurrency Revolving Credit Agreement, dated as</w:t>
            </w:r>
          </w:p>
        </w:tc>
      </w:tr>
      <w:tr>
        <w:trPr>
          <w:trHeight w:val="260"/>
        </w:trPr>
        <w:tc>
          <w:tcPr>
            <w:tcW w:w="700" w:type="dxa"/>
            <w:vAlign w:val="bottom"/>
          </w:tcPr>
          <w:p>
            <w:pPr>
              <w:spacing w:after="0"/>
              <w:rPr>
                <w:sz w:val="22"/>
                <w:szCs w:val="22"/>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of December 8, 2021</w:t>
            </w:r>
          </w:p>
        </w:tc>
      </w:tr>
      <w:tr>
        <w:trPr>
          <w:trHeight w:val="310"/>
        </w:trPr>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7"/>
              </w:rPr>
              <w:t>10.35</w:t>
            </w: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Notice of Benchmark Replacement and Amendment</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No. 2, dated as of June 27, 2024, to the Third</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Amended and Restated Multicurrency Revolving</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Credit Agreement, among the Company and certain of</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its subsidiaries as borrowers, Toronto Dominion</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(Texas) LLC, as administrative agent, and a majority</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of lenders under the Third Amended and Restated</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Multicurrency Revolving Credit Agreement, dated</w:t>
            </w:r>
          </w:p>
        </w:tc>
      </w:tr>
      <w:tr>
        <w:trPr>
          <w:trHeight w:val="260"/>
        </w:trPr>
        <w:tc>
          <w:tcPr>
            <w:tcW w:w="700" w:type="dxa"/>
            <w:vAlign w:val="bottom"/>
          </w:tcPr>
          <w:p>
            <w:pPr>
              <w:spacing w:after="0"/>
              <w:rPr>
                <w:sz w:val="22"/>
                <w:szCs w:val="22"/>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December 8, 2021, as further amended</w:t>
            </w:r>
          </w:p>
        </w:tc>
      </w:tr>
      <w:tr>
        <w:trPr>
          <w:trHeight w:val="320"/>
        </w:trPr>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97"/>
              </w:rPr>
              <w:t>10.36</w:t>
            </w: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Amendment No. 3 to the Third Amended and Restated</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Multicurrency Revolving Credit Agreement, dated as</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of January 28, 2025, among the Company and certain</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of its subsidiaries as borrowers, Toronto Dominion</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(Texas) LLC, as administrative agent, and a majority</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of lenders under the Third Amended and Restated</w:t>
            </w:r>
          </w:p>
        </w:tc>
      </w:tr>
      <w:tr>
        <w:trPr>
          <w:trHeight w:val="200"/>
        </w:trPr>
        <w:tc>
          <w:tcPr>
            <w:tcW w:w="700" w:type="dxa"/>
            <w:vAlign w:val="bottom"/>
          </w:tcPr>
          <w:p>
            <w:pPr>
              <w:spacing w:after="0"/>
              <w:rPr>
                <w:sz w:val="17"/>
                <w:szCs w:val="17"/>
                <w:color w:val="auto"/>
              </w:rPr>
            </w:pPr>
          </w:p>
        </w:tc>
        <w:tc>
          <w:tcPr>
            <w:tcW w:w="46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231F20"/>
              </w:rPr>
              <w:t>Multicurrency Revolving Credit Agreement, dated as</w:t>
            </w:r>
          </w:p>
        </w:tc>
      </w:tr>
      <w:tr>
        <w:trPr>
          <w:trHeight w:val="260"/>
        </w:trPr>
        <w:tc>
          <w:tcPr>
            <w:tcW w:w="700" w:type="dxa"/>
            <w:vAlign w:val="bottom"/>
          </w:tcPr>
          <w:p>
            <w:pPr>
              <w:spacing w:after="0"/>
              <w:rPr>
                <w:sz w:val="22"/>
                <w:szCs w:val="22"/>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of December 8, 2021, as further amended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-3443605</wp:posOffset>
                </wp:positionV>
                <wp:extent cx="6514465" cy="105727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057275"/>
                        </a:xfrm>
                        <a:prstGeom prst="rect">
                          <a:avLst/>
                        </a:prstGeom>
                        <a:solidFill>
                          <a:srgbClr val="E3E4E5"/>
                        </a:solidFill>
                      </wps:spPr>
                      <wps:bodyPr/>
                    </wps:wsp>
                  </a:graphicData>
                </a:graphic>
              </wp:anchor>
            </w:drawing>
          </mc:Choice>
          <mc:Fallback>
            <w:pict>
              <v:rect id="Shape 106" o:spid="_x0000_s1131" style="position:absolute;margin-left:-2.4499pt;margin-top:-271.1499pt;width:512.95pt;height:8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-1062355</wp:posOffset>
                </wp:positionV>
                <wp:extent cx="6514465" cy="105727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057275"/>
                        </a:xfrm>
                        <a:prstGeom prst="rect">
                          <a:avLst/>
                        </a:prstGeom>
                        <a:solidFill>
                          <a:srgbClr val="E3E4E5"/>
                        </a:solidFill>
                      </wps:spPr>
                      <wps:bodyPr/>
                    </wps:wsp>
                  </a:graphicData>
                </a:graphic>
              </wp:anchor>
            </w:drawing>
          </mc:Choice>
          <mc:Fallback>
            <w:pict>
              <v:rect id="Shape 107" o:spid="_x0000_s1132" style="position:absolute;margin-left:-2.4499pt;margin-top:-83.6499pt;width:512.95pt;height:8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40" w:type="dxa"/>
            <w:vAlign w:val="bottom"/>
            <w:tcBorders>
              <w:top w:val="single" w:sz="8" w:color="231F20"/>
            </w:tcBorders>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320" w:type="dxa"/>
            <w:vAlign w:val="bottom"/>
            <w:tcBorders>
              <w:top w:val="single" w:sz="8" w:color="231F20"/>
            </w:tcBorders>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400" w:type="dxa"/>
            <w:vAlign w:val="bottom"/>
            <w:tcBorders>
              <w:top w:val="single" w:sz="8" w:color="231F20"/>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84"/>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40" w:type="dxa"/>
            <w:vAlign w:val="bottom"/>
            <w:tcBorders>
              <w:top w:val="single" w:sz="8" w:color="231F20"/>
            </w:tcBorders>
            <w:gridSpan w:val="3"/>
            <w:vMerge w:val="continue"/>
          </w:tcPr>
          <w:p>
            <w:pPr>
              <w:spacing w:after="0"/>
              <w:rPr>
                <w:sz w:val="12"/>
                <w:szCs w:val="12"/>
                <w:color w:val="auto"/>
              </w:rPr>
            </w:pPr>
          </w:p>
        </w:tc>
        <w:tc>
          <w:tcPr>
            <w:tcW w:w="1320" w:type="dxa"/>
            <w:vAlign w:val="bottom"/>
            <w:tcBorders>
              <w:top w:val="single" w:sz="8" w:color="231F20"/>
            </w:tcBorders>
            <w:gridSpan w:val="3"/>
            <w:vMerge w:val="continue"/>
          </w:tcPr>
          <w:p>
            <w:pPr>
              <w:spacing w:after="0"/>
              <w:rPr>
                <w:sz w:val="12"/>
                <w:szCs w:val="12"/>
                <w:color w:val="auto"/>
              </w:rPr>
            </w:pPr>
          </w:p>
        </w:tc>
        <w:tc>
          <w:tcPr>
            <w:tcW w:w="140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10-K</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February</w:t>
            </w:r>
          </w:p>
        </w:tc>
        <w:tc>
          <w:tcPr>
            <w:tcW w:w="760" w:type="dxa"/>
            <w:vAlign w:val="bottom"/>
            <w:gridSpan w:val="4"/>
            <w:vMerge w:val="restart"/>
          </w:tcPr>
          <w:p>
            <w:pPr>
              <w:jc w:val="center"/>
              <w:ind w:left="84"/>
              <w:spacing w:after="0"/>
              <w:rPr>
                <w:sz w:val="20"/>
                <w:szCs w:val="20"/>
                <w:color w:val="auto"/>
              </w:rPr>
            </w:pPr>
            <w:r>
              <w:rPr>
                <w:rFonts w:ascii="Times New Roman" w:cs="Times New Roman" w:eastAsia="Times New Roman" w:hAnsi="Times New Roman"/>
                <w:sz w:val="20"/>
                <w:szCs w:val="20"/>
                <w:color w:val="231F20"/>
              </w:rPr>
              <w:t>10.28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40" w:type="dxa"/>
            <w:vAlign w:val="bottom"/>
            <w:gridSpan w:val="3"/>
            <w:vMerge w:val="continue"/>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1180" w:type="dxa"/>
            <w:vAlign w:val="bottom"/>
            <w:gridSpan w:val="2"/>
          </w:tcPr>
          <w:p>
            <w:pPr>
              <w:jc w:val="center"/>
              <w:ind w:left="144"/>
              <w:spacing w:after="0"/>
              <w:rPr>
                <w:sz w:val="20"/>
                <w:szCs w:val="20"/>
                <w:color w:val="auto"/>
              </w:rPr>
            </w:pPr>
            <w:r>
              <w:rPr>
                <w:rFonts w:ascii="Times New Roman" w:cs="Times New Roman" w:eastAsia="Times New Roman" w:hAnsi="Times New Roman"/>
                <w:sz w:val="20"/>
                <w:szCs w:val="20"/>
                <w:color w:val="231F20"/>
                <w:w w:val="99"/>
              </w:rPr>
              <w:t>27, 2024</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10-K</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February</w:t>
            </w:r>
          </w:p>
        </w:tc>
        <w:tc>
          <w:tcPr>
            <w:tcW w:w="760" w:type="dxa"/>
            <w:vAlign w:val="bottom"/>
            <w:gridSpan w:val="4"/>
            <w:vMerge w:val="restart"/>
          </w:tcPr>
          <w:p>
            <w:pPr>
              <w:jc w:val="center"/>
              <w:ind w:left="84"/>
              <w:spacing w:after="0"/>
              <w:rPr>
                <w:sz w:val="20"/>
                <w:szCs w:val="20"/>
                <w:color w:val="auto"/>
              </w:rPr>
            </w:pPr>
            <w:r>
              <w:rPr>
                <w:rFonts w:ascii="Times New Roman" w:cs="Times New Roman" w:eastAsia="Times New Roman" w:hAnsi="Times New Roman"/>
                <w:sz w:val="20"/>
                <w:szCs w:val="20"/>
                <w:color w:val="231F20"/>
              </w:rPr>
              <w:t>10.29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40" w:type="dxa"/>
            <w:vAlign w:val="bottom"/>
            <w:gridSpan w:val="3"/>
            <w:vMerge w:val="continue"/>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1180" w:type="dxa"/>
            <w:vAlign w:val="bottom"/>
            <w:gridSpan w:val="2"/>
          </w:tcPr>
          <w:p>
            <w:pPr>
              <w:jc w:val="center"/>
              <w:ind w:left="144"/>
              <w:spacing w:after="0"/>
              <w:rPr>
                <w:sz w:val="20"/>
                <w:szCs w:val="20"/>
                <w:color w:val="auto"/>
              </w:rPr>
            </w:pPr>
            <w:r>
              <w:rPr>
                <w:rFonts w:ascii="Times New Roman" w:cs="Times New Roman" w:eastAsia="Times New Roman" w:hAnsi="Times New Roman"/>
                <w:sz w:val="20"/>
                <w:szCs w:val="20"/>
                <w:color w:val="231F20"/>
                <w:w w:val="99"/>
              </w:rPr>
              <w:t>27, 2024</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10-K</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February</w:t>
            </w:r>
          </w:p>
        </w:tc>
        <w:tc>
          <w:tcPr>
            <w:tcW w:w="760" w:type="dxa"/>
            <w:vAlign w:val="bottom"/>
            <w:gridSpan w:val="4"/>
            <w:vMerge w:val="restart"/>
          </w:tcPr>
          <w:p>
            <w:pPr>
              <w:jc w:val="center"/>
              <w:ind w:left="84"/>
              <w:spacing w:after="0"/>
              <w:rPr>
                <w:sz w:val="20"/>
                <w:szCs w:val="20"/>
                <w:color w:val="auto"/>
              </w:rPr>
            </w:pPr>
            <w:r>
              <w:rPr>
                <w:rFonts w:ascii="Times New Roman" w:cs="Times New Roman" w:eastAsia="Times New Roman" w:hAnsi="Times New Roman"/>
                <w:sz w:val="20"/>
                <w:szCs w:val="20"/>
                <w:color w:val="231F20"/>
              </w:rPr>
              <w:t>10.31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40" w:type="dxa"/>
            <w:vAlign w:val="bottom"/>
            <w:gridSpan w:val="3"/>
            <w:vMerge w:val="continue"/>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1180" w:type="dxa"/>
            <w:vAlign w:val="bottom"/>
            <w:gridSpan w:val="2"/>
          </w:tcPr>
          <w:p>
            <w:pPr>
              <w:jc w:val="center"/>
              <w:ind w:left="144"/>
              <w:spacing w:after="0"/>
              <w:rPr>
                <w:sz w:val="20"/>
                <w:szCs w:val="20"/>
                <w:color w:val="auto"/>
              </w:rPr>
            </w:pPr>
            <w:r>
              <w:rPr>
                <w:rFonts w:ascii="Times New Roman" w:cs="Times New Roman" w:eastAsia="Times New Roman" w:hAnsi="Times New Roman"/>
                <w:sz w:val="20"/>
                <w:szCs w:val="20"/>
                <w:color w:val="231F20"/>
                <w:w w:val="99"/>
              </w:rPr>
              <w:t>25, 2025</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10-K</w:t>
            </w: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February</w:t>
            </w:r>
          </w:p>
        </w:tc>
        <w:tc>
          <w:tcPr>
            <w:tcW w:w="760" w:type="dxa"/>
            <w:vAlign w:val="bottom"/>
            <w:gridSpan w:val="4"/>
            <w:vMerge w:val="restart"/>
          </w:tcPr>
          <w:p>
            <w:pPr>
              <w:jc w:val="center"/>
              <w:ind w:left="84"/>
              <w:spacing w:after="0"/>
              <w:rPr>
                <w:sz w:val="20"/>
                <w:szCs w:val="20"/>
                <w:color w:val="auto"/>
              </w:rPr>
            </w:pPr>
            <w:r>
              <w:rPr>
                <w:rFonts w:ascii="Times New Roman" w:cs="Times New Roman" w:eastAsia="Times New Roman" w:hAnsi="Times New Roman"/>
                <w:sz w:val="20"/>
                <w:szCs w:val="20"/>
                <w:color w:val="231F20"/>
              </w:rPr>
              <w:t>10.32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40" w:type="dxa"/>
            <w:vAlign w:val="bottom"/>
            <w:gridSpan w:val="3"/>
            <w:vMerge w:val="continue"/>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1180" w:type="dxa"/>
            <w:vAlign w:val="bottom"/>
            <w:gridSpan w:val="2"/>
          </w:tcPr>
          <w:p>
            <w:pPr>
              <w:jc w:val="center"/>
              <w:ind w:left="144"/>
              <w:spacing w:after="0"/>
              <w:rPr>
                <w:sz w:val="20"/>
                <w:szCs w:val="20"/>
                <w:color w:val="auto"/>
              </w:rPr>
            </w:pPr>
            <w:r>
              <w:rPr>
                <w:rFonts w:ascii="Times New Roman" w:cs="Times New Roman" w:eastAsia="Times New Roman" w:hAnsi="Times New Roman"/>
                <w:sz w:val="20"/>
                <w:szCs w:val="20"/>
                <w:color w:val="231F20"/>
                <w:w w:val="99"/>
              </w:rPr>
              <w:t>25, 2025</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231F20"/>
              </w:rPr>
              <w:t>Filed</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40" w:type="dxa"/>
            <w:vAlign w:val="bottom"/>
            <w:gridSpan w:val="3"/>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780" w:type="dxa"/>
            <w:vAlign w:val="bottom"/>
            <w:gridSpan w:val="2"/>
          </w:tcPr>
          <w:p>
            <w:pPr>
              <w:jc w:val="center"/>
              <w:ind w:right="40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0" w:type="dxa"/>
            <w:vAlign w:val="bottom"/>
            <w:gridSpan w:val="3"/>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400" w:type="dxa"/>
            <w:vAlign w:val="bottom"/>
          </w:tcPr>
          <w:p>
            <w:pPr>
              <w:spacing w:after="0"/>
              <w:rPr>
                <w:sz w:val="17"/>
                <w:szCs w:val="17"/>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20"/>
                <w:szCs w:val="20"/>
                <w:color w:val="231F20"/>
                <w:w w:val="99"/>
              </w:rPr>
              <w:t>—</w:t>
            </w:r>
          </w:p>
        </w:tc>
        <w:tc>
          <w:tcPr>
            <w:tcW w:w="240" w:type="dxa"/>
            <w:vAlign w:val="bottom"/>
          </w:tcPr>
          <w:p>
            <w:pPr>
              <w:spacing w:after="0"/>
              <w:rPr>
                <w:sz w:val="17"/>
                <w:szCs w:val="17"/>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231F20"/>
              </w:rPr>
              <w:t>10.32</w:t>
            </w:r>
          </w:p>
        </w:tc>
        <w:tc>
          <w:tcPr>
            <w:tcW w:w="40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10.29</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25, 2022</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231F20"/>
        </w:rPr>
        <w:t>July 27,</w:t>
      </w:r>
    </w:p>
    <w:p>
      <w:pPr>
        <w:ind w:left="240"/>
        <w:spacing w:after="0"/>
        <w:tabs>
          <w:tab w:leader="none" w:pos="1240" w:val="left"/>
          <w:tab w:leader="none" w:pos="2840" w:val="left"/>
          <w:tab w:leader="none" w:pos="404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001-14195</w:t>
      </w:r>
      <w:r>
        <w:rPr>
          <w:sz w:val="20"/>
          <w:szCs w:val="20"/>
          <w:color w:val="auto"/>
        </w:rPr>
        <w:tab/>
      </w:r>
      <w:r>
        <w:rPr>
          <w:rFonts w:ascii="Times New Roman" w:cs="Times New Roman" w:eastAsia="Times New Roman" w:hAnsi="Times New Roman"/>
          <w:sz w:val="20"/>
          <w:szCs w:val="20"/>
          <w:color w:val="231F20"/>
        </w:rPr>
        <w:t>2023</w:t>
      </w:r>
      <w:r>
        <w:rPr>
          <w:sz w:val="20"/>
          <w:szCs w:val="20"/>
          <w:color w:val="auto"/>
        </w:rPr>
        <w:tab/>
      </w:r>
      <w:r>
        <w:rPr>
          <w:rFonts w:ascii="Times New Roman" w:cs="Times New Roman" w:eastAsia="Times New Roman" w:hAnsi="Times New Roman"/>
          <w:sz w:val="19"/>
          <w:szCs w:val="19"/>
          <w:color w:val="231F20"/>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231F20"/>
        </w:rPr>
        <w:t>July 30,</w:t>
      </w:r>
    </w:p>
    <w:p>
      <w:pPr>
        <w:ind w:left="240"/>
        <w:spacing w:after="0"/>
        <w:tabs>
          <w:tab w:leader="none" w:pos="1240" w:val="left"/>
          <w:tab w:leader="none" w:pos="2840" w:val="left"/>
          <w:tab w:leader="none" w:pos="404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001-14195</w:t>
      </w:r>
      <w:r>
        <w:rPr>
          <w:sz w:val="20"/>
          <w:szCs w:val="20"/>
          <w:color w:val="auto"/>
        </w:rPr>
        <w:tab/>
      </w:r>
      <w:r>
        <w:rPr>
          <w:rFonts w:ascii="Times New Roman" w:cs="Times New Roman" w:eastAsia="Times New Roman" w:hAnsi="Times New Roman"/>
          <w:sz w:val="20"/>
          <w:szCs w:val="20"/>
          <w:color w:val="231F20"/>
        </w:rPr>
        <w:t>2024</w:t>
      </w:r>
      <w:r>
        <w:rPr>
          <w:sz w:val="20"/>
          <w:szCs w:val="20"/>
          <w:color w:val="auto"/>
        </w:rPr>
        <w:tab/>
      </w:r>
      <w:r>
        <w:rPr>
          <w:rFonts w:ascii="Times New Roman" w:cs="Times New Roman" w:eastAsia="Times New Roman" w:hAnsi="Times New Roman"/>
          <w:sz w:val="19"/>
          <w:szCs w:val="19"/>
          <w:color w:val="231F20"/>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10.36</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25, 2025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ectPr>
          <w:pgSz w:w="11880" w:h="15480" w:orient="portrait"/>
          <w:cols w:equalWidth="0" w:num="2">
            <w:col w:w="5320" w:space="300"/>
            <w:col w:w="4600"/>
          </w:cols>
          <w:pgMar w:left="860" w:top="58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220"/>
          </w:cols>
          <w:pgMar w:left="860" w:top="588" w:right="800" w:bottom="0" w:gutter="0" w:footer="0" w:header="0"/>
          <w:type w:val="continuous"/>
        </w:sectPr>
      </w:pPr>
    </w:p>
    <w:bookmarkStart w:id="85" w:name="page86"/>
    <w:bookmarkEnd w:id="85"/>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6"/>
                <w:szCs w:val="16"/>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10.37</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Fourth Amended and Restated Revolving Credit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Agreement, dated as of December 8, 2021, among the</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Company, as Borrowers, Toronto Dominion (Texas)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LLC, as Administrative Agent and Swingline Lender,</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BofA Securities, Inc., TD Securities (USA) LLC,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Mizuho Bank, Ltd., Barclays Bank PLC, Citibank,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 JPMorgan Chase Bank, N.A., RBC Capital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Markets and Morgan Stanley MUFG Loan Partners,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LLC, as Joint Lead Arrangers and Joint Bookrunners,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Mizuho Bank, Ltd., as Syndication Agent, and BofA</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Securities, Inc., Barclays Bank PLC, Citibank, N.A,</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JPMorgan Chase Bank, N.A., Royal Bank of Canada</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Morgan Stanley MUFG Loan Partners, LLC, as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Co-Documentation Agents</w:t>
            </w:r>
          </w:p>
        </w:tc>
        <w:tc>
          <w:tcPr>
            <w:tcW w:w="0" w:type="dxa"/>
            <w:vAlign w:val="bottom"/>
          </w:tcPr>
          <w:p>
            <w:pPr>
              <w:spacing w:after="0"/>
              <w:rPr>
                <w:sz w:val="1"/>
                <w:szCs w:val="1"/>
                <w:color w:val="auto"/>
              </w:rPr>
            </w:pPr>
          </w:p>
        </w:tc>
      </w:tr>
      <w:tr>
        <w:trPr>
          <w:trHeight w:val="331"/>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10.38</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Amendment No. 1 to the Fourth Amended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Restated Revolving Credit Agreement, dated as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June 29, 2023, among the Company and certain of its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subsidiaries as borrowers, Toronto Dominion (Texas)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LLC, as administrative agent, and a majority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lenders under the Fourth Amended and Restated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Revolving Credit Agreement, dated as of December 8,</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2021</w:t>
            </w:r>
          </w:p>
        </w:tc>
        <w:tc>
          <w:tcPr>
            <w:tcW w:w="1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10.39</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Amendment No. 2 to the Fourth Amended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Restated Revolving Credit Agreement, dated as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January 28, 2025, among the Company and certain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its subsidiaries as borrowers, Toronto Dominion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(Texas) LLC, as administrative agent, and a majority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of lenders under the Fourth Amended and Restated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Revolving Credit Agreement, dated as of December 8,</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2021, as further amended</w:t>
            </w:r>
          </w:p>
        </w:tc>
        <w:tc>
          <w:tcPr>
            <w:tcW w:w="0" w:type="dxa"/>
            <w:vAlign w:val="bottom"/>
          </w:tcPr>
          <w:p>
            <w:pPr>
              <w:spacing w:after="0"/>
              <w:rPr>
                <w:sz w:val="1"/>
                <w:szCs w:val="1"/>
                <w:color w:val="auto"/>
              </w:rPr>
            </w:pPr>
          </w:p>
        </w:tc>
      </w:tr>
      <w:tr>
        <w:trPr>
          <w:trHeight w:val="32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10.40</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Second Amended and Restated Term Loan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Agreement, dated as of December 8, 2021, among the</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Company, as Borrower, Mizuho Bank, Ltd., 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Administrative Agent; TD Securities (USA) LLC, as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Syndication Agent, Bank of America, N.A., Barclays</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PLC, Citibank, N.A, JPMorgan Chase Bank,</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N.A., Morgan Stanley MUFG Loan Partners, LLC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and Royal Bank of Canada as Co-Documentation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Agents, Mizuho Bank, Ltd., TD Securities (USA)</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LLC, Barclays Bank PLC, BofA Securities, Inc.,</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Citibank, N.A., JPMorgan Chase Bank, N.A., Morgan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Stanley MUFG Loan Partners, LLC and RBC Capital</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Markets as Joint Lead Arrangers and Joint</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Bookrunners, and the several other lenders that are</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parties thereto</w:t>
            </w:r>
          </w:p>
        </w:tc>
        <w:tc>
          <w:tcPr>
            <w:tcW w:w="0" w:type="dxa"/>
            <w:vAlign w:val="bottom"/>
          </w:tcPr>
          <w:p>
            <w:pPr>
              <w:spacing w:after="0"/>
              <w:rPr>
                <w:sz w:val="1"/>
                <w:szCs w:val="1"/>
                <w:color w:val="auto"/>
              </w:rPr>
            </w:pPr>
          </w:p>
        </w:tc>
      </w:tr>
      <w:tr>
        <w:trPr>
          <w:trHeight w:val="29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10.41</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Amendment No. 1 to the Second Amended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Restated Term Loan Agreement, dated as of June 29,</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2023, among the Company, as borrower, Mizuho</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Ltd., as administrative agent, and a majority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the lenders under the Second Amended and Restated</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Term Loan Agreement, dated as of December 8, 2021</w:t>
            </w:r>
          </w:p>
        </w:tc>
        <w:tc>
          <w:tcPr>
            <w:tcW w:w="0" w:type="dxa"/>
            <w:vAlign w:val="bottom"/>
          </w:tcPr>
          <w:p>
            <w:pPr>
              <w:spacing w:after="0"/>
              <w:rPr>
                <w:sz w:val="1"/>
                <w:szCs w:val="1"/>
                <w:color w:val="auto"/>
              </w:rPr>
            </w:pPr>
          </w:p>
        </w:tc>
      </w:tr>
      <w:tr>
        <w:trPr>
          <w:trHeight w:val="41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10.42</w:t>
            </w: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Amendment No. 2 to the Second Amended and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Restated Term Loan Agreement, dated as of January</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28, 2025, among the Company, as borrower, Mizuho</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Bank, Ltd., as administrative agent, and a majority of</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rPr>
              <w:t>the lenders under the Second Amended and Restated</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Term Loan Agreement, dated as of December 8, 2021,</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as further amended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-6126480</wp:posOffset>
                </wp:positionV>
                <wp:extent cx="6514465" cy="105727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057275"/>
                        </a:xfrm>
                        <a:prstGeom prst="rect">
                          <a:avLst/>
                        </a:prstGeom>
                        <a:solidFill>
                          <a:srgbClr val="E3E4E5"/>
                        </a:solidFill>
                      </wps:spPr>
                      <wps:bodyPr/>
                    </wps:wsp>
                  </a:graphicData>
                </a:graphic>
              </wp:anchor>
            </w:drawing>
          </mc:Choice>
          <mc:Fallback>
            <w:pict>
              <v:rect id="Shape 108" o:spid="_x0000_s1133" style="position:absolute;margin-left:-2.4499pt;margin-top:-482.3999pt;width:512.95pt;height:8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-3869055</wp:posOffset>
                </wp:positionV>
                <wp:extent cx="6514465" cy="193357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33575"/>
                        </a:xfrm>
                        <a:prstGeom prst="rect">
                          <a:avLst/>
                        </a:prstGeom>
                        <a:solidFill>
                          <a:srgbClr val="E3E4E5"/>
                        </a:solidFill>
                      </wps:spPr>
                      <wps:bodyPr/>
                    </wps:wsp>
                  </a:graphicData>
                </a:graphic>
              </wp:anchor>
            </w:drawing>
          </mc:Choice>
          <mc:Fallback>
            <w:pict>
              <v:rect id="Shape 109" o:spid="_x0000_s1134" style="position:absolute;margin-left:-2.4499pt;margin-top:-304.6499pt;width:512.95pt;height:15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-935355</wp:posOffset>
                </wp:positionV>
                <wp:extent cx="6514465" cy="94234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942340"/>
                        </a:xfrm>
                        <a:prstGeom prst="rect">
                          <a:avLst/>
                        </a:prstGeom>
                        <a:solidFill>
                          <a:srgbClr val="E3E4E5"/>
                        </a:solidFill>
                      </wps:spPr>
                      <wps:bodyPr/>
                    </wps:wsp>
                  </a:graphicData>
                </a:graphic>
              </wp:anchor>
            </w:drawing>
          </mc:Choice>
          <mc:Fallback>
            <w:pict>
              <v:rect id="Shape 110" o:spid="_x0000_s1135" style="position:absolute;margin-left:-2.4499pt;margin-top:-73.6499pt;width:512.95pt;height:7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vMerge w:val="restart"/>
          </w:tcPr>
          <w:p>
            <w:pPr>
              <w:spacing w:after="0"/>
              <w:rPr>
                <w:sz w:val="20"/>
                <w:szCs w:val="20"/>
                <w:color w:val="auto"/>
              </w:rPr>
            </w:pPr>
            <w:r>
              <w:rPr>
                <w:rFonts w:ascii="Times New Roman" w:cs="Times New Roman" w:eastAsia="Times New Roman" w:hAnsi="Times New Roman"/>
                <w:sz w:val="16"/>
                <w:szCs w:val="16"/>
                <w:b w:val="1"/>
                <w:bCs w:val="1"/>
                <w:color w:val="231F20"/>
                <w:w w:val="94"/>
              </w:rPr>
              <w:t>Form</w:t>
            </w:r>
          </w:p>
        </w:tc>
        <w:tc>
          <w:tcPr>
            <w:tcW w:w="1640" w:type="dxa"/>
            <w:vAlign w:val="bottom"/>
            <w:tcBorders>
              <w:top w:val="single" w:sz="8" w:color="231F20"/>
            </w:tcBorders>
            <w:gridSpan w:val="3"/>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480" w:type="dxa"/>
            <w:vAlign w:val="bottom"/>
            <w:tcBorders>
              <w:top w:val="single" w:sz="8" w:color="231F20"/>
            </w:tcBorders>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100"/>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80" w:type="dxa"/>
            <w:vAlign w:val="bottom"/>
            <w:tcBorders>
              <w:top w:val="single" w:sz="8" w:color="231F20"/>
            </w:tcBorders>
            <w:vMerge w:val="continue"/>
          </w:tcPr>
          <w:p>
            <w:pPr>
              <w:spacing w:after="0"/>
              <w:rPr>
                <w:sz w:val="12"/>
                <w:szCs w:val="12"/>
                <w:color w:val="auto"/>
              </w:rPr>
            </w:pPr>
          </w:p>
        </w:tc>
        <w:tc>
          <w:tcPr>
            <w:tcW w:w="1640" w:type="dxa"/>
            <w:vAlign w:val="bottom"/>
            <w:tcBorders>
              <w:top w:val="single" w:sz="8" w:color="231F20"/>
            </w:tcBorders>
            <w:gridSpan w:val="3"/>
            <w:vMerge w:val="continue"/>
          </w:tcPr>
          <w:p>
            <w:pPr>
              <w:spacing w:after="0"/>
              <w:rPr>
                <w:sz w:val="12"/>
                <w:szCs w:val="12"/>
                <w:color w:val="auto"/>
              </w:rPr>
            </w:pPr>
          </w:p>
        </w:tc>
        <w:tc>
          <w:tcPr>
            <w:tcW w:w="148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10.30</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25, 2022</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231F20"/>
        </w:rPr>
        <w:t>July 27,</w:t>
      </w:r>
    </w:p>
    <w:p>
      <w:pPr>
        <w:ind w:left="240"/>
        <w:spacing w:after="0"/>
        <w:tabs>
          <w:tab w:leader="none" w:pos="1240" w:val="left"/>
          <w:tab w:leader="none" w:pos="2840" w:val="left"/>
          <w:tab w:leader="none" w:pos="404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001-14195</w:t>
      </w:r>
      <w:r>
        <w:rPr>
          <w:sz w:val="20"/>
          <w:szCs w:val="20"/>
          <w:color w:val="auto"/>
        </w:rPr>
        <w:tab/>
      </w:r>
      <w:r>
        <w:rPr>
          <w:rFonts w:ascii="Times New Roman" w:cs="Times New Roman" w:eastAsia="Times New Roman" w:hAnsi="Times New Roman"/>
          <w:sz w:val="20"/>
          <w:szCs w:val="20"/>
          <w:color w:val="231F20"/>
        </w:rPr>
        <w:t>2023</w:t>
      </w:r>
      <w:r>
        <w:rPr>
          <w:sz w:val="20"/>
          <w:szCs w:val="20"/>
          <w:color w:val="auto"/>
        </w:rPr>
        <w:tab/>
      </w:r>
      <w:r>
        <w:rPr>
          <w:rFonts w:ascii="Times New Roman" w:cs="Times New Roman" w:eastAsia="Times New Roman" w:hAnsi="Times New Roman"/>
          <w:sz w:val="19"/>
          <w:szCs w:val="19"/>
          <w:color w:val="231F20"/>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10.39</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25, 2025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rPr>
              <w:t>10.31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25, 2022</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10-Q</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July 27,</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w w:val="97"/>
              </w:rPr>
              <w:t>10.1</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2023</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330"/>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46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rPr>
              <w:t>10.42</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25, 2025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ectPr>
          <w:pgSz w:w="11880" w:h="15480" w:orient="portrait"/>
          <w:cols w:equalWidth="0" w:num="2">
            <w:col w:w="5320" w:space="300"/>
            <w:col w:w="4600"/>
          </w:cols>
          <w:pgMar w:left="860" w:top="58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220"/>
          </w:cols>
          <w:pgMar w:left="860" w:top="588" w:right="800" w:bottom="0" w:gutter="0" w:footer="0" w:header="0"/>
          <w:type w:val="continuous"/>
        </w:sectPr>
      </w:pPr>
    </w:p>
    <w:bookmarkStart w:id="86" w:name="page87"/>
    <w:bookmarkEnd w:id="86"/>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740" w:type="dxa"/>
            <w:vAlign w:val="bottom"/>
          </w:tcPr>
          <w:p>
            <w:pPr>
              <w:spacing w:after="0"/>
              <w:rPr>
                <w:sz w:val="16"/>
                <w:szCs w:val="16"/>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Description of Document</w:t>
            </w:r>
          </w:p>
        </w:tc>
        <w:tc>
          <w:tcPr>
            <w:tcW w:w="0" w:type="dxa"/>
            <w:vAlign w:val="bottom"/>
          </w:tcPr>
          <w:p>
            <w:pPr>
              <w:spacing w:after="0"/>
              <w:rPr>
                <w:sz w:val="1"/>
                <w:szCs w:val="1"/>
                <w:color w:val="auto"/>
              </w:rPr>
            </w:pPr>
          </w:p>
        </w:tc>
      </w:tr>
      <w:tr>
        <w:trPr>
          <w:trHeight w:val="140"/>
        </w:trPr>
        <w:tc>
          <w:tcPr>
            <w:tcW w:w="24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shd w:val="clear" w:color="auto" w:fill="231F2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10.43</w:t>
            </w:r>
          </w:p>
        </w:tc>
        <w:tc>
          <w:tcPr>
            <w:tcW w:w="45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Master Agreement, dated as of February 5, 2015,</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20" w:type="dxa"/>
            <w:vAlign w:val="bottom"/>
            <w:gridSpan w:val="3"/>
          </w:tcPr>
          <w:p>
            <w:pPr>
              <w:ind w:left="400"/>
              <w:spacing w:after="0" w:line="200" w:lineRule="exact"/>
              <w:rPr>
                <w:sz w:val="20"/>
                <w:szCs w:val="20"/>
                <w:color w:val="auto"/>
              </w:rPr>
            </w:pPr>
            <w:r>
              <w:rPr>
                <w:rFonts w:ascii="Times New Roman" w:cs="Times New Roman" w:eastAsia="Times New Roman" w:hAnsi="Times New Roman"/>
                <w:sz w:val="20"/>
                <w:szCs w:val="20"/>
                <w:color w:val="231F20"/>
                <w:w w:val="99"/>
              </w:rPr>
              <w:t>among the Company and Verizon Communications</w:t>
            </w:r>
          </w:p>
        </w:tc>
        <w:tc>
          <w:tcPr>
            <w:tcW w:w="0" w:type="dxa"/>
            <w:vAlign w:val="bottom"/>
          </w:tcPr>
          <w:p>
            <w:pPr>
              <w:spacing w:after="0"/>
              <w:rPr>
                <w:sz w:val="1"/>
                <w:szCs w:val="1"/>
                <w:color w:val="auto"/>
              </w:rPr>
            </w:pPr>
          </w:p>
        </w:tc>
      </w:tr>
      <w:tr>
        <w:trPr>
          <w:trHeight w:val="260"/>
        </w:trPr>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5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231F20"/>
              </w:rPr>
              <w:t>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60" w:type="dxa"/>
            <w:vAlign w:val="bottom"/>
            <w:tcBorders>
              <w:top w:val="single" w:sz="8" w:color="231F20"/>
            </w:tcBorders>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400" w:type="dxa"/>
            <w:vAlign w:val="bottom"/>
            <w:tcBorders>
              <w:top w:val="single" w:sz="8" w:color="231F20"/>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 No.</w:t>
            </w:r>
          </w:p>
        </w:tc>
        <w:tc>
          <w:tcPr>
            <w:tcW w:w="1400" w:type="dxa"/>
            <w:vAlign w:val="bottom"/>
            <w:tcBorders>
              <w:top w:val="single" w:sz="8" w:color="231F20"/>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90"/>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231F20"/>
            </w:tcBorders>
            <w:gridSpan w:val="3"/>
            <w:vMerge w:val="continue"/>
          </w:tcPr>
          <w:p>
            <w:pPr>
              <w:spacing w:after="0"/>
              <w:rPr>
                <w:sz w:val="12"/>
                <w:szCs w:val="12"/>
                <w:color w:val="auto"/>
              </w:rPr>
            </w:pPr>
          </w:p>
        </w:tc>
        <w:tc>
          <w:tcPr>
            <w:tcW w:w="1400" w:type="dxa"/>
            <w:vAlign w:val="bottom"/>
            <w:tcBorders>
              <w:top w:val="single" w:sz="8" w:color="231F20"/>
            </w:tcBorders>
            <w:gridSpan w:val="3"/>
            <w:vMerge w:val="continue"/>
          </w:tcPr>
          <w:p>
            <w:pPr>
              <w:spacing w:after="0"/>
              <w:rPr>
                <w:sz w:val="12"/>
                <w:szCs w:val="12"/>
                <w:color w:val="auto"/>
              </w:rPr>
            </w:pPr>
          </w:p>
        </w:tc>
        <w:tc>
          <w:tcPr>
            <w:tcW w:w="140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60" w:type="dxa"/>
            <w:vAlign w:val="bottom"/>
            <w:gridSpan w:val="3"/>
            <w:vMerge w:val="restart"/>
          </w:tcPr>
          <w:p>
            <w:pPr>
              <w:ind w:left="240"/>
              <w:spacing w:after="0"/>
              <w:rPr>
                <w:sz w:val="20"/>
                <w:szCs w:val="20"/>
                <w:color w:val="auto"/>
              </w:rPr>
            </w:pPr>
            <w:r>
              <w:rPr>
                <w:rFonts w:ascii="Times New Roman" w:cs="Times New Roman" w:eastAsia="Times New Roman" w:hAnsi="Times New Roman"/>
                <w:sz w:val="20"/>
                <w:szCs w:val="20"/>
                <w:color w:val="231F20"/>
              </w:rPr>
              <w:t>10-K</w:t>
            </w:r>
          </w:p>
        </w:tc>
        <w:tc>
          <w:tcPr>
            <w:tcW w:w="14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231F20"/>
              </w:rPr>
              <w:t>001-14195</w:t>
            </w:r>
          </w:p>
        </w:tc>
        <w:tc>
          <w:tcPr>
            <w:tcW w:w="2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February</w:t>
            </w:r>
          </w:p>
        </w:tc>
        <w:tc>
          <w:tcPr>
            <w:tcW w:w="760" w:type="dxa"/>
            <w:vAlign w:val="bottom"/>
            <w:gridSpan w:val="4"/>
            <w:vMerge w:val="restart"/>
          </w:tcPr>
          <w:p>
            <w:pPr>
              <w:jc w:val="center"/>
              <w:ind w:left="90"/>
              <w:spacing w:after="0"/>
              <w:rPr>
                <w:sz w:val="20"/>
                <w:szCs w:val="20"/>
                <w:color w:val="auto"/>
              </w:rPr>
            </w:pPr>
            <w:r>
              <w:rPr>
                <w:rFonts w:ascii="Times New Roman" w:cs="Times New Roman" w:eastAsia="Times New Roman" w:hAnsi="Times New Roman"/>
                <w:sz w:val="20"/>
                <w:szCs w:val="20"/>
                <w:color w:val="231F20"/>
              </w:rPr>
              <w:t>10.45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60" w:type="dxa"/>
            <w:vAlign w:val="bottom"/>
            <w:gridSpan w:val="3"/>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1180" w:type="dxa"/>
            <w:vAlign w:val="bottom"/>
            <w:gridSpan w:val="2"/>
          </w:tcPr>
          <w:p>
            <w:pPr>
              <w:jc w:val="center"/>
              <w:ind w:left="150"/>
              <w:spacing w:after="0"/>
              <w:rPr>
                <w:sz w:val="20"/>
                <w:szCs w:val="20"/>
                <w:color w:val="auto"/>
              </w:rPr>
            </w:pPr>
            <w:r>
              <w:rPr>
                <w:rFonts w:ascii="Times New Roman" w:cs="Times New Roman" w:eastAsia="Times New Roman" w:hAnsi="Times New Roman"/>
                <w:sz w:val="20"/>
                <w:szCs w:val="20"/>
                <w:color w:val="231F20"/>
                <w:w w:val="99"/>
              </w:rPr>
              <w:t>24, 2015</w:t>
            </w:r>
          </w:p>
        </w:tc>
        <w:tc>
          <w:tcPr>
            <w:tcW w:w="220" w:type="dxa"/>
            <w:vAlign w:val="bottom"/>
          </w:tcPr>
          <w:p>
            <w:pPr>
              <w:spacing w:after="0"/>
              <w:rPr>
                <w:sz w:val="22"/>
                <w:szCs w:val="22"/>
                <w:color w:val="auto"/>
              </w:rPr>
            </w:pPr>
          </w:p>
        </w:tc>
        <w:tc>
          <w:tcPr>
            <w:tcW w:w="760" w:type="dxa"/>
            <w:vAlign w:val="bottom"/>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ectPr>
          <w:pgSz w:w="11880" w:h="15480" w:orient="portrait"/>
          <w:cols w:equalWidth="0" w:num="2">
            <w:col w:w="5100" w:space="560"/>
            <w:col w:w="4600"/>
          </w:cols>
          <w:pgMar w:left="820" w:top="588" w:right="800" w:bottom="0" w:gutter="0" w:footer="0" w:header="0"/>
        </w:sectPr>
      </w:pPr>
    </w:p>
    <w:tbl>
      <w:tblPr>
        <w:tblLayout w:type="fixed"/>
        <w:tblInd w:w="0" w:type="dxa"/>
        <w:tblCellMar>
          <w:top w:w="0" w:type="dxa"/>
          <w:left w:w="0" w:type="dxa"/>
          <w:bottom w:w="0" w:type="dxa"/>
          <w:right w:w="0" w:type="dxa"/>
        </w:tblCellMar>
      </w:tblPr>
      <w:tr>
        <w:trPr>
          <w:trHeight w:val="230"/>
        </w:trPr>
        <w:tc>
          <w:tcPr>
            <w:tcW w:w="740" w:type="dxa"/>
            <w:vAlign w:val="bottom"/>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10.44</w:t>
            </w:r>
          </w:p>
        </w:tc>
        <w:tc>
          <w:tcPr>
            <w:tcW w:w="47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Master Prepaid Lease, dated as of March 27, 2015,</w:t>
            </w:r>
          </w:p>
        </w:tc>
        <w:tc>
          <w:tcPr>
            <w:tcW w:w="1140" w:type="dxa"/>
            <w:vAlign w:val="bottom"/>
            <w:shd w:val="clear" w:color="auto" w:fill="E3E4E5"/>
          </w:tcPr>
          <w:p>
            <w:pPr>
              <w:spacing w:after="0"/>
              <w:rPr>
                <w:sz w:val="19"/>
                <w:szCs w:val="19"/>
                <w:color w:val="auto"/>
              </w:rPr>
            </w:pPr>
          </w:p>
        </w:tc>
        <w:tc>
          <w:tcPr>
            <w:tcW w:w="1460" w:type="dxa"/>
            <w:vAlign w:val="bottom"/>
            <w:shd w:val="clear" w:color="auto" w:fill="E3E4E5"/>
          </w:tcPr>
          <w:p>
            <w:pPr>
              <w:spacing w:after="0"/>
              <w:rPr>
                <w:sz w:val="19"/>
                <w:szCs w:val="19"/>
                <w:color w:val="auto"/>
              </w:rPr>
            </w:pPr>
          </w:p>
        </w:tc>
        <w:tc>
          <w:tcPr>
            <w:tcW w:w="1320" w:type="dxa"/>
            <w:vAlign w:val="bottom"/>
            <w:shd w:val="clear" w:color="auto" w:fill="E3E4E5"/>
          </w:tcPr>
          <w:p>
            <w:pPr>
              <w:spacing w:after="0"/>
              <w:rPr>
                <w:sz w:val="19"/>
                <w:szCs w:val="19"/>
                <w:color w:val="auto"/>
              </w:rPr>
            </w:pPr>
          </w:p>
        </w:tc>
        <w:tc>
          <w:tcPr>
            <w:tcW w:w="860" w:type="dxa"/>
            <w:vAlign w:val="bottom"/>
            <w:shd w:val="clear" w:color="auto" w:fill="E3E4E5"/>
          </w:tcPr>
          <w:p>
            <w:pPr>
              <w:spacing w:after="0"/>
              <w:rPr>
                <w:sz w:val="19"/>
                <w:szCs w:val="19"/>
                <w:color w:val="auto"/>
              </w:rPr>
            </w:pPr>
          </w:p>
        </w:tc>
      </w:tr>
      <w:tr>
        <w:trPr>
          <w:trHeight w:val="222"/>
        </w:trPr>
        <w:tc>
          <w:tcPr>
            <w:tcW w:w="740" w:type="dxa"/>
            <w:vAlign w:val="bottom"/>
            <w:shd w:val="clear" w:color="auto" w:fill="E3E4E5"/>
          </w:tcPr>
          <w:p>
            <w:pPr>
              <w:spacing w:after="0"/>
              <w:rPr>
                <w:sz w:val="19"/>
                <w:szCs w:val="19"/>
                <w:color w:val="auto"/>
              </w:rPr>
            </w:pPr>
          </w:p>
        </w:tc>
        <w:tc>
          <w:tcPr>
            <w:tcW w:w="4740" w:type="dxa"/>
            <w:vAlign w:val="bottom"/>
            <w:shd w:val="clear" w:color="auto" w:fill="E3E4E5"/>
          </w:tcPr>
          <w:p>
            <w:pPr>
              <w:ind w:left="240"/>
              <w:spacing w:after="0" w:line="222" w:lineRule="exact"/>
              <w:rPr>
                <w:sz w:val="20"/>
                <w:szCs w:val="20"/>
                <w:color w:val="auto"/>
              </w:rPr>
            </w:pPr>
            <w:r>
              <w:rPr>
                <w:rFonts w:ascii="Times New Roman" w:cs="Times New Roman" w:eastAsia="Times New Roman" w:hAnsi="Times New Roman"/>
                <w:sz w:val="20"/>
                <w:szCs w:val="20"/>
                <w:color w:val="231F20"/>
              </w:rPr>
              <w:t>among certain subsidiaries of the Company and</w:t>
            </w:r>
          </w:p>
        </w:tc>
        <w:tc>
          <w:tcPr>
            <w:tcW w:w="1140" w:type="dxa"/>
            <w:vAlign w:val="bottom"/>
            <w:shd w:val="clear" w:color="auto" w:fill="E3E4E5"/>
          </w:tcPr>
          <w:p>
            <w:pPr>
              <w:spacing w:after="0"/>
              <w:rPr>
                <w:sz w:val="19"/>
                <w:szCs w:val="19"/>
                <w:color w:val="auto"/>
              </w:rPr>
            </w:pPr>
          </w:p>
        </w:tc>
        <w:tc>
          <w:tcPr>
            <w:tcW w:w="1460" w:type="dxa"/>
            <w:vAlign w:val="bottom"/>
            <w:shd w:val="clear" w:color="auto" w:fill="E3E4E5"/>
          </w:tcPr>
          <w:p>
            <w:pPr>
              <w:spacing w:after="0"/>
              <w:rPr>
                <w:sz w:val="19"/>
                <w:szCs w:val="19"/>
                <w:color w:val="auto"/>
              </w:rPr>
            </w:pPr>
          </w:p>
        </w:tc>
        <w:tc>
          <w:tcPr>
            <w:tcW w:w="1320" w:type="dxa"/>
            <w:vAlign w:val="bottom"/>
            <w:shd w:val="clear" w:color="auto" w:fill="E3E4E5"/>
          </w:tcPr>
          <w:p>
            <w:pPr>
              <w:jc w:val="center"/>
              <w:spacing w:after="0" w:line="222" w:lineRule="exact"/>
              <w:rPr>
                <w:sz w:val="20"/>
                <w:szCs w:val="20"/>
                <w:color w:val="auto"/>
              </w:rPr>
            </w:pPr>
            <w:r>
              <w:rPr>
                <w:rFonts w:ascii="Times New Roman" w:cs="Times New Roman" w:eastAsia="Times New Roman" w:hAnsi="Times New Roman"/>
                <w:sz w:val="20"/>
                <w:szCs w:val="20"/>
                <w:color w:val="231F20"/>
                <w:w w:val="99"/>
              </w:rPr>
              <w:t>April 30,</w:t>
            </w:r>
          </w:p>
        </w:tc>
        <w:tc>
          <w:tcPr>
            <w:tcW w:w="860" w:type="dxa"/>
            <w:vAlign w:val="bottom"/>
            <w:shd w:val="clear" w:color="auto" w:fill="E3E4E5"/>
          </w:tcPr>
          <w:p>
            <w:pPr>
              <w:spacing w:after="0"/>
              <w:rPr>
                <w:sz w:val="19"/>
                <w:szCs w:val="19"/>
                <w:color w:val="auto"/>
              </w:rPr>
            </w:pPr>
          </w:p>
        </w:tc>
      </w:tr>
      <w:tr>
        <w:trPr>
          <w:trHeight w:val="300"/>
        </w:trPr>
        <w:tc>
          <w:tcPr>
            <w:tcW w:w="740" w:type="dxa"/>
            <w:vAlign w:val="bottom"/>
            <w:shd w:val="clear" w:color="auto" w:fill="E3E4E5"/>
          </w:tcPr>
          <w:p>
            <w:pPr>
              <w:spacing w:after="0"/>
              <w:rPr>
                <w:sz w:val="24"/>
                <w:szCs w:val="24"/>
                <w:color w:val="auto"/>
              </w:rPr>
            </w:pPr>
          </w:p>
        </w:tc>
        <w:tc>
          <w:tcPr>
            <w:tcW w:w="4740" w:type="dxa"/>
            <w:vAlign w:val="bottom"/>
            <w:shd w:val="clear" w:color="auto" w:fill="E3E4E5"/>
          </w:tcPr>
          <w:p>
            <w:pPr>
              <w:ind w:left="240"/>
              <w:spacing w:after="0"/>
              <w:rPr>
                <w:sz w:val="20"/>
                <w:szCs w:val="20"/>
                <w:color w:val="auto"/>
              </w:rPr>
            </w:pPr>
            <w:r>
              <w:rPr>
                <w:rFonts w:ascii="Times New Roman" w:cs="Times New Roman" w:eastAsia="Times New Roman" w:hAnsi="Times New Roman"/>
                <w:sz w:val="20"/>
                <w:szCs w:val="20"/>
                <w:color w:val="231F20"/>
              </w:rPr>
              <w:t>Verizon Communications Inc.</w:t>
            </w:r>
          </w:p>
        </w:tc>
        <w:tc>
          <w:tcPr>
            <w:tcW w:w="1140" w:type="dxa"/>
            <w:vAlign w:val="bottom"/>
            <w:shd w:val="clear" w:color="auto" w:fill="E3E4E5"/>
          </w:tcPr>
          <w:p>
            <w:pPr>
              <w:ind w:left="420"/>
              <w:spacing w:after="0"/>
              <w:rPr>
                <w:sz w:val="20"/>
                <w:szCs w:val="20"/>
                <w:color w:val="auto"/>
              </w:rPr>
            </w:pPr>
            <w:r>
              <w:rPr>
                <w:rFonts w:ascii="Times New Roman" w:cs="Times New Roman" w:eastAsia="Times New Roman" w:hAnsi="Times New Roman"/>
                <w:sz w:val="20"/>
                <w:szCs w:val="20"/>
                <w:color w:val="231F20"/>
              </w:rPr>
              <w:t>10-Q</w:t>
            </w:r>
          </w:p>
        </w:tc>
        <w:tc>
          <w:tcPr>
            <w:tcW w:w="1460" w:type="dxa"/>
            <w:vAlign w:val="bottom"/>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001-14195</w:t>
            </w:r>
          </w:p>
        </w:tc>
        <w:tc>
          <w:tcPr>
            <w:tcW w:w="1320" w:type="dxa"/>
            <w:vAlign w:val="bottom"/>
            <w:shd w:val="clear" w:color="auto" w:fill="E3E4E5"/>
          </w:tcPr>
          <w:p>
            <w:pPr>
              <w:jc w:val="right"/>
              <w:ind w:right="380"/>
              <w:spacing w:after="0"/>
              <w:rPr>
                <w:sz w:val="20"/>
                <w:szCs w:val="20"/>
                <w:color w:val="auto"/>
              </w:rPr>
            </w:pPr>
            <w:r>
              <w:rPr>
                <w:rFonts w:ascii="Times New Roman" w:cs="Times New Roman" w:eastAsia="Times New Roman" w:hAnsi="Times New Roman"/>
                <w:sz w:val="20"/>
                <w:szCs w:val="20"/>
                <w:color w:val="231F20"/>
              </w:rPr>
              <w:t>2015</w:t>
            </w:r>
          </w:p>
        </w:tc>
        <w:tc>
          <w:tcPr>
            <w:tcW w:w="860" w:type="dxa"/>
            <w:vAlign w:val="bottom"/>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10.8</w:t>
            </w:r>
          </w:p>
        </w:tc>
      </w:tr>
    </w:tbl>
    <w:p>
      <w:pPr>
        <w:spacing w:after="0" w:line="118" w:lineRule="exact"/>
        <w:rPr>
          <w:sz w:val="20"/>
          <w:szCs w:val="20"/>
          <w:color w:val="auto"/>
        </w:rPr>
      </w:pPr>
    </w:p>
    <w:p>
      <w:pPr>
        <w:sectPr>
          <w:pgSz w:w="11880" w:h="15480" w:orient="portrait"/>
          <w:cols w:equalWidth="0" w:num="1">
            <w:col w:w="10260"/>
          </w:cols>
          <w:pgMar w:left="820" w:top="588" w:right="800" w:bottom="0" w:gutter="0" w:footer="0" w:header="0"/>
          <w:type w:val="continuous"/>
        </w:sectPr>
      </w:pPr>
    </w:p>
    <w:p>
      <w:pPr>
        <w:ind w:left="980" w:right="60" w:hanging="944"/>
        <w:spacing w:after="0" w:line="224" w:lineRule="auto"/>
        <w:tabs>
          <w:tab w:leader="none" w:pos="960" w:val="left"/>
        </w:tabs>
        <w:rPr>
          <w:sz w:val="20"/>
          <w:szCs w:val="20"/>
          <w:color w:val="auto"/>
        </w:rPr>
      </w:pPr>
      <w:r>
        <w:rPr>
          <w:rFonts w:ascii="Times New Roman" w:cs="Times New Roman" w:eastAsia="Times New Roman" w:hAnsi="Times New Roman"/>
          <w:sz w:val="20"/>
          <w:szCs w:val="20"/>
          <w:color w:val="231F20"/>
        </w:rPr>
        <w:t>10.45</w:t>
      </w:r>
      <w:r>
        <w:rPr>
          <w:sz w:val="20"/>
          <w:szCs w:val="20"/>
          <w:color w:val="auto"/>
        </w:rPr>
        <w:tab/>
      </w:r>
      <w:r>
        <w:rPr>
          <w:rFonts w:ascii="Times New Roman" w:cs="Times New Roman" w:eastAsia="Times New Roman" w:hAnsi="Times New Roman"/>
          <w:sz w:val="20"/>
          <w:szCs w:val="20"/>
          <w:color w:val="231F20"/>
        </w:rPr>
        <w:t>Sale Site Master Lease Agreement, dated as of March 27, 2015, among certain subsidiaries of the Company, Verizon Communications Inc. and certain of its subsidiaries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84455</wp:posOffset>
                </wp:positionV>
                <wp:extent cx="6514465" cy="48577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85775"/>
                        </a:xfrm>
                        <a:prstGeom prst="rect">
                          <a:avLst/>
                        </a:prstGeom>
                        <a:solidFill>
                          <a:srgbClr val="E3E4E5"/>
                        </a:solidFill>
                      </wps:spPr>
                      <wps:bodyPr/>
                    </wps:wsp>
                  </a:graphicData>
                </a:graphic>
              </wp:anchor>
            </w:drawing>
          </mc:Choice>
          <mc:Fallback>
            <w:pict>
              <v:rect id="Shape 111" o:spid="_x0000_s1136" style="position:absolute;margin-left:-0.4499pt;margin-top:6.65pt;width:512.95pt;height:3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26" w:lineRule="exact"/>
        <w:rPr>
          <w:sz w:val="20"/>
          <w:szCs w:val="20"/>
          <w:color w:val="auto"/>
        </w:rPr>
      </w:pPr>
    </w:p>
    <w:p>
      <w:pPr>
        <w:ind w:left="980" w:hanging="94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231F20"/>
        </w:rPr>
        <w:t>10.46</w:t>
      </w:r>
      <w:r>
        <w:rPr>
          <w:sz w:val="20"/>
          <w:szCs w:val="20"/>
          <w:color w:val="auto"/>
        </w:rPr>
        <w:tab/>
      </w:r>
      <w:r>
        <w:rPr>
          <w:rFonts w:ascii="Times New Roman" w:cs="Times New Roman" w:eastAsia="Times New Roman" w:hAnsi="Times New Roman"/>
          <w:sz w:val="20"/>
          <w:szCs w:val="20"/>
          <w:color w:val="231F20"/>
        </w:rPr>
        <w:t>MPL Site Master Lease Agreement, dated as of March 27, 2015, among Verizon Communications Inc. and certain of its subsidiaries and ATC Sequoia LLC</w:t>
      </w:r>
    </w:p>
    <w:p>
      <w:pPr>
        <w:spacing w:after="0" w:line="212" w:lineRule="exact"/>
        <w:rPr>
          <w:sz w:val="20"/>
          <w:szCs w:val="20"/>
          <w:color w:val="auto"/>
        </w:rPr>
      </w:pPr>
    </w:p>
    <w:p>
      <w:pPr>
        <w:ind w:left="980" w:right="60" w:hanging="944"/>
        <w:spacing w:after="0" w:line="229" w:lineRule="auto"/>
        <w:tabs>
          <w:tab w:leader="none" w:pos="960" w:val="left"/>
        </w:tabs>
        <w:rPr>
          <w:sz w:val="20"/>
          <w:szCs w:val="20"/>
          <w:color w:val="auto"/>
        </w:rPr>
      </w:pPr>
      <w:r>
        <w:rPr>
          <w:rFonts w:ascii="Times New Roman" w:cs="Times New Roman" w:eastAsia="Times New Roman" w:hAnsi="Times New Roman"/>
          <w:sz w:val="20"/>
          <w:szCs w:val="20"/>
          <w:color w:val="231F20"/>
        </w:rPr>
        <w:t>10.47</w:t>
      </w:r>
      <w:r>
        <w:rPr>
          <w:sz w:val="20"/>
          <w:szCs w:val="20"/>
          <w:color w:val="auto"/>
        </w:rPr>
        <w:tab/>
      </w:r>
      <w:r>
        <w:rPr>
          <w:rFonts w:ascii="Times New Roman" w:cs="Times New Roman" w:eastAsia="Times New Roman" w:hAnsi="Times New Roman"/>
          <w:sz w:val="20"/>
          <w:szCs w:val="20"/>
          <w:color w:val="231F20"/>
        </w:rPr>
        <w:t>Management Agreement, dated as of March 27, 2015, among Verizon Communications Inc., and certain of its subsidiaries and ATC Sequoia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135255</wp:posOffset>
                </wp:positionV>
                <wp:extent cx="6514465" cy="54292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542925"/>
                        </a:xfrm>
                        <a:prstGeom prst="rect">
                          <a:avLst/>
                        </a:prstGeom>
                        <a:solidFill>
                          <a:srgbClr val="E3E4E5"/>
                        </a:solidFill>
                      </wps:spPr>
                      <wps:bodyPr/>
                    </wps:wsp>
                  </a:graphicData>
                </a:graphic>
              </wp:anchor>
            </w:drawing>
          </mc:Choice>
          <mc:Fallback>
            <w:pict>
              <v:rect id="Shape 112" o:spid="_x0000_s1137" style="position:absolute;margin-left:-0.4499pt;margin-top:10.65pt;width:512.95pt;height:4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7" w:lineRule="exact"/>
        <w:rPr>
          <w:sz w:val="20"/>
          <w:szCs w:val="20"/>
          <w:color w:val="auto"/>
        </w:rPr>
      </w:pPr>
    </w:p>
    <w:p>
      <w:pPr>
        <w:ind w:left="980" w:right="20" w:hanging="944"/>
        <w:spacing w:after="0" w:line="224" w:lineRule="auto"/>
        <w:tabs>
          <w:tab w:leader="none" w:pos="960" w:val="left"/>
        </w:tabs>
        <w:rPr>
          <w:sz w:val="20"/>
          <w:szCs w:val="20"/>
          <w:color w:val="auto"/>
        </w:rPr>
      </w:pPr>
      <w:r>
        <w:rPr>
          <w:rFonts w:ascii="Times New Roman" w:cs="Times New Roman" w:eastAsia="Times New Roman" w:hAnsi="Times New Roman"/>
          <w:sz w:val="20"/>
          <w:szCs w:val="20"/>
          <w:color w:val="231F20"/>
        </w:rPr>
        <w:t>10.48</w:t>
      </w:r>
      <w:r>
        <w:rPr>
          <w:sz w:val="20"/>
          <w:szCs w:val="20"/>
          <w:color w:val="auto"/>
        </w:rPr>
        <w:tab/>
      </w:r>
      <w:r>
        <w:rPr>
          <w:rFonts w:ascii="Times New Roman" w:cs="Times New Roman" w:eastAsia="Times New Roman" w:hAnsi="Times New Roman"/>
          <w:sz w:val="20"/>
          <w:szCs w:val="20"/>
          <w:color w:val="231F20"/>
        </w:rPr>
        <w:t>Agreement For the Sale and Purchase of the Towers Europe Division of Telxius Telecom, S.A., dated as of January 13, 2021, between Telxius Telecom, S.A. and American Tower International, Inc.</w:t>
      </w:r>
    </w:p>
    <w:p>
      <w:pPr>
        <w:spacing w:after="0" w:line="101" w:lineRule="exact"/>
        <w:rPr>
          <w:sz w:val="20"/>
          <w:szCs w:val="20"/>
          <w:color w:val="auto"/>
        </w:rPr>
      </w:pPr>
    </w:p>
    <w:p>
      <w:pPr>
        <w:ind w:left="980" w:right="40" w:hanging="944"/>
        <w:spacing w:after="0" w:line="224" w:lineRule="auto"/>
        <w:tabs>
          <w:tab w:leader="none" w:pos="960" w:val="left"/>
        </w:tabs>
        <w:rPr>
          <w:sz w:val="20"/>
          <w:szCs w:val="20"/>
          <w:color w:val="auto"/>
        </w:rPr>
      </w:pPr>
      <w:r>
        <w:rPr>
          <w:rFonts w:ascii="Times New Roman" w:cs="Times New Roman" w:eastAsia="Times New Roman" w:hAnsi="Times New Roman"/>
          <w:sz w:val="20"/>
          <w:szCs w:val="20"/>
          <w:color w:val="231F20"/>
        </w:rPr>
        <w:t>10.49</w:t>
      </w:r>
      <w:r>
        <w:rPr>
          <w:sz w:val="20"/>
          <w:szCs w:val="20"/>
          <w:color w:val="auto"/>
        </w:rPr>
        <w:tab/>
      </w:r>
      <w:r>
        <w:rPr>
          <w:rFonts w:ascii="Times New Roman" w:cs="Times New Roman" w:eastAsia="Times New Roman" w:hAnsi="Times New Roman"/>
          <w:sz w:val="20"/>
          <w:szCs w:val="20"/>
          <w:color w:val="231F20"/>
        </w:rPr>
        <w:t>Agreement For the Sale and Purchase of the Towers LatAm Division of Telxius Telecom, S.A., dated as of January 13, 2021, between Telxius Telecom, S.A. and American Tower International,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55880</wp:posOffset>
                </wp:positionV>
                <wp:extent cx="6514465" cy="676275"/>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676275"/>
                        </a:xfrm>
                        <a:prstGeom prst="rect">
                          <a:avLst/>
                        </a:prstGeom>
                        <a:solidFill>
                          <a:srgbClr val="E3E4E5"/>
                        </a:solidFill>
                      </wps:spPr>
                      <wps:bodyPr/>
                    </wps:wsp>
                  </a:graphicData>
                </a:graphic>
              </wp:anchor>
            </w:drawing>
          </mc:Choice>
          <mc:Fallback>
            <w:pict>
              <v:rect id="Shape 113" o:spid="_x0000_s1138" style="position:absolute;margin-left:-0.4499pt;margin-top:4.4pt;width:512.95pt;height:5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81" w:lineRule="exact"/>
        <w:rPr>
          <w:sz w:val="20"/>
          <w:szCs w:val="20"/>
          <w:color w:val="auto"/>
        </w:rPr>
      </w:pPr>
    </w:p>
    <w:p>
      <w:pPr>
        <w:ind w:left="980" w:right="280" w:hanging="944"/>
        <w:spacing w:after="0"/>
        <w:tabs>
          <w:tab w:leader="none" w:pos="960" w:val="left"/>
        </w:tabs>
        <w:rPr>
          <w:sz w:val="20"/>
          <w:szCs w:val="20"/>
          <w:color w:val="auto"/>
        </w:rPr>
      </w:pPr>
      <w:r>
        <w:rPr>
          <w:rFonts w:ascii="Times New Roman" w:cs="Times New Roman" w:eastAsia="Times New Roman" w:hAnsi="Times New Roman"/>
          <w:sz w:val="20"/>
          <w:szCs w:val="20"/>
          <w:color w:val="231F20"/>
        </w:rPr>
        <w:t>19.1</w:t>
      </w:r>
      <w:r>
        <w:rPr>
          <w:sz w:val="20"/>
          <w:szCs w:val="20"/>
          <w:color w:val="auto"/>
        </w:rPr>
        <w:tab/>
      </w:r>
      <w:r>
        <w:rPr>
          <w:rFonts w:ascii="Times New Roman" w:cs="Times New Roman" w:eastAsia="Times New Roman" w:hAnsi="Times New Roman"/>
          <w:sz w:val="20"/>
          <w:szCs w:val="20"/>
          <w:color w:val="231F20"/>
        </w:rPr>
        <w:t>American Tower Corporation Anti-Insider Trading Policy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0"/>
          <w:szCs w:val="20"/>
          <w:color w:val="231F20"/>
        </w:rPr>
        <w:t>21</w:t>
      </w:r>
      <w:r>
        <w:rPr>
          <w:sz w:val="20"/>
          <w:szCs w:val="20"/>
          <w:color w:val="auto"/>
        </w:rPr>
        <w:tab/>
      </w:r>
      <w:r>
        <w:rPr>
          <w:rFonts w:ascii="Times New Roman" w:cs="Times New Roman" w:eastAsia="Times New Roman" w:hAnsi="Times New Roman"/>
          <w:sz w:val="20"/>
          <w:szCs w:val="20"/>
          <w:color w:val="231F20"/>
        </w:rPr>
        <w:t>Subsidiaries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626745</wp:posOffset>
                </wp:positionV>
                <wp:extent cx="6514465" cy="7239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23900"/>
                        </a:xfrm>
                        <a:prstGeom prst="rect">
                          <a:avLst/>
                        </a:prstGeom>
                        <a:solidFill>
                          <a:srgbClr val="E3E4E5"/>
                        </a:solidFill>
                      </wps:spPr>
                      <wps:bodyPr/>
                    </wps:wsp>
                  </a:graphicData>
                </a:graphic>
              </wp:anchor>
            </w:drawing>
          </mc:Choice>
          <mc:Fallback>
            <w:pict>
              <v:rect id="Shape 114" o:spid="_x0000_s1139" style="position:absolute;margin-left:-0.4499pt;margin-top:49.35pt;width:512.95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80" w:right="20" w:hanging="937"/>
        <w:spacing w:after="0"/>
        <w:tabs>
          <w:tab w:leader="none" w:pos="980" w:val="left"/>
        </w:tabs>
        <w:numPr>
          <w:ilvl w:val="0"/>
          <w:numId w:val="7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Consent of Independent Registered Public Accounting Firm—Deloitte &amp; Touche LLP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80" w:right="240" w:hanging="944"/>
        <w:spacing w:after="0"/>
        <w:tabs>
          <w:tab w:leader="none" w:pos="960" w:val="left"/>
        </w:tabs>
        <w:rPr>
          <w:sz w:val="20"/>
          <w:szCs w:val="20"/>
          <w:color w:val="auto"/>
        </w:rPr>
      </w:pPr>
      <w:r>
        <w:rPr>
          <w:rFonts w:ascii="Times New Roman" w:cs="Times New Roman" w:eastAsia="Times New Roman" w:hAnsi="Times New Roman"/>
          <w:sz w:val="20"/>
          <w:szCs w:val="20"/>
          <w:color w:val="231F20"/>
        </w:rPr>
        <w:t>31.1</w:t>
      </w:r>
      <w:r>
        <w:rPr>
          <w:sz w:val="20"/>
          <w:szCs w:val="20"/>
          <w:color w:val="auto"/>
        </w:rPr>
        <w:tab/>
      </w:r>
      <w:r>
        <w:rPr>
          <w:rFonts w:ascii="Times New Roman" w:cs="Times New Roman" w:eastAsia="Times New Roman" w:hAnsi="Times New Roman"/>
          <w:sz w:val="20"/>
          <w:szCs w:val="20"/>
          <w:color w:val="231F20"/>
        </w:rPr>
        <w:t>Certification of Chief Executive Officer pursuant to Section 302 of the Sarbanes-Oxley Act of 2002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556895</wp:posOffset>
                </wp:positionV>
                <wp:extent cx="6514465" cy="7239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23900"/>
                        </a:xfrm>
                        <a:prstGeom prst="rect">
                          <a:avLst/>
                        </a:prstGeom>
                        <a:solidFill>
                          <a:srgbClr val="E3E4E5"/>
                        </a:solidFill>
                      </wps:spPr>
                      <wps:bodyPr/>
                    </wps:wsp>
                  </a:graphicData>
                </a:graphic>
              </wp:anchor>
            </w:drawing>
          </mc:Choice>
          <mc:Fallback>
            <w:pict>
              <v:rect id="Shape 115" o:spid="_x0000_s1140" style="position:absolute;margin-left:-0.4499pt;margin-top:43.85pt;width:512.95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right="280" w:hanging="944"/>
        <w:spacing w:after="0"/>
        <w:tabs>
          <w:tab w:leader="none" w:pos="960" w:val="left"/>
        </w:tabs>
        <w:rPr>
          <w:sz w:val="20"/>
          <w:szCs w:val="20"/>
          <w:color w:val="auto"/>
        </w:rPr>
      </w:pPr>
      <w:r>
        <w:rPr>
          <w:rFonts w:ascii="Times New Roman" w:cs="Times New Roman" w:eastAsia="Times New Roman" w:hAnsi="Times New Roman"/>
          <w:sz w:val="20"/>
          <w:szCs w:val="20"/>
          <w:color w:val="231F20"/>
        </w:rPr>
        <w:t>31.2</w:t>
      </w:r>
      <w:r>
        <w:rPr>
          <w:sz w:val="20"/>
          <w:szCs w:val="20"/>
          <w:color w:val="auto"/>
        </w:rPr>
        <w:tab/>
      </w:r>
      <w:r>
        <w:rPr>
          <w:rFonts w:ascii="Times New Roman" w:cs="Times New Roman" w:eastAsia="Times New Roman" w:hAnsi="Times New Roman"/>
          <w:sz w:val="20"/>
          <w:szCs w:val="20"/>
          <w:color w:val="231F20"/>
        </w:rPr>
        <w:t>Certification of Chief Financial Officer pursuant to Section 302 of the Sarbanes-Oxley Act of 2002</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April 30,</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w w:val="97"/>
              </w:rPr>
              <w:t>10.9</w:t>
            </w:r>
          </w:p>
        </w:tc>
        <w:tc>
          <w:tcPr>
            <w:tcW w:w="0" w:type="dxa"/>
            <w:vAlign w:val="bottom"/>
          </w:tcPr>
          <w:p>
            <w:pPr>
              <w:spacing w:after="0"/>
              <w:rPr>
                <w:sz w:val="1"/>
                <w:szCs w:val="1"/>
                <w:color w:val="auto"/>
              </w:rPr>
            </w:pPr>
          </w:p>
        </w:tc>
      </w:tr>
      <w:tr>
        <w:trPr>
          <w:trHeight w:val="260"/>
        </w:trPr>
        <w:tc>
          <w:tcPr>
            <w:tcW w:w="94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0"/>
        </w:trPr>
        <w:tc>
          <w:tcPr>
            <w:tcW w:w="94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April 30,</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rPr>
              <w:t>10.10</w:t>
            </w:r>
          </w:p>
        </w:tc>
        <w:tc>
          <w:tcPr>
            <w:tcW w:w="0" w:type="dxa"/>
            <w:vAlign w:val="bottom"/>
          </w:tcPr>
          <w:p>
            <w:pPr>
              <w:spacing w:after="0"/>
              <w:rPr>
                <w:sz w:val="1"/>
                <w:szCs w:val="1"/>
                <w:color w:val="auto"/>
              </w:rPr>
            </w:pPr>
          </w:p>
        </w:tc>
      </w:tr>
      <w:tr>
        <w:trPr>
          <w:trHeight w:val="260"/>
        </w:trPr>
        <w:tc>
          <w:tcPr>
            <w:tcW w:w="94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25"/>
        </w:trPr>
        <w:tc>
          <w:tcPr>
            <w:tcW w:w="94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April 30,</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rPr>
              <w:t>10.11</w:t>
            </w:r>
          </w:p>
        </w:tc>
        <w:tc>
          <w:tcPr>
            <w:tcW w:w="0" w:type="dxa"/>
            <w:vAlign w:val="bottom"/>
          </w:tcPr>
          <w:p>
            <w:pPr>
              <w:spacing w:after="0"/>
              <w:rPr>
                <w:sz w:val="1"/>
                <w:szCs w:val="1"/>
                <w:color w:val="auto"/>
              </w:rPr>
            </w:pPr>
          </w:p>
        </w:tc>
      </w:tr>
      <w:tr>
        <w:trPr>
          <w:trHeight w:val="260"/>
        </w:trPr>
        <w:tc>
          <w:tcPr>
            <w:tcW w:w="94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2015</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00"/>
        </w:trPr>
        <w:tc>
          <w:tcPr>
            <w:tcW w:w="94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rPr>
              <w:t>10.41</w:t>
            </w:r>
          </w:p>
        </w:tc>
        <w:tc>
          <w:tcPr>
            <w:tcW w:w="0" w:type="dxa"/>
            <w:vAlign w:val="bottom"/>
          </w:tcPr>
          <w:p>
            <w:pPr>
              <w:spacing w:after="0"/>
              <w:rPr>
                <w:sz w:val="1"/>
                <w:szCs w:val="1"/>
                <w:color w:val="auto"/>
              </w:rPr>
            </w:pPr>
          </w:p>
        </w:tc>
      </w:tr>
      <w:tr>
        <w:trPr>
          <w:trHeight w:val="260"/>
        </w:trPr>
        <w:tc>
          <w:tcPr>
            <w:tcW w:w="94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25, 2021</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00"/>
        </w:trPr>
        <w:tc>
          <w:tcPr>
            <w:tcW w:w="94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231F20"/>
              </w:rPr>
              <w:t>10-K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001-14195</w:t>
            </w:r>
          </w:p>
        </w:tc>
        <w:tc>
          <w:tcPr>
            <w:tcW w:w="130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February</w:t>
            </w:r>
          </w:p>
        </w:tc>
        <w:tc>
          <w:tcPr>
            <w:tcW w:w="740" w:type="dxa"/>
            <w:vAlign w:val="bottom"/>
            <w:vMerge w:val="restart"/>
          </w:tcPr>
          <w:p>
            <w:pPr>
              <w:jc w:val="center"/>
              <w:ind w:left="180"/>
              <w:spacing w:after="0"/>
              <w:rPr>
                <w:sz w:val="20"/>
                <w:szCs w:val="20"/>
                <w:color w:val="auto"/>
              </w:rPr>
            </w:pPr>
            <w:r>
              <w:rPr>
                <w:rFonts w:ascii="Times New Roman" w:cs="Times New Roman" w:eastAsia="Times New Roman" w:hAnsi="Times New Roman"/>
                <w:sz w:val="20"/>
                <w:szCs w:val="20"/>
                <w:color w:val="231F20"/>
              </w:rPr>
              <w:t>10.42</w:t>
            </w:r>
          </w:p>
        </w:tc>
        <w:tc>
          <w:tcPr>
            <w:tcW w:w="0" w:type="dxa"/>
            <w:vAlign w:val="bottom"/>
          </w:tcPr>
          <w:p>
            <w:pPr>
              <w:spacing w:after="0"/>
              <w:rPr>
                <w:sz w:val="1"/>
                <w:szCs w:val="1"/>
                <w:color w:val="auto"/>
              </w:rPr>
            </w:pPr>
          </w:p>
        </w:tc>
      </w:tr>
      <w:tr>
        <w:trPr>
          <w:trHeight w:val="260"/>
        </w:trPr>
        <w:tc>
          <w:tcPr>
            <w:tcW w:w="94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25, 2021</w:t>
            </w: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Filed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40" w:type="dxa"/>
            <w:vAlign w:val="bottom"/>
            <w:vMerge w:val="restart"/>
          </w:tcPr>
          <w:p>
            <w:pPr>
              <w:jc w:val="cente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0"/>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19.1</w:t>
            </w:r>
          </w:p>
        </w:tc>
        <w:tc>
          <w:tcPr>
            <w:tcW w:w="138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Filed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40" w:type="dxa"/>
            <w:vAlign w:val="bottom"/>
            <w:vMerge w:val="restart"/>
          </w:tcPr>
          <w:p>
            <w:pPr>
              <w:jc w:val="cente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0"/>
        </w:trPr>
        <w:tc>
          <w:tcPr>
            <w:tcW w:w="94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231F20"/>
                <w:w w:val="99"/>
              </w:rPr>
              <w:t>21</w:t>
            </w:r>
          </w:p>
        </w:tc>
        <w:tc>
          <w:tcPr>
            <w:tcW w:w="138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Filed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40" w:type="dxa"/>
            <w:vAlign w:val="bottom"/>
            <w:vMerge w:val="restart"/>
          </w:tcPr>
          <w:p>
            <w:pPr>
              <w:jc w:val="cente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0"/>
        </w:trPr>
        <w:tc>
          <w:tcPr>
            <w:tcW w:w="94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231F20"/>
                <w:w w:val="99"/>
              </w:rPr>
              <w:t>23</w:t>
            </w:r>
          </w:p>
        </w:tc>
        <w:tc>
          <w:tcPr>
            <w:tcW w:w="138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Filed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40" w:type="dxa"/>
            <w:vAlign w:val="bottom"/>
            <w:vMerge w:val="restart"/>
          </w:tcPr>
          <w:p>
            <w:pPr>
              <w:jc w:val="cente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0"/>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31.1</w:t>
            </w:r>
          </w:p>
        </w:tc>
        <w:tc>
          <w:tcPr>
            <w:tcW w:w="138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Filed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w:t>
            </w:r>
          </w:p>
        </w:tc>
        <w:tc>
          <w:tcPr>
            <w:tcW w:w="740" w:type="dxa"/>
            <w:vAlign w:val="bottom"/>
            <w:vMerge w:val="restart"/>
          </w:tcPr>
          <w:p>
            <w:pPr>
              <w:jc w:val="center"/>
              <w:ind w:left="200"/>
              <w:spacing w:after="0"/>
              <w:rPr>
                <w:sz w:val="20"/>
                <w:szCs w:val="20"/>
                <w:color w:val="auto"/>
              </w:rPr>
            </w:pPr>
            <w:r>
              <w:rPr>
                <w:rFonts w:ascii="Times New Roman" w:cs="Times New Roman" w:eastAsia="Times New Roman" w:hAnsi="Times New Roman"/>
                <w:sz w:val="20"/>
                <w:szCs w:val="20"/>
                <w:color w:val="231F20"/>
                <w:w w:val="99"/>
              </w:rPr>
              <w:t>—</w:t>
            </w:r>
          </w:p>
        </w:tc>
        <w:tc>
          <w:tcPr>
            <w:tcW w:w="0" w:type="dxa"/>
            <w:vAlign w:val="bottom"/>
          </w:tcPr>
          <w:p>
            <w:pPr>
              <w:spacing w:after="0"/>
              <w:rPr>
                <w:sz w:val="1"/>
                <w:szCs w:val="1"/>
                <w:color w:val="auto"/>
              </w:rPr>
            </w:pPr>
          </w:p>
        </w:tc>
      </w:tr>
      <w:tr>
        <w:trPr>
          <w:trHeight w:val="260"/>
        </w:trPr>
        <w:tc>
          <w:tcPr>
            <w:tcW w:w="94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31.2</w:t>
            </w:r>
          </w:p>
        </w:tc>
        <w:tc>
          <w:tcPr>
            <w:tcW w:w="138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5360" w:space="400"/>
            <w:col w:w="4500"/>
          </w:cols>
          <w:pgMar w:left="820" w:top="58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260"/>
          </w:cols>
          <w:pgMar w:left="820" w:top="588" w:right="800" w:bottom="0" w:gutter="0" w:footer="0" w:header="0"/>
          <w:type w:val="continuous"/>
        </w:sectPr>
      </w:pPr>
    </w:p>
    <w:bookmarkStart w:id="87" w:name="page88"/>
    <w:bookmarkEnd w:id="87"/>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Times New Roman" w:cs="Times New Roman" w:eastAsia="Times New Roman" w:hAnsi="Times New Roman"/>
                <w:sz w:val="16"/>
                <w:szCs w:val="16"/>
                <w:b w:val="1"/>
                <w:bCs w:val="1"/>
                <w:u w:val="single" w:color="auto"/>
                <w:color w:val="231F20"/>
              </w:rPr>
              <w:t>Exhibit</w:t>
            </w:r>
          </w:p>
        </w:tc>
        <w:tc>
          <w:tcPr>
            <w:tcW w:w="260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u w:val="single" w:color="auto"/>
                <w:color w:val="231F20"/>
                <w:w w:val="99"/>
              </w:rPr>
              <w:t>Description of Document</w:t>
            </w:r>
          </w:p>
        </w:tc>
        <w:tc>
          <w:tcPr>
            <w:tcW w:w="0" w:type="dxa"/>
            <w:vAlign w:val="bottom"/>
          </w:tcPr>
          <w:p>
            <w:pPr>
              <w:spacing w:after="0"/>
              <w:rPr>
                <w:sz w:val="1"/>
                <w:szCs w:val="1"/>
                <w:color w:val="auto"/>
              </w:rPr>
            </w:pPr>
          </w:p>
        </w:tc>
      </w:tr>
      <w:tr>
        <w:trPr>
          <w:trHeight w:val="211"/>
        </w:trPr>
        <w:tc>
          <w:tcPr>
            <w:tcW w:w="1400" w:type="dxa"/>
            <w:vAlign w:val="bottom"/>
          </w:tcPr>
          <w:p>
            <w:pPr>
              <w:spacing w:after="0"/>
              <w:rPr>
                <w:sz w:val="20"/>
                <w:szCs w:val="20"/>
                <w:color w:val="auto"/>
              </w:rPr>
            </w:pPr>
            <w:r>
              <w:rPr>
                <w:rFonts w:ascii="Times New Roman" w:cs="Times New Roman" w:eastAsia="Times New Roman" w:hAnsi="Times New Roman"/>
                <w:sz w:val="16"/>
                <w:szCs w:val="16"/>
                <w:b w:val="1"/>
                <w:bCs w:val="1"/>
                <w:u w:val="single" w:color="auto"/>
                <w:color w:val="231F20"/>
              </w:rPr>
              <w:t>No.</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980" w:right="280" w:hanging="937"/>
        <w:spacing w:after="0"/>
        <w:tabs>
          <w:tab w:leader="none" w:pos="980" w:val="left"/>
        </w:tabs>
        <w:numPr>
          <w:ilvl w:val="0"/>
          <w:numId w:val="7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Certifications filed pursuant to 18. U.S.C. Section 1350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452120</wp:posOffset>
                </wp:positionV>
                <wp:extent cx="6514465" cy="75247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752475"/>
                        </a:xfrm>
                        <a:prstGeom prst="rect">
                          <a:avLst/>
                        </a:prstGeom>
                        <a:solidFill>
                          <a:srgbClr val="E3E4E5"/>
                        </a:solidFill>
                      </wps:spPr>
                      <wps:bodyPr/>
                    </wps:wsp>
                  </a:graphicData>
                </a:graphic>
              </wp:anchor>
            </w:drawing>
          </mc:Choice>
          <mc:Fallback>
            <w:pict>
              <v:rect id="Shape 116" o:spid="_x0000_s1141" style="position:absolute;margin-left:-0.4499pt;margin-top:35.6pt;width:512.95pt;height:5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700" w:hanging="937"/>
        <w:spacing w:after="0"/>
        <w:tabs>
          <w:tab w:leader="none" w:pos="980" w:val="left"/>
        </w:tabs>
        <w:numPr>
          <w:ilvl w:val="0"/>
          <w:numId w:val="7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American Tower Corporation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right="120" w:hanging="937"/>
        <w:spacing w:after="0" w:line="224" w:lineRule="auto"/>
        <w:tabs>
          <w:tab w:leader="none" w:pos="980" w:val="left"/>
        </w:tabs>
        <w:numPr>
          <w:ilvl w:val="0"/>
          <w:numId w:val="7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following materials from American Tower Corporation’s Annual Report on Form 10-K for the year ended December 31, 2020, formatted in XBRL (Extensible Business Reporting Language):</w:t>
      </w:r>
    </w:p>
    <w:p>
      <w:pPr>
        <w:spacing w:after="0" w:line="141" w:lineRule="exact"/>
        <w:rPr>
          <w:rFonts w:ascii="Times New Roman" w:cs="Times New Roman" w:eastAsia="Times New Roman" w:hAnsi="Times New Roman"/>
          <w:sz w:val="20"/>
          <w:szCs w:val="20"/>
          <w:color w:val="231F20"/>
        </w:rPr>
      </w:pPr>
    </w:p>
    <w:p>
      <w:pPr>
        <w:ind w:left="980" w:right="52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101.SCH—Inline XBRL Taxonomy Extension Schema Document</w:t>
      </w:r>
    </w:p>
    <w:p>
      <w:pPr>
        <w:spacing w:after="0" w:line="40" w:lineRule="exact"/>
        <w:rPr>
          <w:rFonts w:ascii="Times New Roman" w:cs="Times New Roman" w:eastAsia="Times New Roman" w:hAnsi="Times New Roman"/>
          <w:sz w:val="20"/>
          <w:szCs w:val="20"/>
          <w:color w:val="231F20"/>
        </w:rPr>
      </w:pPr>
    </w:p>
    <w:p>
      <w:pPr>
        <w:ind w:left="980" w:right="50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101.CAL—Inline XBRL Taxonomy Extension Calculation Linkbase Document</w:t>
      </w:r>
    </w:p>
    <w:p>
      <w:pPr>
        <w:spacing w:after="0" w:line="40" w:lineRule="exact"/>
        <w:rPr>
          <w:rFonts w:ascii="Times New Roman" w:cs="Times New Roman" w:eastAsia="Times New Roman" w:hAnsi="Times New Roman"/>
          <w:sz w:val="20"/>
          <w:szCs w:val="20"/>
          <w:color w:val="231F20"/>
        </w:rPr>
      </w:pPr>
    </w:p>
    <w:p>
      <w:pPr>
        <w:ind w:left="98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101.LAB—Inline XBRL Taxonomy Extension Label Linkbase Document</w:t>
      </w:r>
    </w:p>
    <w:p>
      <w:pPr>
        <w:spacing w:after="0" w:line="40" w:lineRule="exact"/>
        <w:rPr>
          <w:rFonts w:ascii="Times New Roman" w:cs="Times New Roman" w:eastAsia="Times New Roman" w:hAnsi="Times New Roman"/>
          <w:sz w:val="20"/>
          <w:szCs w:val="20"/>
          <w:color w:val="231F20"/>
        </w:rPr>
      </w:pPr>
    </w:p>
    <w:p>
      <w:pPr>
        <w:ind w:left="980" w:right="5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101.PRE—Inline XBRL Taxonomy Extension Presentation Linkbase Document</w:t>
      </w:r>
    </w:p>
    <w:p>
      <w:pPr>
        <w:spacing w:after="0" w:line="40" w:lineRule="exact"/>
        <w:rPr>
          <w:rFonts w:ascii="Times New Roman" w:cs="Times New Roman" w:eastAsia="Times New Roman" w:hAnsi="Times New Roman"/>
          <w:sz w:val="20"/>
          <w:szCs w:val="20"/>
          <w:color w:val="231F20"/>
        </w:rPr>
      </w:pPr>
    </w:p>
    <w:p>
      <w:pPr>
        <w:ind w:left="980" w:right="54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101.DEF—Inline XBRL Taxonomy Extension Definition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118745</wp:posOffset>
                </wp:positionV>
                <wp:extent cx="6514465" cy="57150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571500"/>
                        </a:xfrm>
                        <a:prstGeom prst="rect">
                          <a:avLst/>
                        </a:prstGeom>
                        <a:solidFill>
                          <a:srgbClr val="E3E4E5"/>
                        </a:solidFill>
                      </wps:spPr>
                      <wps:bodyPr/>
                    </wps:wsp>
                  </a:graphicData>
                </a:graphic>
              </wp:anchor>
            </w:drawing>
          </mc:Choice>
          <mc:Fallback>
            <w:pict>
              <v:rect id="Shape 117" o:spid="_x0000_s1142" style="position:absolute;margin-left:-0.4499pt;margin-top:9.35pt;width:512.95pt;height: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Borders>
              <w:top w:val="single" w:sz="8" w:color="231F20"/>
            </w:tcBorders>
          </w:tcPr>
          <w:p>
            <w:pPr>
              <w:spacing w:after="0"/>
              <w:rPr>
                <w:sz w:val="12"/>
                <w:szCs w:val="12"/>
                <w:color w:val="auto"/>
              </w:rPr>
            </w:pPr>
          </w:p>
        </w:tc>
        <w:tc>
          <w:tcPr>
            <w:tcW w:w="860" w:type="dxa"/>
            <w:vAlign w:val="bottom"/>
            <w:tcBorders>
              <w:top w:val="single" w:sz="8" w:color="231F20"/>
            </w:tcBorders>
            <w:gridSpan w:val="2"/>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160" w:type="dxa"/>
            <w:vAlign w:val="bottom"/>
            <w:tcBorders>
              <w:top w:val="single" w:sz="8" w:color="231F20"/>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File No.</w:t>
            </w:r>
          </w:p>
        </w:tc>
        <w:tc>
          <w:tcPr>
            <w:tcW w:w="1480" w:type="dxa"/>
            <w:vAlign w:val="bottom"/>
            <w:tcBorders>
              <w:top w:val="single" w:sz="8" w:color="231F20"/>
            </w:tcBorders>
            <w:gridSpan w:val="3"/>
            <w:vMerge w:val="restart"/>
          </w:tcPr>
          <w:p>
            <w:pPr>
              <w:jc w:val="center"/>
              <w:ind w:left="20"/>
              <w:spacing w:after="0"/>
              <w:rPr>
                <w:sz w:val="20"/>
                <w:szCs w:val="20"/>
                <w:color w:val="auto"/>
              </w:rPr>
            </w:pPr>
            <w:r>
              <w:rPr>
                <w:rFonts w:ascii="Times New Roman" w:cs="Times New Roman" w:eastAsia="Times New Roman" w:hAnsi="Times New Roman"/>
                <w:sz w:val="16"/>
                <w:szCs w:val="16"/>
                <w:b w:val="1"/>
                <w:bCs w:val="1"/>
                <w:color w:val="231F20"/>
              </w:rPr>
              <w:t>Date of Filing</w:t>
            </w:r>
          </w:p>
        </w:tc>
        <w:tc>
          <w:tcPr>
            <w:tcW w:w="760" w:type="dxa"/>
            <w:vAlign w:val="bottom"/>
            <w:tcBorders>
              <w:top w:val="single" w:sz="8" w:color="231F20"/>
            </w:tcBorders>
            <w:gridSpan w:val="4"/>
          </w:tcPr>
          <w:p>
            <w:pPr>
              <w:jc w:val="center"/>
              <w:ind w:left="100"/>
              <w:spacing w:after="0" w:line="145" w:lineRule="exact"/>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Borders>
              <w:top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860" w:type="dxa"/>
            <w:vAlign w:val="bottom"/>
            <w:tcBorders>
              <w:top w:val="single" w:sz="8" w:color="231F20"/>
            </w:tcBorders>
            <w:gridSpan w:val="2"/>
            <w:vMerge w:val="continue"/>
          </w:tcPr>
          <w:p>
            <w:pPr>
              <w:spacing w:after="0"/>
              <w:rPr>
                <w:sz w:val="12"/>
                <w:szCs w:val="12"/>
                <w:color w:val="auto"/>
              </w:rPr>
            </w:pPr>
          </w:p>
        </w:tc>
        <w:tc>
          <w:tcPr>
            <w:tcW w:w="1160" w:type="dxa"/>
            <w:vAlign w:val="bottom"/>
            <w:tcBorders>
              <w:top w:val="single" w:sz="8" w:color="231F20"/>
            </w:tcBorders>
            <w:gridSpan w:val="3"/>
            <w:vMerge w:val="continue"/>
          </w:tcPr>
          <w:p>
            <w:pPr>
              <w:spacing w:after="0"/>
              <w:rPr>
                <w:sz w:val="12"/>
                <w:szCs w:val="12"/>
                <w:color w:val="auto"/>
              </w:rPr>
            </w:pPr>
          </w:p>
        </w:tc>
        <w:tc>
          <w:tcPr>
            <w:tcW w:w="1480" w:type="dxa"/>
            <w:vAlign w:val="bottom"/>
            <w:tcBorders>
              <w:top w:val="single" w:sz="8" w:color="231F20"/>
            </w:tcBorders>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231F20"/>
            </w:tcBorders>
            <w:gridSpan w:val="3"/>
          </w:tcPr>
          <w:p>
            <w:pPr>
              <w:jc w:val="center"/>
              <w:ind w:right="40"/>
              <w:spacing w:after="0" w:line="140" w:lineRule="exact"/>
              <w:rPr>
                <w:sz w:val="20"/>
                <w:szCs w:val="20"/>
                <w:color w:val="auto"/>
              </w:rPr>
            </w:pPr>
            <w:r>
              <w:rPr>
                <w:rFonts w:ascii="Times New Roman" w:cs="Times New Roman" w:eastAsia="Times New Roman" w:hAnsi="Times New Roman"/>
                <w:sz w:val="16"/>
                <w:szCs w:val="16"/>
                <w:b w:val="1"/>
                <w:bCs w:val="1"/>
                <w:color w:val="231F20"/>
                <w:w w:val="93"/>
              </w:rPr>
              <w:t>No.</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color w:val="231F20"/>
              </w:rPr>
              <w:t>Filed</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120" w:type="dxa"/>
            <w:vAlign w:val="bottom"/>
            <w:gridSpan w:val="3"/>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860" w:type="dxa"/>
            <w:vAlign w:val="bottom"/>
            <w:gridSpan w:val="2"/>
          </w:tcPr>
          <w:p>
            <w:pPr>
              <w:jc w:val="center"/>
              <w:ind w:right="48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gridSpan w:val="3"/>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320" w:type="dxa"/>
            <w:vAlign w:val="bottom"/>
          </w:tcPr>
          <w:p>
            <w:pPr>
              <w:spacing w:after="0"/>
              <w:rPr>
                <w:sz w:val="17"/>
                <w:szCs w:val="17"/>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9"/>
              </w:rPr>
              <w:t>—</w:t>
            </w:r>
          </w:p>
        </w:tc>
        <w:tc>
          <w:tcPr>
            <w:tcW w:w="320" w:type="dxa"/>
            <w:vAlign w:val="bottom"/>
          </w:tcPr>
          <w:p>
            <w:pPr>
              <w:spacing w:after="0"/>
              <w:rPr>
                <w:sz w:val="17"/>
                <w:szCs w:val="17"/>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231F20"/>
                <w:w w:val="99"/>
              </w:rPr>
              <w:t>32</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color w:val="231F20"/>
              </w:rPr>
              <w:t>Filed</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20" w:type="dxa"/>
            <w:vAlign w:val="bottom"/>
            <w:gridSpan w:val="3"/>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231F20"/>
                <w:w w:val="99"/>
              </w:rPr>
              <w:t>herewith</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860" w:type="dxa"/>
            <w:vAlign w:val="bottom"/>
            <w:gridSpan w:val="2"/>
          </w:tcPr>
          <w:p>
            <w:pPr>
              <w:jc w:val="center"/>
              <w:ind w:right="480"/>
              <w:spacing w:after="0" w:line="200" w:lineRule="exact"/>
              <w:rPr>
                <w:sz w:val="20"/>
                <w:szCs w:val="20"/>
                <w:color w:val="auto"/>
              </w:rPr>
            </w:pPr>
            <w:r>
              <w:rPr>
                <w:rFonts w:ascii="Times New Roman" w:cs="Times New Roman" w:eastAsia="Times New Roman" w:hAnsi="Times New Roman"/>
                <w:sz w:val="20"/>
                <w:szCs w:val="20"/>
                <w:color w:val="231F20"/>
              </w:rPr>
              <w:t>as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gridSpan w:val="3"/>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231F20"/>
                <w:w w:val="98"/>
              </w:rPr>
              <w:t>Exhibit</w:t>
            </w:r>
          </w:p>
        </w:tc>
        <w:tc>
          <w:tcPr>
            <w:tcW w:w="320" w:type="dxa"/>
            <w:vAlign w:val="bottom"/>
          </w:tcPr>
          <w:p>
            <w:pPr>
              <w:spacing w:after="0"/>
              <w:rPr>
                <w:sz w:val="17"/>
                <w:szCs w:val="17"/>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20"/>
                <w:szCs w:val="20"/>
                <w:color w:val="231F20"/>
                <w:w w:val="99"/>
              </w:rPr>
              <w:t>—</w:t>
            </w:r>
          </w:p>
        </w:tc>
        <w:tc>
          <w:tcPr>
            <w:tcW w:w="320" w:type="dxa"/>
            <w:vAlign w:val="bottom"/>
          </w:tcPr>
          <w:p>
            <w:pPr>
              <w:spacing w:after="0"/>
              <w:rPr>
                <w:sz w:val="17"/>
                <w:szCs w:val="17"/>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40" w:type="dxa"/>
            <w:vAlign w:val="bottom"/>
            <w:gridSpan w:val="2"/>
          </w:tcPr>
          <w:p>
            <w:pPr>
              <w:jc w:val="center"/>
              <w:ind w:left="180"/>
              <w:spacing w:after="0"/>
              <w:rPr>
                <w:sz w:val="20"/>
                <w:szCs w:val="20"/>
                <w:color w:val="auto"/>
              </w:rPr>
            </w:pPr>
            <w:r>
              <w:rPr>
                <w:rFonts w:ascii="Times New Roman" w:cs="Times New Roman" w:eastAsia="Times New Roman" w:hAnsi="Times New Roman"/>
                <w:sz w:val="20"/>
                <w:szCs w:val="20"/>
                <w:color w:val="231F20"/>
                <w:w w:val="99"/>
              </w:rPr>
              <w:t>97</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20"/>
          <w:szCs w:val="20"/>
          <w:color w:val="231F20"/>
        </w:rPr>
        <w:t>Filed</w:t>
      </w:r>
    </w:p>
    <w:p>
      <w:pPr>
        <w:jc w:val="center"/>
        <w:ind w:right="3700"/>
        <w:spacing w:after="0" w:line="208" w:lineRule="auto"/>
        <w:rPr>
          <w:sz w:val="20"/>
          <w:szCs w:val="20"/>
          <w:color w:val="auto"/>
        </w:rPr>
      </w:pPr>
      <w:r>
        <w:rPr>
          <w:rFonts w:ascii="Times New Roman" w:cs="Times New Roman" w:eastAsia="Times New Roman" w:hAnsi="Times New Roman"/>
          <w:sz w:val="20"/>
          <w:szCs w:val="20"/>
          <w:color w:val="231F20"/>
        </w:rPr>
        <w:t>herewith</w:t>
      </w:r>
    </w:p>
    <w:p>
      <w:pPr>
        <w:jc w:val="center"/>
        <w:ind w:right="3700"/>
        <w:spacing w:after="0" w:line="209" w:lineRule="auto"/>
        <w:rPr>
          <w:sz w:val="20"/>
          <w:szCs w:val="20"/>
          <w:color w:val="auto"/>
        </w:rPr>
      </w:pPr>
      <w:r>
        <w:rPr>
          <w:rFonts w:ascii="Times New Roman" w:cs="Times New Roman" w:eastAsia="Times New Roman" w:hAnsi="Times New Roman"/>
          <w:sz w:val="20"/>
          <w:szCs w:val="20"/>
          <w:color w:val="231F20"/>
        </w:rPr>
        <w:t>as</w:t>
      </w:r>
    </w:p>
    <w:p>
      <w:pPr>
        <w:jc w:val="center"/>
        <w:ind w:right="3700"/>
        <w:spacing w:after="0" w:line="209" w:lineRule="auto"/>
        <w:rPr>
          <w:sz w:val="20"/>
          <w:szCs w:val="20"/>
          <w:color w:val="auto"/>
        </w:rPr>
      </w:pPr>
      <w:r>
        <w:rPr>
          <w:rFonts w:ascii="Times New Roman" w:cs="Times New Roman" w:eastAsia="Times New Roman" w:hAnsi="Times New Roman"/>
          <w:sz w:val="20"/>
          <w:szCs w:val="20"/>
          <w:color w:val="231F20"/>
        </w:rPr>
        <w:t>Exhibit</w:t>
      </w:r>
    </w:p>
    <w:p>
      <w:pPr>
        <w:ind w:left="300"/>
        <w:spacing w:after="0"/>
        <w:tabs>
          <w:tab w:leader="none" w:pos="1580" w:val="left"/>
          <w:tab w:leader="none" w:pos="2940" w:val="left"/>
          <w:tab w:leader="none" w:pos="4120" w:val="left"/>
        </w:tabs>
        <w:rPr>
          <w:sz w:val="20"/>
          <w:szCs w:val="20"/>
          <w:color w:val="auto"/>
        </w:rPr>
      </w:pP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w:t>
      </w:r>
    </w:p>
    <w:p>
      <w:pPr>
        <w:spacing w:after="0" w:line="140" w:lineRule="exact"/>
        <w:rPr>
          <w:sz w:val="20"/>
          <w:szCs w:val="20"/>
          <w:color w:val="auto"/>
        </w:rPr>
      </w:pPr>
    </w:p>
    <w:p>
      <w:pPr>
        <w:sectPr>
          <w:pgSz w:w="11880" w:h="15480" w:orient="portrait"/>
          <w:cols w:equalWidth="0" w:num="2">
            <w:col w:w="5260" w:space="400"/>
            <w:col w:w="4600"/>
          </w:cols>
          <w:pgMar w:left="820" w:top="588" w:right="800" w:bottom="0" w:gutter="0" w:footer="0" w:header="0"/>
        </w:sectPr>
      </w:pPr>
    </w:p>
    <w:p>
      <w:pPr>
        <w:ind w:left="980" w:right="5020" w:hanging="937"/>
        <w:spacing w:after="0"/>
        <w:tabs>
          <w:tab w:leader="none" w:pos="980" w:val="left"/>
        </w:tabs>
        <w:numPr>
          <w:ilvl w:val="0"/>
          <w:numId w:val="7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Cover Page Interactive Data File (formatted as Inline XBRL and contained in Exhibit 101)</w:t>
      </w:r>
    </w:p>
    <w:p>
      <w:pPr>
        <w:spacing w:after="0" w:line="153" w:lineRule="exact"/>
        <w:rPr>
          <w:sz w:val="20"/>
          <w:szCs w:val="20"/>
          <w:color w:val="auto"/>
        </w:rPr>
      </w:pPr>
    </w:p>
    <w:p>
      <w:pPr>
        <w:jc w:val="both"/>
        <w:ind w:left="6020"/>
        <w:spacing w:after="0"/>
        <w:tabs>
          <w:tab w:leader="none" w:pos="7240" w:val="left"/>
          <w:tab w:leader="none" w:pos="8600" w:val="left"/>
          <w:tab w:leader="none" w:pos="978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w:t>
      </w:r>
    </w:p>
    <w:p>
      <w:pPr>
        <w:spacing w:after="0" w:line="317" w:lineRule="exact"/>
        <w:rPr>
          <w:sz w:val="20"/>
          <w:szCs w:val="20"/>
          <w:color w:val="auto"/>
        </w:rPr>
      </w:pPr>
    </w:p>
    <w:p>
      <w:pPr>
        <w:ind w:left="640" w:right="400" w:hanging="597"/>
        <w:spacing w:after="0"/>
        <w:tabs>
          <w:tab w:leader="none" w:pos="640" w:val="left"/>
        </w:tabs>
        <w:numPr>
          <w:ilvl w:val="0"/>
          <w:numId w:val="7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contracts and compensatory plans and arrangements required to be filed as exhibits to this Form 10-K pursuant to Item 15(a)(3).</w:t>
      </w:r>
    </w:p>
    <w:p>
      <w:pPr>
        <w:spacing w:after="0" w:line="135" w:lineRule="exact"/>
        <w:rPr>
          <w:rFonts w:ascii="Times New Roman" w:cs="Times New Roman" w:eastAsia="Times New Roman" w:hAnsi="Times New Roman"/>
          <w:sz w:val="20"/>
          <w:szCs w:val="20"/>
          <w:color w:val="231F20"/>
        </w:rPr>
      </w:pPr>
    </w:p>
    <w:p>
      <w:pPr>
        <w:ind w:left="640" w:right="300" w:hanging="597"/>
        <w:spacing w:after="0"/>
        <w:tabs>
          <w:tab w:leader="none" w:pos="640"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exhibit has been filed separately with the Commission pursuant to an application for confidential treatment. The confidential portions of the exhibit have been omitted and are marked by an asterisk.</w:t>
      </w:r>
    </w:p>
    <w:p>
      <w:pPr>
        <w:spacing w:after="0" w:line="288"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16.</w:t>
      </w:r>
      <w:r>
        <w:rPr>
          <w:sz w:val="20"/>
          <w:szCs w:val="20"/>
          <w:color w:val="auto"/>
        </w:rPr>
        <w:tab/>
      </w:r>
      <w:r>
        <w:rPr>
          <w:rFonts w:ascii="Times New Roman" w:cs="Times New Roman" w:eastAsia="Times New Roman" w:hAnsi="Times New Roman"/>
          <w:sz w:val="19"/>
          <w:szCs w:val="19"/>
          <w:b w:val="1"/>
          <w:bCs w:val="1"/>
          <w:color w:val="231F20"/>
        </w:rPr>
        <w:t>FORM 10-K SUMMARY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260"/>
          </w:cols>
          <w:pgMar w:left="820" w:top="588"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260"/>
          </w:cols>
          <w:pgMar w:left="820" w:top="588" w:right="800" w:bottom="0" w:gutter="0" w:footer="0" w:header="0"/>
          <w:type w:val="continuous"/>
        </w:sectPr>
      </w:pPr>
    </w:p>
    <w:bookmarkStart w:id="88" w:name="page89"/>
    <w:bookmarkEnd w:id="88"/>
    <w:p>
      <w:pPr>
        <w:jc w:val="center"/>
        <w:ind w:right="-9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b w:val="1"/>
          <w:bCs w:val="1"/>
          <w:color w:val="231F20"/>
        </w:rPr>
        <w:t>Pursuant to the requirements of Section 13 or 15(d) of the Securities Exchange Act of 1934, the Registrant has duly caused this report to be signed on its behalf by the undersigned, thereunto duly authorized on the 24th day of February, 2026.</w:t>
      </w:r>
    </w:p>
    <w:p>
      <w:pPr>
        <w:spacing w:after="0" w:line="24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231F20"/>
        </w:rPr>
        <w:t>A</w:t>
      </w:r>
      <w:r>
        <w:rPr>
          <w:rFonts w:ascii="Times New Roman" w:cs="Times New Roman" w:eastAsia="Times New Roman" w:hAnsi="Times New Roman"/>
          <w:sz w:val="16"/>
          <w:szCs w:val="16"/>
          <w:color w:val="231F20"/>
        </w:rPr>
        <w:t>MERICAN</w:t>
      </w:r>
      <w:r>
        <w:rPr>
          <w:rFonts w:ascii="Times New Roman" w:cs="Times New Roman" w:eastAsia="Times New Roman" w:hAnsi="Times New Roman"/>
          <w:sz w:val="20"/>
          <w:szCs w:val="20"/>
          <w:color w:val="231F20"/>
        </w:rPr>
        <w:t xml:space="preserve"> T</w:t>
      </w:r>
      <w:r>
        <w:rPr>
          <w:rFonts w:ascii="Times New Roman" w:cs="Times New Roman" w:eastAsia="Times New Roman" w:hAnsi="Times New Roman"/>
          <w:sz w:val="16"/>
          <w:szCs w:val="16"/>
          <w:color w:val="231F20"/>
        </w:rPr>
        <w:t>OWER</w:t>
      </w:r>
      <w:r>
        <w:rPr>
          <w:rFonts w:ascii="Times New Roman" w:cs="Times New Roman" w:eastAsia="Times New Roman" w:hAnsi="Times New Roman"/>
          <w:sz w:val="20"/>
          <w:szCs w:val="20"/>
          <w:color w:val="231F20"/>
        </w:rPr>
        <w:t xml:space="preserve"> C</w:t>
      </w:r>
      <w:r>
        <w:rPr>
          <w:rFonts w:ascii="Times New Roman" w:cs="Times New Roman" w:eastAsia="Times New Roman" w:hAnsi="Times New Roman"/>
          <w:sz w:val="16"/>
          <w:szCs w:val="16"/>
          <w:color w:val="231F20"/>
        </w:rPr>
        <w:t>ORPORATION</w:t>
      </w:r>
    </w:p>
    <w:p>
      <w:pPr>
        <w:spacing w:after="0" w:line="355" w:lineRule="exact"/>
        <w:rPr>
          <w:sz w:val="20"/>
          <w:szCs w:val="20"/>
          <w:color w:val="auto"/>
        </w:rPr>
      </w:pPr>
    </w:p>
    <w:p>
      <w:pPr>
        <w:ind w:left="6220"/>
        <w:spacing w:after="0"/>
        <w:tabs>
          <w:tab w:leader="none" w:pos="7340" w:val="left"/>
          <w:tab w:leader="none" w:pos="7840" w:val="left"/>
        </w:tabs>
        <w:rPr>
          <w:sz w:val="20"/>
          <w:szCs w:val="20"/>
          <w:color w:val="auto"/>
        </w:rPr>
      </w:pPr>
      <w:r>
        <w:rPr>
          <w:rFonts w:ascii="Times New Roman" w:cs="Times New Roman" w:eastAsia="Times New Roman" w:hAnsi="Times New Roman"/>
          <w:sz w:val="20"/>
          <w:szCs w:val="20"/>
          <w:color w:val="231F20"/>
        </w:rPr>
        <w:t>By:</w:t>
      </w:r>
      <w:r>
        <w:rPr>
          <w:sz w:val="20"/>
          <w:szCs w:val="20"/>
          <w:color w:val="auto"/>
        </w:rPr>
        <w:tab/>
      </w: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15"/>
          <w:szCs w:val="15"/>
          <w:color w:val="231F20"/>
        </w:rPr>
        <w:t>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20955</wp:posOffset>
            </wp:positionV>
            <wp:extent cx="229552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5">
                      <a:extLst>
                        <a:ext uri="{28A0092B-C50C-407E-A947-70E740481C1C}"/>
                      </a:extLst>
                    </a:blip>
                    <a:srcRect/>
                    <a:stretch>
                      <a:fillRect/>
                    </a:stretch>
                  </pic:blipFill>
                  <pic:spPr bwMode="auto">
                    <a:xfrm>
                      <a:off x="0" y="0"/>
                      <a:ext cx="2295525" cy="12700"/>
                    </a:xfrm>
                    <a:prstGeom prst="rect">
                      <a:avLst/>
                    </a:prstGeom>
                    <a:noFill/>
                  </pic:spPr>
                </pic:pic>
              </a:graphicData>
            </a:graphic>
          </wp:anchor>
        </w:drawing>
      </w:r>
    </w:p>
    <w:p>
      <w:pPr>
        <w:spacing w:after="0" w:line="40"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6"/>
          <w:szCs w:val="16"/>
          <w:b w:val="1"/>
          <w:bCs w:val="1"/>
          <w:color w:val="231F20"/>
        </w:rPr>
        <w:t>Steven O. Vondran</w:t>
      </w:r>
    </w:p>
    <w:p>
      <w:pPr>
        <w:jc w:val="center"/>
        <w:ind w:left="6580"/>
        <w:spacing w:after="0"/>
        <w:rPr>
          <w:sz w:val="20"/>
          <w:szCs w:val="20"/>
          <w:color w:val="auto"/>
        </w:rPr>
      </w:pPr>
      <w:r>
        <w:rPr>
          <w:rFonts w:ascii="Times New Roman" w:cs="Times New Roman" w:eastAsia="Times New Roman" w:hAnsi="Times New Roman"/>
          <w:sz w:val="16"/>
          <w:szCs w:val="16"/>
          <w:b w:val="1"/>
          <w:bCs w:val="1"/>
          <w:color w:val="231F20"/>
        </w:rPr>
        <w:t>President and Chief Executive Officer</w:t>
      </w:r>
    </w:p>
    <w:p>
      <w:pPr>
        <w:sectPr>
          <w:pgSz w:w="11880" w:h="15480" w:orient="portrait"/>
          <w:cols w:equalWidth="0" w:num="1">
            <w:col w:w="10180"/>
          </w:cols>
          <w:pgMar w:left="820" w:top="43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180"/>
          </w:cols>
          <w:pgMar w:left="820" w:top="431" w:right="880" w:bottom="0" w:gutter="0" w:footer="0" w:header="0"/>
          <w:type w:val="continuous"/>
        </w:sectPr>
      </w:pPr>
    </w:p>
    <w:bookmarkStart w:id="89" w:name="page90"/>
    <w:bookmarkEnd w:id="89"/>
    <w:p>
      <w:pPr>
        <w:ind w:right="260"/>
        <w:spacing w:after="0" w:line="286" w:lineRule="auto"/>
        <w:rPr>
          <w:sz w:val="20"/>
          <w:szCs w:val="20"/>
          <w:color w:val="auto"/>
        </w:rPr>
      </w:pPr>
      <w:r>
        <w:rPr>
          <w:rFonts w:ascii="Times New Roman" w:cs="Times New Roman" w:eastAsia="Times New Roman" w:hAnsi="Times New Roman"/>
          <w:sz w:val="20"/>
          <w:szCs w:val="20"/>
          <w:b w:val="1"/>
          <w:bCs w:val="1"/>
          <w:color w:val="231F20"/>
        </w:rPr>
        <w:t>Pursuant to the requirements of the Securities Exchange Act of 1934, this report has been duly signed below by the following persons on behalf of the Registrant and in the capacities and on the dates indicated.</w:t>
      </w:r>
    </w:p>
    <w:p>
      <w:pPr>
        <w:sectPr>
          <w:pgSz w:w="11880" w:h="15480" w:orient="portrait"/>
          <w:cols w:equalWidth="0" w:num="1">
            <w:col w:w="10020"/>
          </w:cols>
          <w:pgMar w:left="820" w:top="431" w:right="1040" w:bottom="0" w:gutter="0" w:footer="0" w:header="0"/>
        </w:sectPr>
      </w:pP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231F20"/>
        </w:rPr>
        <w:t>Signature</w:t>
      </w:r>
    </w:p>
    <w:p>
      <w:pPr>
        <w:spacing w:after="0" w:line="4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6">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231F20"/>
        </w:rPr>
        <w:t>Steven O. Vondran</w:t>
      </w:r>
    </w:p>
    <w:p>
      <w:pPr>
        <w:spacing w:after="0" w:line="27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7">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231F20"/>
        </w:rPr>
        <w:t>Rodney M. Smith</w:t>
      </w:r>
    </w:p>
    <w:p>
      <w:pPr>
        <w:spacing w:after="0" w:line="3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ROBERT J.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8">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231F20"/>
        </w:rPr>
        <w:t>Robert J. Meyer</w:t>
      </w:r>
    </w:p>
    <w:p>
      <w:pPr>
        <w:spacing w:after="0" w:line="3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KELLY C. CHAMBLISS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9">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231F20"/>
        </w:rPr>
        <w:t>Kelly C. Chambliss</w:t>
      </w:r>
    </w:p>
    <w:p>
      <w:pPr>
        <w:spacing w:after="0" w:line="2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TERESA H.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0">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231F20"/>
        </w:rPr>
        <w:t>Teresa H. Clarke</w:t>
      </w:r>
    </w:p>
    <w:p>
      <w:pPr>
        <w:spacing w:after="0" w:line="2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KENNETH R.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1">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231F20"/>
        </w:rPr>
        <w:t>Kenneth R. Frank</w:t>
      </w:r>
    </w:p>
    <w:p>
      <w:pPr>
        <w:spacing w:after="0" w:line="2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ROBERT D. HORMATS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2">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231F20"/>
        </w:rPr>
        <w:t>Robert D. Hormats</w:t>
      </w:r>
    </w:p>
    <w:p>
      <w:pPr>
        <w:spacing w:after="0" w:line="2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RAJESH KALATHUR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3">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231F20"/>
        </w:rPr>
        <w:t>Rajesh Kalathur</w:t>
      </w:r>
    </w:p>
    <w:p>
      <w:pPr>
        <w:spacing w:after="0" w:line="27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GRACE D.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4">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231F20"/>
        </w:rPr>
        <w:t>Grace D. Lieblein</w:t>
      </w: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CRAIG MACNAB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5">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231F20"/>
        </w:rPr>
        <w:t>Craig Macnab</w:t>
      </w:r>
    </w:p>
    <w:p>
      <w:pPr>
        <w:spacing w:after="0" w:line="2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231F20"/>
        </w:rPr>
        <w:t xml:space="preserve">/S/  </w:t>
      </w:r>
      <w:r>
        <w:rPr>
          <w:rFonts w:ascii="Times New Roman" w:cs="Times New Roman" w:eastAsia="Times New Roman" w:hAnsi="Times New Roman"/>
          <w:sz w:val="16"/>
          <w:szCs w:val="16"/>
          <w:color w:val="231F20"/>
        </w:rPr>
        <w:t>NEVILLE R.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6">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231F20"/>
        </w:rPr>
        <w:t>Neville R. Ray</w:t>
      </w:r>
    </w:p>
    <w:p>
      <w:pPr>
        <w:spacing w:after="0" w:line="3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PAMELA D. A. REEVE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7">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231F20"/>
        </w:rPr>
        <w:t>Pamela D. A. Reeve</w:t>
      </w:r>
    </w:p>
    <w:p>
      <w:pPr>
        <w:spacing w:after="0" w:line="27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16"/>
          <w:szCs w:val="16"/>
          <w:color w:val="231F20"/>
        </w:rPr>
        <w: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6"/>
          <w:szCs w:val="16"/>
          <w:color w:val="231F20"/>
        </w:rPr>
        <w:t>EUGENE F.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743200"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8">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231F20"/>
        </w:rPr>
        <w:t>Eugene F. Reilly</w:t>
      </w:r>
    </w:p>
    <w:p>
      <w:pPr>
        <w:spacing w:after="0" w:line="3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231F20"/>
        </w:rPr>
        <w:t>/S/  BRUCE L.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743200"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9">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4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231F20"/>
        </w:rPr>
        <w:t>Bruce L. Tanner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5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231F20"/>
              </w:rPr>
              <w:t>Title</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42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President and Chief Executive Officer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6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(Principal Executive Officer), Director</w:t>
            </w:r>
          </w:p>
        </w:tc>
        <w:tc>
          <w:tcPr>
            <w:tcW w:w="1880" w:type="dxa"/>
            <w:vAlign w:val="bottom"/>
          </w:tcPr>
          <w:p>
            <w:pPr>
              <w:spacing w:after="0"/>
              <w:rPr>
                <w:sz w:val="22"/>
                <w:szCs w:val="22"/>
                <w:color w:val="auto"/>
              </w:rPr>
            </w:pPr>
          </w:p>
        </w:tc>
      </w:tr>
      <w:tr>
        <w:trPr>
          <w:trHeight w:val="62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Executive Vice President, Chief</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00"/>
        </w:trPr>
        <w:tc>
          <w:tcPr>
            <w:tcW w:w="3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231F20"/>
              </w:rPr>
              <w:t>Financial Officer and Treasurer</w:t>
            </w:r>
          </w:p>
        </w:tc>
        <w:tc>
          <w:tcPr>
            <w:tcW w:w="1880" w:type="dxa"/>
            <w:vAlign w:val="bottom"/>
          </w:tcPr>
          <w:p>
            <w:pPr>
              <w:spacing w:after="0"/>
              <w:rPr>
                <w:sz w:val="17"/>
                <w:szCs w:val="17"/>
                <w:color w:val="auto"/>
              </w:rPr>
            </w:pPr>
          </w:p>
        </w:tc>
      </w:tr>
      <w:tr>
        <w:trPr>
          <w:trHeight w:val="26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(Principal Financial Officer)</w:t>
            </w:r>
          </w:p>
        </w:tc>
        <w:tc>
          <w:tcPr>
            <w:tcW w:w="1880" w:type="dxa"/>
            <w:vAlign w:val="bottom"/>
          </w:tcPr>
          <w:p>
            <w:pPr>
              <w:spacing w:after="0"/>
              <w:rPr>
                <w:sz w:val="22"/>
                <w:szCs w:val="22"/>
                <w:color w:val="auto"/>
              </w:rPr>
            </w:pPr>
          </w:p>
        </w:tc>
      </w:tr>
      <w:tr>
        <w:trPr>
          <w:trHeight w:val="39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Senior Vice President and Chief</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00"/>
        </w:trPr>
        <w:tc>
          <w:tcPr>
            <w:tcW w:w="3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231F20"/>
              </w:rPr>
              <w:t>Accounting Officer (Principal</w:t>
            </w:r>
          </w:p>
        </w:tc>
        <w:tc>
          <w:tcPr>
            <w:tcW w:w="1880" w:type="dxa"/>
            <w:vAlign w:val="bottom"/>
          </w:tcPr>
          <w:p>
            <w:pPr>
              <w:spacing w:after="0"/>
              <w:rPr>
                <w:sz w:val="17"/>
                <w:szCs w:val="17"/>
                <w:color w:val="auto"/>
              </w:rPr>
            </w:pPr>
          </w:p>
        </w:tc>
      </w:tr>
      <w:tr>
        <w:trPr>
          <w:trHeight w:val="26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Accounting Officer)</w:t>
            </w:r>
          </w:p>
        </w:tc>
        <w:tc>
          <w:tcPr>
            <w:tcW w:w="1880" w:type="dxa"/>
            <w:vAlign w:val="bottom"/>
          </w:tcPr>
          <w:p>
            <w:pPr>
              <w:spacing w:after="0"/>
              <w:rPr>
                <w:sz w:val="22"/>
                <w:szCs w:val="22"/>
                <w:color w:val="auto"/>
              </w:rPr>
            </w:pPr>
          </w:p>
        </w:tc>
      </w:tr>
      <w:tr>
        <w:trPr>
          <w:trHeight w:val="47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6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6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5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81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0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5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5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6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Chair of the Board, 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5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50"/>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231F20"/>
              </w:rPr>
              <w:t>Director</w:t>
            </w:r>
          </w:p>
        </w:tc>
        <w:tc>
          <w:tcPr>
            <w:tcW w:w="188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231F20"/>
              </w:rPr>
              <w:t>February 24, 2026</w:t>
            </w:r>
          </w:p>
        </w:tc>
      </w:tr>
    </w:tbl>
    <w:p>
      <w:pPr>
        <w:spacing w:after="0" w:line="431" w:lineRule="exact"/>
        <w:rPr>
          <w:sz w:val="20"/>
          <w:szCs w:val="20"/>
          <w:color w:val="auto"/>
        </w:rPr>
      </w:pPr>
    </w:p>
    <w:p>
      <w:pPr>
        <w:sectPr>
          <w:pgSz w:w="11880" w:h="15480" w:orient="portrait"/>
          <w:cols w:equalWidth="0" w:num="2">
            <w:col w:w="3920" w:space="720"/>
            <w:col w:w="5380"/>
          </w:cols>
          <w:pgMar w:left="820" w:top="431"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020"/>
          </w:cols>
          <w:pgMar w:left="820" w:top="431" w:right="1040" w:bottom="0" w:gutter="0" w:footer="0" w:header="0"/>
          <w:type w:val="continuous"/>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20"/>
          <w:szCs w:val="20"/>
          <w:b w:val="1"/>
          <w:bCs w:val="1"/>
          <w:color w:val="231F20"/>
        </w:rPr>
        <w:t>AMERICAN TOWER CORPORATION AND SUBSIDIARIES</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40" w:type="dxa"/>
            <w:vAlign w:val="bottom"/>
          </w:tcPr>
          <w:p>
            <w:pPr>
              <w:spacing w:after="0"/>
              <w:rPr>
                <w:sz w:val="18"/>
                <w:szCs w:val="18"/>
                <w:color w:val="auto"/>
              </w:rPr>
            </w:pPr>
          </w:p>
        </w:tc>
        <w:tc>
          <w:tcPr>
            <w:tcW w:w="106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Page</w:t>
            </w:r>
          </w:p>
        </w:tc>
      </w:tr>
      <w:tr>
        <w:trPr>
          <w:trHeight w:val="382"/>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(PCAOB ID No. 34)</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40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40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 for the Years Ended December 31, 2025,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40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Comprehensive Income for the Years Ended December 31, 2025,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40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Equity for the Years Ended December 31, 2025,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r>
      <w:tr>
        <w:trPr>
          <w:trHeight w:val="40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2024 and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405"/>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r>
    </w:tbl>
    <w:p>
      <w:pPr>
        <w:spacing w:after="0" w:line="200" w:lineRule="exact"/>
        <w:rPr>
          <w:sz w:val="20"/>
          <w:szCs w:val="20"/>
          <w:color w:val="auto"/>
        </w:rPr>
      </w:pPr>
    </w:p>
    <w:p>
      <w:pPr>
        <w:sectPr>
          <w:pgSz w:w="11880" w:h="15480" w:orient="portrait"/>
          <w:cols w:equalWidth="0" w:num="1">
            <w:col w:w="10200"/>
          </w:cols>
          <w:pgMar w:left="860" w:top="38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F-1</w:t>
      </w:r>
    </w:p>
    <w:p>
      <w:pPr>
        <w:sectPr>
          <w:pgSz w:w="11880" w:h="15480" w:orient="portrait"/>
          <w:cols w:equalWidth="0" w:num="1">
            <w:col w:w="10200"/>
          </w:cols>
          <w:pgMar w:left="860" w:top="386" w:right="820" w:bottom="0" w:gutter="0" w:footer="0" w:header="0"/>
          <w:type w:val="continuous"/>
        </w:sectPr>
      </w:pPr>
    </w:p>
    <w:bookmarkStart w:id="91" w:name="page92"/>
    <w:bookmarkEnd w:id="91"/>
    <w:p>
      <w:pPr>
        <w:ind w:right="1680" w:firstLine="1704"/>
        <w:spacing w:after="0" w:line="414" w:lineRule="auto"/>
        <w:rPr>
          <w:sz w:val="20"/>
          <w:szCs w:val="20"/>
          <w:color w:val="auto"/>
        </w:rPr>
      </w:pPr>
      <w:r>
        <w:rPr>
          <w:rFonts w:ascii="Times New Roman" w:cs="Times New Roman" w:eastAsia="Times New Roman" w:hAnsi="Times New Roman"/>
          <w:sz w:val="20"/>
          <w:szCs w:val="20"/>
          <w:b w:val="1"/>
          <w:bCs w:val="1"/>
          <w:color w:val="231F20"/>
        </w:rPr>
        <w:t xml:space="preserve">REPORT OF INDEPENDENT REGISTERED PUBLIC ACCOUNTING FIRM </w:t>
      </w:r>
      <w:r>
        <w:rPr>
          <w:rFonts w:ascii="Times New Roman" w:cs="Times New Roman" w:eastAsia="Times New Roman" w:hAnsi="Times New Roman"/>
          <w:sz w:val="20"/>
          <w:szCs w:val="20"/>
          <w:color w:val="231F20"/>
        </w:rPr>
        <w:t xml:space="preserve">To the Stockholders and the Board of Directors of American Tower Corporation </w:t>
      </w:r>
      <w:r>
        <w:rPr>
          <w:rFonts w:ascii="Times New Roman" w:cs="Times New Roman" w:eastAsia="Times New Roman" w:hAnsi="Times New Roman"/>
          <w:sz w:val="20"/>
          <w:szCs w:val="20"/>
          <w:b w:val="1"/>
          <w:bCs w:val="1"/>
          <w:color w:val="231F20"/>
        </w:rPr>
        <w:t>Opinion on the Financial Statements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American Tower Corporation and subsidiaries (the “Company”) as of December 31, 2025 and 2024, the related consolidated statements of operations, comprehensive income,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3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231F20"/>
        </w:rPr>
        <w:t xml:space="preserve">Internal Control — Integrated Framework (2013) </w:t>
      </w:r>
      <w:r>
        <w:rPr>
          <w:rFonts w:ascii="Times New Roman" w:cs="Times New Roman" w:eastAsia="Times New Roman" w:hAnsi="Times New Roman"/>
          <w:sz w:val="20"/>
          <w:szCs w:val="20"/>
          <w:color w:val="231F20"/>
        </w:rPr>
        <w:t>issued by the Committee of Sponsoring Organizations of the Treadway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Commission and our report dated February 24, 2026, expressed an unqualified opinion on the Company's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7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17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Deloitte &amp; Touche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24,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1997.</w:t>
      </w:r>
    </w:p>
    <w:p>
      <w:pPr>
        <w:sectPr>
          <w:pgSz w:w="11880" w:h="15480" w:orient="portrait"/>
          <w:cols w:equalWidth="0" w:num="1">
            <w:col w:w="10220"/>
          </w:cols>
          <w:pgMar w:left="820" w:top="6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F-2</w:t>
      </w:r>
    </w:p>
    <w:p>
      <w:pPr>
        <w:sectPr>
          <w:pgSz w:w="11880" w:h="15480" w:orient="portrait"/>
          <w:cols w:equalWidth="0" w:num="1">
            <w:col w:w="10220"/>
          </w:cols>
          <w:pgMar w:left="820" w:top="626" w:right="840" w:bottom="0" w:gutter="0" w:footer="0" w:header="0"/>
          <w:type w:val="continuous"/>
        </w:sectPr>
      </w:pPr>
    </w:p>
    <w:bookmarkStart w:id="92" w:name="page93"/>
    <w:bookmarkEnd w:id="92"/>
    <w:p>
      <w:pPr>
        <w:ind w:left="2400"/>
        <w:spacing w:after="0"/>
        <w:rPr>
          <w:sz w:val="20"/>
          <w:szCs w:val="20"/>
          <w:color w:val="auto"/>
        </w:rPr>
      </w:pPr>
      <w:r>
        <w:rPr>
          <w:rFonts w:ascii="Times New Roman" w:cs="Times New Roman" w:eastAsia="Times New Roman" w:hAnsi="Times New Roman"/>
          <w:sz w:val="20"/>
          <w:szCs w:val="20"/>
          <w:b w:val="1"/>
          <w:bCs w:val="1"/>
          <w:color w:val="231F20"/>
        </w:rPr>
        <w:t>AMERICAN TOWER CORPORATION AND SUBSIDIARIES</w:t>
      </w:r>
    </w:p>
    <w:p>
      <w:pPr>
        <w:spacing w:after="0" w:line="1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millions, except share count and per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Borders>
              <w:bottom w:val="single" w:sz="8" w:color="E3E4E5"/>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80" w:type="dxa"/>
            <w:vAlign w:val="bottom"/>
            <w:tcBorders>
              <w:bottom w:val="single" w:sz="8" w:color="E3E4E5"/>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0" w:type="dxa"/>
            <w:vAlign w:val="bottom"/>
          </w:tcPr>
          <w:p>
            <w:pPr>
              <w:spacing w:after="0"/>
              <w:rPr>
                <w:sz w:val="1"/>
                <w:szCs w:val="1"/>
                <w:color w:val="auto"/>
              </w:rPr>
            </w:pPr>
          </w:p>
        </w:tc>
      </w:tr>
      <w:tr>
        <w:trPr>
          <w:trHeight w:val="245"/>
        </w:trPr>
        <w:tc>
          <w:tcPr>
            <w:tcW w:w="64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20" w:type="dxa"/>
            <w:vAlign w:val="bottom"/>
            <w:shd w:val="clear" w:color="auto" w:fill="E3E4E5"/>
          </w:tcPr>
          <w:p>
            <w:pPr>
              <w:spacing w:after="0"/>
              <w:rPr>
                <w:sz w:val="21"/>
                <w:szCs w:val="21"/>
                <w:color w:val="auto"/>
              </w:rPr>
            </w:pPr>
          </w:p>
        </w:tc>
        <w:tc>
          <w:tcPr>
            <w:tcW w:w="162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162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CURRENT ASSETS:</w:t>
            </w: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Cash and cash equivalents </w:t>
            </w:r>
            <w:r>
              <w:rPr>
                <w:rFonts w:ascii="Times New Roman" w:cs="Times New Roman" w:eastAsia="Times New Roman" w:hAnsi="Times New Roman"/>
                <w:sz w:val="20"/>
                <w:szCs w:val="20"/>
                <w:color w:val="BABCBE"/>
              </w:rPr>
              <w:t>............................................................................</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1,474.8</w:t>
            </w:r>
          </w:p>
        </w:tc>
        <w:tc>
          <w:tcPr>
            <w:tcW w:w="30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1,999.6</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Restricted cash </w:t>
            </w:r>
            <w:r>
              <w:rPr>
                <w:rFonts w:ascii="Times New Roman" w:cs="Times New Roman" w:eastAsia="Times New Roman" w:hAnsi="Times New Roman"/>
                <w:sz w:val="20"/>
                <w:szCs w:val="20"/>
                <w:color w:val="BABCBE"/>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108.6</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Accounts receivable, net</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650.3</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540.0</w:t>
            </w:r>
          </w:p>
        </w:tc>
        <w:tc>
          <w:tcPr>
            <w:tcW w:w="0" w:type="dxa"/>
            <w:vAlign w:val="bottom"/>
          </w:tcPr>
          <w:p>
            <w:pPr>
              <w:spacing w:after="0"/>
              <w:rPr>
                <w:sz w:val="1"/>
                <w:szCs w:val="1"/>
                <w:color w:val="auto"/>
              </w:rPr>
            </w:pPr>
          </w:p>
        </w:tc>
      </w:tr>
      <w:tr>
        <w:trPr>
          <w:trHeight w:val="245"/>
        </w:trPr>
        <w:tc>
          <w:tcPr>
            <w:tcW w:w="6480" w:type="dxa"/>
            <w:vAlign w:val="bottom"/>
            <w:tcBorders>
              <w:bottom w:val="single" w:sz="8" w:color="E3E4E5"/>
            </w:tcBorders>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Prepaid and other current assets </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486.3</w:t>
            </w:r>
          </w:p>
        </w:tc>
        <w:tc>
          <w:tcPr>
            <w:tcW w:w="80" w:type="dxa"/>
            <w:vAlign w:val="bottom"/>
            <w:tcBorders>
              <w:bottom w:val="single" w:sz="8" w:color="E3E4E5"/>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530.6</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Total current assets </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2,741.8</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3,178.8</w:t>
            </w:r>
          </w:p>
        </w:tc>
        <w:tc>
          <w:tcPr>
            <w:tcW w:w="0" w:type="dxa"/>
            <w:vAlign w:val="bottom"/>
          </w:tcPr>
          <w:p>
            <w:pPr>
              <w:spacing w:after="0"/>
              <w:rPr>
                <w:sz w:val="1"/>
                <w:szCs w:val="1"/>
                <w:color w:val="auto"/>
              </w:rPr>
            </w:pPr>
          </w:p>
        </w:tc>
      </w:tr>
      <w:tr>
        <w:trPr>
          <w:trHeight w:val="225"/>
        </w:trPr>
        <w:tc>
          <w:tcPr>
            <w:tcW w:w="6480" w:type="dxa"/>
            <w:vAlign w:val="bottom"/>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rPr>
              <w:t xml:space="preserve">PROPERTY AND EQUIPMENT, net </w:t>
            </w:r>
            <w:r>
              <w:rPr>
                <w:rFonts w:ascii="Times New Roman" w:cs="Times New Roman" w:eastAsia="Times New Roman" w:hAnsi="Times New Roman"/>
                <w:sz w:val="20"/>
                <w:szCs w:val="20"/>
                <w:color w:val="BABCBE"/>
              </w:rPr>
              <w:t>................................................................</w:t>
            </w:r>
          </w:p>
        </w:tc>
        <w:tc>
          <w:tcPr>
            <w:tcW w:w="220" w:type="dxa"/>
            <w:vAlign w:val="bottom"/>
          </w:tcPr>
          <w:p>
            <w:pPr>
              <w:spacing w:after="0"/>
              <w:rPr>
                <w:sz w:val="19"/>
                <w:szCs w:val="19"/>
                <w:color w:val="auto"/>
              </w:rPr>
            </w:pPr>
          </w:p>
        </w:tc>
        <w:tc>
          <w:tcPr>
            <w:tcW w:w="16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20,356.3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19,056.8</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w w:val="99"/>
              </w:rPr>
              <w:t xml:space="preserve">GOODWILL </w:t>
            </w:r>
            <w:r>
              <w:rPr>
                <w:rFonts w:ascii="Times New Roman" w:cs="Times New Roman" w:eastAsia="Times New Roman" w:hAnsi="Times New Roman"/>
                <w:sz w:val="20"/>
                <w:szCs w:val="20"/>
                <w:color w:val="BABCBE"/>
                <w:w w:val="99"/>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12,255.5</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11,768.1</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OTHER INTANGIBLE ASSETS, net</w:t>
            </w:r>
            <w:r>
              <w:rPr>
                <w:rFonts w:ascii="Times New Roman" w:cs="Times New Roman" w:eastAsia="Times New Roman" w:hAnsi="Times New Roman"/>
                <w:sz w:val="20"/>
                <w:szCs w:val="20"/>
                <w:color w:val="BABCBE"/>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14,530.7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14,474.3</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DEFERRED TAX ASSET </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151.4</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122.7</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DEFERRED RENT ASSET </w:t>
            </w:r>
            <w:r>
              <w:rPr>
                <w:rFonts w:ascii="Times New Roman" w:cs="Times New Roman" w:eastAsia="Times New Roman" w:hAnsi="Times New Roman"/>
                <w:sz w:val="20"/>
                <w:szCs w:val="20"/>
                <w:color w:val="BABCBE"/>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3,851.3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3,710.2</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RIGHT-OF-USE ASSET</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8,426.5</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8,089.6</w:t>
            </w:r>
          </w:p>
        </w:tc>
        <w:tc>
          <w:tcPr>
            <w:tcW w:w="0" w:type="dxa"/>
            <w:vAlign w:val="bottom"/>
          </w:tcPr>
          <w:p>
            <w:pPr>
              <w:spacing w:after="0"/>
              <w:rPr>
                <w:sz w:val="1"/>
                <w:szCs w:val="1"/>
                <w:color w:val="auto"/>
              </w:rPr>
            </w:pPr>
          </w:p>
        </w:tc>
      </w:tr>
      <w:tr>
        <w:trPr>
          <w:trHeight w:val="245"/>
        </w:trPr>
        <w:tc>
          <w:tcPr>
            <w:tcW w:w="6480" w:type="dxa"/>
            <w:vAlign w:val="bottom"/>
            <w:tcBorders>
              <w:bottom w:val="single" w:sz="8" w:color="E3E4E5"/>
            </w:tcBorders>
          </w:tcPr>
          <w:p>
            <w:pPr>
              <w:jc w:val="right"/>
              <w:ind w:right="40"/>
              <w:spacing w:after="0"/>
              <w:rPr>
                <w:sz w:val="20"/>
                <w:szCs w:val="20"/>
                <w:color w:val="auto"/>
              </w:rPr>
            </w:pPr>
            <w:r>
              <w:rPr>
                <w:rFonts w:ascii="Times New Roman" w:cs="Times New Roman" w:eastAsia="Times New Roman" w:hAnsi="Times New Roman"/>
                <w:sz w:val="20"/>
                <w:szCs w:val="20"/>
                <w:color w:val="231F20"/>
              </w:rPr>
              <w:t>NOTES RECEIVABLE AND OTHER NON-CURRENT ASSETS</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876.9</w:t>
            </w:r>
          </w:p>
        </w:tc>
        <w:tc>
          <w:tcPr>
            <w:tcW w:w="80" w:type="dxa"/>
            <w:vAlign w:val="bottom"/>
            <w:tcBorders>
              <w:bottom w:val="single" w:sz="8" w:color="E3E4E5"/>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676.9</w:t>
            </w:r>
          </w:p>
        </w:tc>
        <w:tc>
          <w:tcPr>
            <w:tcW w:w="0" w:type="dxa"/>
            <w:vAlign w:val="bottom"/>
          </w:tcPr>
          <w:p>
            <w:pPr>
              <w:spacing w:after="0"/>
              <w:rPr>
                <w:sz w:val="1"/>
                <w:szCs w:val="1"/>
                <w:color w:val="auto"/>
              </w:rPr>
            </w:pPr>
          </w:p>
        </w:tc>
      </w:tr>
      <w:tr>
        <w:trPr>
          <w:trHeight w:val="235"/>
        </w:trPr>
        <w:tc>
          <w:tcPr>
            <w:tcW w:w="6480" w:type="dxa"/>
            <w:vAlign w:val="bottom"/>
            <w:shd w:val="clear" w:color="auto" w:fill="E3E4E5"/>
          </w:tcPr>
          <w:p>
            <w:pPr>
              <w:jc w:val="right"/>
              <w:ind w:right="40"/>
              <w:spacing w:after="0" w:line="215" w:lineRule="exact"/>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ABCBE"/>
              </w:rPr>
              <w:t>................................................................................................................</w:t>
            </w:r>
          </w:p>
        </w:tc>
        <w:tc>
          <w:tcPr>
            <w:tcW w:w="220" w:type="dxa"/>
            <w:vAlign w:val="bottom"/>
            <w:shd w:val="clear" w:color="auto" w:fill="E3E4E5"/>
          </w:tcPr>
          <w:p>
            <w:pPr>
              <w:jc w:val="right"/>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3E4E5"/>
          </w:tcPr>
          <w:p>
            <w:pPr>
              <w:jc w:val="right"/>
              <w:spacing w:after="0" w:line="215" w:lineRule="exact"/>
              <w:rPr>
                <w:sz w:val="20"/>
                <w:szCs w:val="20"/>
                <w:color w:val="auto"/>
              </w:rPr>
            </w:pPr>
            <w:r>
              <w:rPr>
                <w:rFonts w:ascii="Times New Roman" w:cs="Times New Roman" w:eastAsia="Times New Roman" w:hAnsi="Times New Roman"/>
                <w:sz w:val="20"/>
                <w:szCs w:val="20"/>
                <w:color w:val="231F20"/>
              </w:rPr>
              <w:t>63,190.4</w:t>
            </w:r>
          </w:p>
        </w:tc>
        <w:tc>
          <w:tcPr>
            <w:tcW w:w="300" w:type="dxa"/>
            <w:vAlign w:val="bottom"/>
            <w:gridSpan w:val="2"/>
            <w:shd w:val="clear" w:color="auto" w:fill="E3E4E5"/>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3E4E5"/>
          </w:tcPr>
          <w:p>
            <w:pPr>
              <w:jc w:val="right"/>
              <w:spacing w:after="0" w:line="215" w:lineRule="exact"/>
              <w:rPr>
                <w:sz w:val="20"/>
                <w:szCs w:val="20"/>
                <w:color w:val="auto"/>
              </w:rPr>
            </w:pPr>
            <w:r>
              <w:rPr>
                <w:rFonts w:ascii="Times New Roman" w:cs="Times New Roman" w:eastAsia="Times New Roman" w:hAnsi="Times New Roman"/>
                <w:sz w:val="20"/>
                <w:szCs w:val="20"/>
                <w:color w:val="231F20"/>
              </w:rPr>
              <w:t>61,077.4</w:t>
            </w:r>
          </w:p>
        </w:tc>
        <w:tc>
          <w:tcPr>
            <w:tcW w:w="0" w:type="dxa"/>
            <w:vAlign w:val="bottom"/>
          </w:tcPr>
          <w:p>
            <w:pPr>
              <w:spacing w:after="0"/>
              <w:rPr>
                <w:sz w:val="1"/>
                <w:szCs w:val="1"/>
                <w:color w:val="auto"/>
              </w:rPr>
            </w:pPr>
          </w:p>
        </w:tc>
      </w:tr>
      <w:tr>
        <w:trPr>
          <w:trHeight w:val="20"/>
        </w:trPr>
        <w:tc>
          <w:tcPr>
            <w:tcW w:w="6480" w:type="dxa"/>
            <w:vAlign w:val="bottom"/>
            <w:tcBorders>
              <w:top w:val="single" w:sz="8" w:color="E3E4E5"/>
              <w:bottom w:val="single" w:sz="8" w:color="E3E4E5"/>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CURRENT LIABILITIES:</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Accounts payable</w:t>
            </w:r>
            <w:r>
              <w:rPr>
                <w:rFonts w:ascii="Times New Roman" w:cs="Times New Roman" w:eastAsia="Times New Roman" w:hAnsi="Times New Roman"/>
                <w:sz w:val="20"/>
                <w:szCs w:val="20"/>
                <w:color w:val="BABCBE"/>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240.8</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Accrued expenses </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1,112.5</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1,082.0</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Distributions payable </w:t>
            </w:r>
            <w:r>
              <w:rPr>
                <w:rFonts w:ascii="Times New Roman" w:cs="Times New Roman" w:eastAsia="Times New Roman" w:hAnsi="Times New Roman"/>
                <w:sz w:val="20"/>
                <w:szCs w:val="20"/>
                <w:color w:val="BABCBE"/>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818.6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780.3</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Accrued interest </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425.2</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373.6</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Current portion of operating lease liability</w:t>
            </w:r>
            <w:r>
              <w:rPr>
                <w:rFonts w:ascii="Times New Roman" w:cs="Times New Roman" w:eastAsia="Times New Roman" w:hAnsi="Times New Roman"/>
                <w:sz w:val="20"/>
                <w:szCs w:val="20"/>
                <w:color w:val="BABCBE"/>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576.7</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Current portion of long-term obligations</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3,387.8</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3,693.0</w:t>
            </w:r>
          </w:p>
        </w:tc>
        <w:tc>
          <w:tcPr>
            <w:tcW w:w="0" w:type="dxa"/>
            <w:vAlign w:val="bottom"/>
          </w:tcPr>
          <w:p>
            <w:pPr>
              <w:spacing w:after="0"/>
              <w:rPr>
                <w:sz w:val="1"/>
                <w:szCs w:val="1"/>
                <w:color w:val="auto"/>
              </w:rPr>
            </w:pPr>
          </w:p>
        </w:tc>
      </w:tr>
      <w:tr>
        <w:trPr>
          <w:trHeight w:val="245"/>
        </w:trPr>
        <w:tc>
          <w:tcPr>
            <w:tcW w:w="6480" w:type="dxa"/>
            <w:vAlign w:val="bottom"/>
            <w:tcBorders>
              <w:bottom w:val="single" w:sz="8" w:color="E3E4E5"/>
            </w:tcBorders>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Unearned revenue </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325.0</w:t>
            </w:r>
          </w:p>
        </w:tc>
        <w:tc>
          <w:tcPr>
            <w:tcW w:w="80" w:type="dxa"/>
            <w:vAlign w:val="bottom"/>
            <w:tcBorders>
              <w:bottom w:val="single" w:sz="8" w:color="E3E4E5"/>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329.2</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Total current liabilities </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6,913.8</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7,075.6</w:t>
            </w:r>
          </w:p>
        </w:tc>
        <w:tc>
          <w:tcPr>
            <w:tcW w:w="0" w:type="dxa"/>
            <w:vAlign w:val="bottom"/>
          </w:tcPr>
          <w:p>
            <w:pPr>
              <w:spacing w:after="0"/>
              <w:rPr>
                <w:sz w:val="1"/>
                <w:szCs w:val="1"/>
                <w:color w:val="auto"/>
              </w:rPr>
            </w:pPr>
          </w:p>
        </w:tc>
      </w:tr>
      <w:tr>
        <w:trPr>
          <w:trHeight w:val="225"/>
        </w:trPr>
        <w:tc>
          <w:tcPr>
            <w:tcW w:w="6480" w:type="dxa"/>
            <w:vAlign w:val="bottom"/>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99"/>
              </w:rPr>
              <w:t xml:space="preserve">LONG-TERM OBLIGATIONS </w:t>
            </w:r>
            <w:r>
              <w:rPr>
                <w:rFonts w:ascii="Times New Roman" w:cs="Times New Roman" w:eastAsia="Times New Roman" w:hAnsi="Times New Roman"/>
                <w:sz w:val="20"/>
                <w:szCs w:val="20"/>
                <w:color w:val="BABCBE"/>
                <w:w w:val="99"/>
              </w:rPr>
              <w:t>..........................................................................</w:t>
            </w:r>
          </w:p>
        </w:tc>
        <w:tc>
          <w:tcPr>
            <w:tcW w:w="220" w:type="dxa"/>
            <w:vAlign w:val="bottom"/>
          </w:tcPr>
          <w:p>
            <w:pPr>
              <w:spacing w:after="0"/>
              <w:rPr>
                <w:sz w:val="19"/>
                <w:szCs w:val="19"/>
                <w:color w:val="auto"/>
              </w:rPr>
            </w:pPr>
          </w:p>
        </w:tc>
        <w:tc>
          <w:tcPr>
            <w:tcW w:w="16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33,832.5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32,808.8</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OPERATING LEASE LIABILITY</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7,158.7</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6,875.6</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9"/>
              </w:rPr>
              <w:t xml:space="preserve">ASSET RETIREMENT OBLIGATIONS </w:t>
            </w:r>
            <w:r>
              <w:rPr>
                <w:rFonts w:ascii="Times New Roman" w:cs="Times New Roman" w:eastAsia="Times New Roman" w:hAnsi="Times New Roman"/>
                <w:sz w:val="20"/>
                <w:szCs w:val="20"/>
                <w:color w:val="BABCBE"/>
                <w:w w:val="99"/>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2,393.8</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DEFERRED TAX LIABILITY</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1,440.3</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1,262.0</w:t>
            </w:r>
          </w:p>
        </w:tc>
        <w:tc>
          <w:tcPr>
            <w:tcW w:w="0" w:type="dxa"/>
            <w:vAlign w:val="bottom"/>
          </w:tcPr>
          <w:p>
            <w:pPr>
              <w:spacing w:after="0"/>
              <w:rPr>
                <w:sz w:val="1"/>
                <w:szCs w:val="1"/>
                <w:color w:val="auto"/>
              </w:rPr>
            </w:pPr>
          </w:p>
        </w:tc>
      </w:tr>
      <w:tr>
        <w:trPr>
          <w:trHeight w:val="245"/>
        </w:trPr>
        <w:tc>
          <w:tcPr>
            <w:tcW w:w="6480" w:type="dxa"/>
            <w:vAlign w:val="bottom"/>
            <w:tcBorders>
              <w:bottom w:val="single" w:sz="8" w:color="E3E4E5"/>
            </w:tcBorders>
          </w:tcPr>
          <w:p>
            <w:pPr>
              <w:jc w:val="right"/>
              <w:ind w:right="40"/>
              <w:spacing w:after="0"/>
              <w:rPr>
                <w:sz w:val="20"/>
                <w:szCs w:val="20"/>
                <w:color w:val="auto"/>
              </w:rPr>
            </w:pPr>
            <w:r>
              <w:rPr>
                <w:rFonts w:ascii="Times New Roman" w:cs="Times New Roman" w:eastAsia="Times New Roman" w:hAnsi="Times New Roman"/>
                <w:sz w:val="20"/>
                <w:szCs w:val="20"/>
                <w:color w:val="231F20"/>
              </w:rPr>
              <w:t>OTHER NON-CURRENT LIABILITIES</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976.9</w:t>
            </w:r>
          </w:p>
        </w:tc>
        <w:tc>
          <w:tcPr>
            <w:tcW w:w="80" w:type="dxa"/>
            <w:vAlign w:val="bottom"/>
            <w:tcBorders>
              <w:bottom w:val="single" w:sz="8" w:color="E3E4E5"/>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1,012.9</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Total liabilities</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52,835.1</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51,428.7</w:t>
            </w:r>
          </w:p>
        </w:tc>
        <w:tc>
          <w:tcPr>
            <w:tcW w:w="0" w:type="dxa"/>
            <w:vAlign w:val="bottom"/>
          </w:tcPr>
          <w:p>
            <w:pPr>
              <w:spacing w:after="0"/>
              <w:rPr>
                <w:sz w:val="1"/>
                <w:szCs w:val="1"/>
                <w:color w:val="auto"/>
              </w:rPr>
            </w:pPr>
          </w:p>
        </w:tc>
      </w:tr>
      <w:tr>
        <w:trPr>
          <w:trHeight w:val="225"/>
        </w:trPr>
        <w:tc>
          <w:tcPr>
            <w:tcW w:w="648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b w:val="1"/>
                <w:bCs w:val="1"/>
                <w:color w:val="231F20"/>
              </w:rPr>
              <w:t>COMMITMENTS AND CONTINGENCIES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b w:val="1"/>
                <w:bCs w:val="1"/>
                <w:color w:val="231F20"/>
              </w:rPr>
              <w:t>EQUITY (shares in thousands):</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480" w:type="dxa"/>
            <w:vAlign w:val="bottom"/>
          </w:tcPr>
          <w:p>
            <w:pPr>
              <w:ind w:left="420"/>
              <w:spacing w:after="0" w:line="213" w:lineRule="exact"/>
              <w:rPr>
                <w:sz w:val="20"/>
                <w:szCs w:val="20"/>
                <w:color w:val="auto"/>
              </w:rPr>
            </w:pPr>
            <w:r>
              <w:rPr>
                <w:rFonts w:ascii="Times New Roman" w:cs="Times New Roman" w:eastAsia="Times New Roman" w:hAnsi="Times New Roman"/>
                <w:sz w:val="20"/>
                <w:szCs w:val="20"/>
                <w:color w:val="231F20"/>
              </w:rPr>
              <w:t>Common stock: $0.01 par value; 1,000,000 shares authorized; 479,358</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420"/>
              <w:spacing w:after="0" w:line="200" w:lineRule="exact"/>
              <w:rPr>
                <w:sz w:val="20"/>
                <w:szCs w:val="20"/>
                <w:color w:val="auto"/>
              </w:rPr>
            </w:pPr>
            <w:r>
              <w:rPr>
                <w:rFonts w:ascii="Times New Roman" w:cs="Times New Roman" w:eastAsia="Times New Roman" w:hAnsi="Times New Roman"/>
                <w:sz w:val="20"/>
                <w:szCs w:val="20"/>
                <w:color w:val="231F20"/>
              </w:rPr>
              <w:t>and 478,388 shares issued; and 466,318 and 467,384 shares outstanding,</w:t>
            </w:r>
          </w:p>
        </w:tc>
        <w:tc>
          <w:tcPr>
            <w:tcW w:w="22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0" w:type="dxa"/>
            <w:vAlign w:val="bottom"/>
          </w:tcPr>
          <w:p>
            <w:pPr>
              <w:spacing w:after="0"/>
              <w:rPr>
                <w:sz w:val="1"/>
                <w:szCs w:val="1"/>
                <w:color w:val="auto"/>
              </w:rPr>
            </w:pPr>
          </w:p>
        </w:tc>
      </w:tr>
      <w:tr>
        <w:trPr>
          <w:trHeight w:val="246"/>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respectively </w:t>
            </w:r>
            <w:r>
              <w:rPr>
                <w:rFonts w:ascii="Times New Roman" w:cs="Times New Roman" w:eastAsia="Times New Roman" w:hAnsi="Times New Roman"/>
                <w:sz w:val="20"/>
                <w:szCs w:val="20"/>
                <w:color w:val="BABCBE"/>
              </w:rPr>
              <w:t>...................................................................................................</w:t>
            </w:r>
          </w:p>
        </w:tc>
        <w:tc>
          <w:tcPr>
            <w:tcW w:w="22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Additional paid-in capital </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15,215.3</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15,057.3</w:t>
            </w:r>
          </w:p>
        </w:tc>
        <w:tc>
          <w:tcPr>
            <w:tcW w:w="0" w:type="dxa"/>
            <w:vAlign w:val="bottom"/>
          </w:tcPr>
          <w:p>
            <w:pPr>
              <w:spacing w:after="0"/>
              <w:rPr>
                <w:sz w:val="1"/>
                <w:szCs w:val="1"/>
                <w:color w:val="auto"/>
              </w:rPr>
            </w:pPr>
          </w:p>
        </w:tc>
      </w:tr>
      <w:tr>
        <w:trPr>
          <w:trHeight w:val="255"/>
        </w:trPr>
        <w:tc>
          <w:tcPr>
            <w:tcW w:w="64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Distributions in excess of earnings </w:t>
            </w:r>
            <w:r>
              <w:rPr>
                <w:rFonts w:ascii="Times New Roman" w:cs="Times New Roman" w:eastAsia="Times New Roman" w:hAnsi="Times New Roman"/>
                <w:sz w:val="20"/>
                <w:szCs w:val="20"/>
                <w:color w:val="BABCBE"/>
              </w:rPr>
              <w:t>...............................................................</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(5,086.0)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(4,424.1)</w:t>
            </w:r>
          </w:p>
        </w:tc>
        <w:tc>
          <w:tcPr>
            <w:tcW w:w="0" w:type="dxa"/>
            <w:vAlign w:val="bottom"/>
          </w:tcPr>
          <w:p>
            <w:pPr>
              <w:spacing w:after="0"/>
              <w:rPr>
                <w:sz w:val="1"/>
                <w:szCs w:val="1"/>
                <w:color w:val="auto"/>
              </w:rPr>
            </w:pPr>
          </w:p>
        </w:tc>
      </w:tr>
      <w:tr>
        <w:trPr>
          <w:trHeight w:val="255"/>
        </w:trPr>
        <w:tc>
          <w:tcPr>
            <w:tcW w:w="648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Accumulated other comprehensive loss </w:t>
            </w:r>
            <w:r>
              <w:rPr>
                <w:rFonts w:ascii="Times New Roman" w:cs="Times New Roman" w:eastAsia="Times New Roman" w:hAnsi="Times New Roman"/>
                <w:sz w:val="20"/>
                <w:szCs w:val="20"/>
                <w:color w:val="BABCBE"/>
              </w:rPr>
              <w:t>.......................................................</w:t>
            </w: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(4,815.8)</w:t>
            </w:r>
          </w:p>
        </w:tc>
        <w:tc>
          <w:tcPr>
            <w:tcW w:w="8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(5,954.6)</w:t>
            </w:r>
          </w:p>
        </w:tc>
        <w:tc>
          <w:tcPr>
            <w:tcW w:w="0" w:type="dxa"/>
            <w:vAlign w:val="bottom"/>
          </w:tcPr>
          <w:p>
            <w:pPr>
              <w:spacing w:after="0"/>
              <w:rPr>
                <w:sz w:val="1"/>
                <w:szCs w:val="1"/>
                <w:color w:val="auto"/>
              </w:rPr>
            </w:pPr>
          </w:p>
        </w:tc>
      </w:tr>
      <w:tr>
        <w:trPr>
          <w:trHeight w:val="245"/>
        </w:trPr>
        <w:tc>
          <w:tcPr>
            <w:tcW w:w="6480" w:type="dxa"/>
            <w:vAlign w:val="bottom"/>
            <w:tcBorders>
              <w:bottom w:val="single" w:sz="8" w:color="E3E4E5"/>
            </w:tcBorders>
          </w:tcPr>
          <w:p>
            <w:pPr>
              <w:jc w:val="right"/>
              <w:ind w:right="40"/>
              <w:spacing w:after="0"/>
              <w:rPr>
                <w:sz w:val="20"/>
                <w:szCs w:val="20"/>
                <w:color w:val="auto"/>
              </w:rPr>
            </w:pPr>
            <w:r>
              <w:rPr>
                <w:rFonts w:ascii="Times New Roman" w:cs="Times New Roman" w:eastAsia="Times New Roman" w:hAnsi="Times New Roman"/>
                <w:sz w:val="20"/>
                <w:szCs w:val="20"/>
                <w:color w:val="231F20"/>
              </w:rPr>
              <w:t>Treasury stock (13,040 and 11,004 shares at cost, respectively)</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(1,665.8)</w:t>
            </w:r>
          </w:p>
        </w:tc>
        <w:tc>
          <w:tcPr>
            <w:tcW w:w="80" w:type="dxa"/>
            <w:vAlign w:val="bottom"/>
            <w:tcBorders>
              <w:bottom w:val="single" w:sz="8" w:color="E3E4E5"/>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(1,301.2)</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Total American Tower Corporation equity </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3,652.5</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3,382.2</w:t>
            </w:r>
          </w:p>
        </w:tc>
        <w:tc>
          <w:tcPr>
            <w:tcW w:w="0" w:type="dxa"/>
            <w:vAlign w:val="bottom"/>
          </w:tcPr>
          <w:p>
            <w:pPr>
              <w:spacing w:after="0"/>
              <w:rPr>
                <w:sz w:val="1"/>
                <w:szCs w:val="1"/>
                <w:color w:val="auto"/>
              </w:rPr>
            </w:pPr>
          </w:p>
        </w:tc>
      </w:tr>
      <w:tr>
        <w:trPr>
          <w:trHeight w:val="215"/>
        </w:trPr>
        <w:tc>
          <w:tcPr>
            <w:tcW w:w="6480" w:type="dxa"/>
            <w:vAlign w:val="bottom"/>
            <w:tcBorders>
              <w:bottom w:val="single" w:sz="8" w:color="E3E4E5"/>
            </w:tcBorders>
          </w:tcPr>
          <w:p>
            <w:pPr>
              <w:jc w:val="right"/>
              <w:ind w:right="40"/>
              <w:spacing w:after="0" w:line="215" w:lineRule="exact"/>
              <w:rPr>
                <w:sz w:val="20"/>
                <w:szCs w:val="20"/>
                <w:color w:val="auto"/>
              </w:rPr>
            </w:pPr>
            <w:r>
              <w:rPr>
                <w:rFonts w:ascii="Times New Roman" w:cs="Times New Roman" w:eastAsia="Times New Roman" w:hAnsi="Times New Roman"/>
                <w:sz w:val="20"/>
                <w:szCs w:val="20"/>
                <w:color w:val="231F20"/>
              </w:rPr>
              <w:t>Noncontrolling interests</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6,702.8</w:t>
            </w:r>
          </w:p>
        </w:tc>
        <w:tc>
          <w:tcPr>
            <w:tcW w:w="80" w:type="dxa"/>
            <w:vAlign w:val="bottom"/>
            <w:tcBorders>
              <w:bottom w:val="single" w:sz="8" w:color="E3E4E5"/>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6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6,266.5</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Total equity</w:t>
            </w:r>
            <w:r>
              <w:rPr>
                <w:rFonts w:ascii="Times New Roman" w:cs="Times New Roman" w:eastAsia="Times New Roman" w:hAnsi="Times New Roman"/>
                <w:sz w:val="20"/>
                <w:szCs w:val="20"/>
                <w:color w:val="BABCBE"/>
              </w:rPr>
              <w:t>............................................................................................</w:t>
            </w: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10,355.3</w:t>
            </w:r>
          </w:p>
        </w:tc>
        <w:tc>
          <w:tcPr>
            <w:tcW w:w="80" w:type="dxa"/>
            <w:vAlign w:val="bottom"/>
            <w:tcBorders>
              <w:bottom w:val="single" w:sz="8" w:color="E3E4E5"/>
            </w:tcBorders>
            <w:shd w:val="clear" w:color="auto" w:fill="E3E4E5"/>
          </w:tcPr>
          <w:p>
            <w:pPr>
              <w:spacing w:after="0"/>
              <w:rPr>
                <w:sz w:val="22"/>
                <w:szCs w:val="22"/>
                <w:color w:val="auto"/>
              </w:rPr>
            </w:pPr>
          </w:p>
        </w:tc>
        <w:tc>
          <w:tcPr>
            <w:tcW w:w="220" w:type="dxa"/>
            <w:vAlign w:val="bottom"/>
            <w:tcBorders>
              <w:bottom w:val="single" w:sz="8" w:color="231F20"/>
            </w:tcBorders>
            <w:shd w:val="clear" w:color="auto" w:fill="E3E4E5"/>
          </w:tcPr>
          <w:p>
            <w:pPr>
              <w:spacing w:after="0"/>
              <w:rPr>
                <w:sz w:val="22"/>
                <w:szCs w:val="22"/>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9,648.7</w:t>
            </w:r>
          </w:p>
        </w:tc>
        <w:tc>
          <w:tcPr>
            <w:tcW w:w="0" w:type="dxa"/>
            <w:vAlign w:val="bottom"/>
          </w:tcPr>
          <w:p>
            <w:pPr>
              <w:spacing w:after="0"/>
              <w:rPr>
                <w:sz w:val="1"/>
                <w:szCs w:val="1"/>
                <w:color w:val="auto"/>
              </w:rPr>
            </w:pPr>
          </w:p>
        </w:tc>
      </w:tr>
      <w:tr>
        <w:trPr>
          <w:trHeight w:val="195"/>
        </w:trPr>
        <w:tc>
          <w:tcPr>
            <w:tcW w:w="6480" w:type="dxa"/>
            <w:vAlign w:val="bottom"/>
          </w:tcPr>
          <w:p>
            <w:pPr>
              <w:jc w:val="right"/>
              <w:ind w:right="40"/>
              <w:spacing w:after="0" w:line="195" w:lineRule="exact"/>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ABCBE"/>
              </w:rPr>
              <w:t>................................................................................................................</w:t>
            </w:r>
          </w:p>
        </w:tc>
        <w:tc>
          <w:tcPr>
            <w:tcW w:w="22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color w:val="231F20"/>
              </w:rPr>
              <w:t>63,190.4</w:t>
            </w:r>
          </w:p>
        </w:tc>
        <w:tc>
          <w:tcPr>
            <w:tcW w:w="30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color w:val="231F20"/>
              </w:rPr>
              <w:t>61,077.4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-7089140</wp:posOffset>
            </wp:positionV>
            <wp:extent cx="241617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0">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-6117590</wp:posOffset>
            </wp:positionV>
            <wp:extent cx="241617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1">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-5955665</wp:posOffset>
            </wp:positionV>
            <wp:extent cx="241617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2">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-4822190</wp:posOffset>
            </wp:positionV>
            <wp:extent cx="241617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03">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-4672965</wp:posOffset>
            </wp:positionV>
            <wp:extent cx="6540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4">
                      <a:extLst>
                        <a:ext uri="{28A0092B-C50C-407E-A947-70E740481C1C}"/>
                      </a:extLst>
                    </a:blip>
                    <a:srcRect/>
                    <a:stretch>
                      <a:fillRect/>
                    </a:stretch>
                  </pic:blipFill>
                  <pic:spPr bwMode="auto">
                    <a:xfrm>
                      <a:off x="0" y="0"/>
                      <a:ext cx="65405" cy="2540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-4672965</wp:posOffset>
            </wp:positionV>
            <wp:extent cx="819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5">
                      <a:extLst>
                        <a:ext uri="{28A0092B-C50C-407E-A947-70E740481C1C}"/>
                      </a:extLst>
                    </a:blip>
                    <a:srcRect/>
                    <a:stretch>
                      <a:fillRect/>
                    </a:stretch>
                  </pic:blipFill>
                  <pic:spPr bwMode="auto">
                    <a:xfrm>
                      <a:off x="0" y="0"/>
                      <a:ext cx="8191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-3202940</wp:posOffset>
            </wp:positionV>
            <wp:extent cx="241617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6">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-3041015</wp:posOffset>
            </wp:positionV>
            <wp:extent cx="241617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7">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-2231390</wp:posOffset>
            </wp:positionV>
            <wp:extent cx="241617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8">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-2069465</wp:posOffset>
            </wp:positionV>
            <wp:extent cx="241617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9">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-678815</wp:posOffset>
            </wp:positionV>
            <wp:extent cx="241617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0">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-516890</wp:posOffset>
            </wp:positionV>
            <wp:extent cx="241617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11">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-354965</wp:posOffset>
            </wp:positionV>
            <wp:extent cx="241617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2">
                      <a:extLst>
                        <a:ext uri="{28A0092B-C50C-407E-A947-70E740481C1C}"/>
                      </a:extLst>
                    </a:blip>
                    <a:srcRect/>
                    <a:stretch>
                      <a:fillRect/>
                    </a:stretch>
                  </pic:blipFill>
                  <pic:spPr bwMode="auto">
                    <a:xfrm>
                      <a:off x="0" y="0"/>
                      <a:ext cx="2416175" cy="2540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-193040</wp:posOffset>
            </wp:positionV>
            <wp:extent cx="241617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13">
                      <a:extLst>
                        <a:ext uri="{28A0092B-C50C-407E-A947-70E740481C1C}"/>
                      </a:extLst>
                    </a:blip>
                    <a:srcRect/>
                    <a:stretch>
                      <a:fillRect/>
                    </a:stretch>
                  </pic:blipFill>
                  <pic:spPr bwMode="auto">
                    <a:xfrm>
                      <a:off x="0" y="0"/>
                      <a:ext cx="2416175" cy="254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10240"/>
          </w:cols>
          <w:pgMar w:left="820" w:top="38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10240"/>
          </w:cols>
          <w:pgMar w:left="820" w:top="386" w:right="820" w:bottom="0" w:gutter="0" w:footer="0" w:header="0"/>
          <w:type w:val="continuous"/>
        </w:sectPr>
      </w:pPr>
    </w:p>
    <w:bookmarkStart w:id="93" w:name="page94"/>
    <w:bookmarkEnd w:id="93"/>
    <w:p>
      <w:pPr>
        <w:ind w:left="2400"/>
        <w:spacing w:after="0"/>
        <w:rPr>
          <w:sz w:val="20"/>
          <w:szCs w:val="20"/>
          <w:color w:val="auto"/>
        </w:rPr>
      </w:pPr>
      <w:r>
        <w:rPr>
          <w:rFonts w:ascii="Times New Roman" w:cs="Times New Roman" w:eastAsia="Times New Roman" w:hAnsi="Times New Roman"/>
          <w:sz w:val="20"/>
          <w:szCs w:val="20"/>
          <w:b w:val="1"/>
          <w:bCs w:val="1"/>
          <w:color w:val="231F20"/>
        </w:rPr>
        <w:t>AMERICAN TOWER CORPORATION AND SUBSIDIARIES</w:t>
      </w:r>
    </w:p>
    <w:p>
      <w:pPr>
        <w:spacing w:after="0" w:line="11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(in millions, except share and per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620" w:type="dxa"/>
            <w:vAlign w:val="bottom"/>
            <w:tcBorders>
              <w:bottom w:val="single" w:sz="8" w:color="231F20"/>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2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30"/>
        </w:trPr>
        <w:tc>
          <w:tcPr>
            <w:tcW w:w="64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REVENUES:</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Property</w:t>
            </w:r>
            <w:r>
              <w:rPr>
                <w:rFonts w:ascii="Times New Roman" w:cs="Times New Roman" w:eastAsia="Times New Roman" w:hAnsi="Times New Roman"/>
                <w:sz w:val="20"/>
                <w:szCs w:val="20"/>
                <w:color w:val="BABCBE"/>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10,305.0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9,933.5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9,869.2</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 xml:space="preserve">Services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1"/>
                <w:szCs w:val="21"/>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339.6</w:t>
            </w:r>
          </w:p>
        </w:tc>
        <w:tc>
          <w:tcPr>
            <w:tcW w:w="80" w:type="dxa"/>
            <w:vAlign w:val="bottom"/>
            <w:tcBorders>
              <w:bottom w:val="single" w:sz="8" w:color="E3E4E5"/>
            </w:tcBorders>
            <w:shd w:val="clear" w:color="auto" w:fill="E3E4E5"/>
          </w:tcPr>
          <w:p>
            <w:pPr>
              <w:spacing w:after="0"/>
              <w:rPr>
                <w:sz w:val="21"/>
                <w:szCs w:val="21"/>
                <w:color w:val="auto"/>
              </w:rPr>
            </w:pPr>
          </w:p>
        </w:tc>
        <w:tc>
          <w:tcPr>
            <w:tcW w:w="300" w:type="dxa"/>
            <w:vAlign w:val="bottom"/>
            <w:tcBorders>
              <w:bottom w:val="single" w:sz="8" w:color="231F20"/>
            </w:tcBorders>
            <w:shd w:val="clear" w:color="auto" w:fill="E3E4E5"/>
          </w:tcPr>
          <w:p>
            <w:pPr>
              <w:spacing w:after="0"/>
              <w:rPr>
                <w:sz w:val="21"/>
                <w:szCs w:val="21"/>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193.7</w:t>
            </w:r>
          </w:p>
        </w:tc>
        <w:tc>
          <w:tcPr>
            <w:tcW w:w="80" w:type="dxa"/>
            <w:vAlign w:val="bottom"/>
            <w:tcBorders>
              <w:bottom w:val="single" w:sz="8" w:color="E3E4E5"/>
            </w:tcBorders>
            <w:shd w:val="clear" w:color="auto" w:fill="E3E4E5"/>
          </w:tcPr>
          <w:p>
            <w:pPr>
              <w:spacing w:after="0"/>
              <w:rPr>
                <w:sz w:val="21"/>
                <w:szCs w:val="21"/>
                <w:color w:val="auto"/>
              </w:rPr>
            </w:pPr>
          </w:p>
        </w:tc>
        <w:tc>
          <w:tcPr>
            <w:tcW w:w="320" w:type="dxa"/>
            <w:vAlign w:val="bottom"/>
            <w:tcBorders>
              <w:bottom w:val="single" w:sz="8" w:color="231F20"/>
            </w:tcBorders>
            <w:shd w:val="clear" w:color="auto" w:fill="E3E4E5"/>
          </w:tcPr>
          <w:p>
            <w:pPr>
              <w:spacing w:after="0"/>
              <w:rPr>
                <w:sz w:val="21"/>
                <w:szCs w:val="21"/>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143.0</w:t>
            </w:r>
          </w:p>
        </w:tc>
        <w:tc>
          <w:tcPr>
            <w:tcW w:w="0" w:type="dxa"/>
            <w:vAlign w:val="bottom"/>
          </w:tcPr>
          <w:p>
            <w:pPr>
              <w:spacing w:after="0"/>
              <w:rPr>
                <w:sz w:val="1"/>
                <w:szCs w:val="1"/>
                <w:color w:val="auto"/>
              </w:rPr>
            </w:pPr>
          </w:p>
        </w:tc>
      </w:tr>
      <w:tr>
        <w:trPr>
          <w:trHeight w:val="200"/>
        </w:trPr>
        <w:tc>
          <w:tcPr>
            <w:tcW w:w="6420" w:type="dxa"/>
            <w:vAlign w:val="bottom"/>
            <w:tcBorders>
              <w:bottom w:val="single" w:sz="8" w:color="E3E4E5"/>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Total operating revenues</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10,644.6</w:t>
            </w:r>
          </w:p>
        </w:tc>
        <w:tc>
          <w:tcPr>
            <w:tcW w:w="80" w:type="dxa"/>
            <w:vAlign w:val="bottom"/>
            <w:tcBorders>
              <w:bottom w:val="single" w:sz="8" w:color="E3E4E5"/>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10,127.2</w:t>
            </w:r>
          </w:p>
        </w:tc>
        <w:tc>
          <w:tcPr>
            <w:tcW w:w="80" w:type="dxa"/>
            <w:vAlign w:val="bottom"/>
            <w:tcBorders>
              <w:bottom w:val="single" w:sz="8" w:color="E3E4E5"/>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10,012.2</w:t>
            </w:r>
          </w:p>
        </w:tc>
        <w:tc>
          <w:tcPr>
            <w:tcW w:w="0" w:type="dxa"/>
            <w:vAlign w:val="bottom"/>
          </w:tcPr>
          <w:p>
            <w:pPr>
              <w:spacing w:after="0"/>
              <w:rPr>
                <w:sz w:val="1"/>
                <w:szCs w:val="1"/>
                <w:color w:val="auto"/>
              </w:rPr>
            </w:pPr>
          </w:p>
        </w:tc>
      </w:tr>
      <w:tr>
        <w:trPr>
          <w:trHeight w:val="230"/>
        </w:trPr>
        <w:tc>
          <w:tcPr>
            <w:tcW w:w="6420" w:type="dxa"/>
            <w:vAlign w:val="bottom"/>
            <w:shd w:val="clear" w:color="auto" w:fill="E3E4E5"/>
          </w:tcPr>
          <w:p>
            <w:pPr>
              <w:jc w:val="right"/>
              <w:ind w:right="4000"/>
              <w:spacing w:after="0"/>
              <w:rPr>
                <w:sz w:val="20"/>
                <w:szCs w:val="20"/>
                <w:color w:val="auto"/>
              </w:rPr>
            </w:pPr>
            <w:r>
              <w:rPr>
                <w:rFonts w:ascii="Times New Roman" w:cs="Times New Roman" w:eastAsia="Times New Roman" w:hAnsi="Times New Roman"/>
                <w:sz w:val="20"/>
                <w:szCs w:val="20"/>
                <w:color w:val="231F20"/>
              </w:rPr>
              <w:t>OPERATING EXPENSES:</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Costs of operations (exclusive of items shown separately below):</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Property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2,574.1</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2,481.8</w:t>
            </w: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2,501.4</w:t>
            </w:r>
          </w:p>
        </w:tc>
        <w:tc>
          <w:tcPr>
            <w:tcW w:w="0" w:type="dxa"/>
            <w:vAlign w:val="bottom"/>
          </w:tcPr>
          <w:p>
            <w:pPr>
              <w:spacing w:after="0"/>
              <w:rPr>
                <w:sz w:val="1"/>
                <w:szCs w:val="1"/>
                <w:color w:val="auto"/>
              </w:rPr>
            </w:pPr>
          </w:p>
        </w:tc>
      </w:tr>
      <w:tr>
        <w:trPr>
          <w:trHeight w:val="240"/>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Services</w:t>
            </w:r>
            <w:r>
              <w:rPr>
                <w:rFonts w:ascii="Times New Roman" w:cs="Times New Roman" w:eastAsia="Times New Roman" w:hAnsi="Times New Roman"/>
                <w:sz w:val="20"/>
                <w:szCs w:val="20"/>
                <w:color w:val="BABCBE"/>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60.1</w:t>
            </w:r>
          </w:p>
        </w:tc>
        <w:tc>
          <w:tcPr>
            <w:tcW w:w="0" w:type="dxa"/>
            <w:vAlign w:val="bottom"/>
          </w:tcPr>
          <w:p>
            <w:pPr>
              <w:spacing w:after="0"/>
              <w:rPr>
                <w:sz w:val="1"/>
                <w:szCs w:val="1"/>
                <w:color w:val="auto"/>
              </w:rPr>
            </w:pPr>
          </w:p>
        </w:tc>
      </w:tr>
      <w:tr>
        <w:trPr>
          <w:trHeight w:val="240"/>
        </w:trPr>
        <w:tc>
          <w:tcPr>
            <w:tcW w:w="6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amortization and accretion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2,041.6</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2,028.8</w:t>
            </w: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2,928.5</w:t>
            </w:r>
          </w:p>
        </w:tc>
        <w:tc>
          <w:tcPr>
            <w:tcW w:w="0" w:type="dxa"/>
            <w:vAlign w:val="bottom"/>
          </w:tcPr>
          <w:p>
            <w:pPr>
              <w:spacing w:after="0"/>
              <w:rPr>
                <w:sz w:val="1"/>
                <w:szCs w:val="1"/>
                <w:color w:val="auto"/>
              </w:rPr>
            </w:pPr>
          </w:p>
        </w:tc>
      </w:tr>
      <w:tr>
        <w:trPr>
          <w:trHeight w:val="240"/>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Selling, general, administrative and development expense </w:t>
            </w:r>
            <w:r>
              <w:rPr>
                <w:rFonts w:ascii="Times New Roman" w:cs="Times New Roman" w:eastAsia="Times New Roman" w:hAnsi="Times New Roman"/>
                <w:sz w:val="20"/>
                <w:szCs w:val="20"/>
                <w:color w:val="BABCBE"/>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940.7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933.4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946.0</w:t>
            </w:r>
          </w:p>
        </w:tc>
        <w:tc>
          <w:tcPr>
            <w:tcW w:w="0" w:type="dxa"/>
            <w:vAlign w:val="bottom"/>
          </w:tcPr>
          <w:p>
            <w:pPr>
              <w:spacing w:after="0"/>
              <w:rPr>
                <w:sz w:val="1"/>
                <w:szCs w:val="1"/>
                <w:color w:val="auto"/>
              </w:rPr>
            </w:pPr>
          </w:p>
        </w:tc>
      </w:tr>
      <w:tr>
        <w:trPr>
          <w:trHeight w:val="240"/>
        </w:trPr>
        <w:tc>
          <w:tcPr>
            <w:tcW w:w="6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Other operating expense</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68.4</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74.1</w:t>
            </w: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370.7</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Goodwill impairment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0" w:type="dxa"/>
            <w:vAlign w:val="bottom"/>
          </w:tcPr>
          <w:p>
            <w:pPr>
              <w:spacing w:after="0"/>
              <w:rPr>
                <w:sz w:val="1"/>
                <w:szCs w:val="1"/>
                <w:color w:val="auto"/>
              </w:rPr>
            </w:pPr>
          </w:p>
        </w:tc>
      </w:tr>
      <w:tr>
        <w:trPr>
          <w:trHeight w:val="240"/>
        </w:trPr>
        <w:tc>
          <w:tcPr>
            <w:tcW w:w="6420" w:type="dxa"/>
            <w:vAlign w:val="bottom"/>
            <w:tcBorders>
              <w:bottom w:val="single" w:sz="8" w:color="E3E4E5"/>
            </w:tcBorders>
            <w:shd w:val="clear" w:color="auto" w:fill="E3E4E5"/>
          </w:tcPr>
          <w:p>
            <w:pPr>
              <w:jc w:val="right"/>
              <w:spacing w:after="0" w:line="220" w:lineRule="exact"/>
              <w:rPr>
                <w:sz w:val="20"/>
                <w:szCs w:val="20"/>
                <w:color w:val="auto"/>
              </w:rPr>
            </w:pPr>
            <w:r>
              <w:rPr>
                <w:rFonts w:ascii="Times New Roman" w:cs="Times New Roman" w:eastAsia="Times New Roman" w:hAnsi="Times New Roman"/>
                <w:sz w:val="20"/>
                <w:szCs w:val="20"/>
                <w:color w:val="231F20"/>
              </w:rPr>
              <w:t xml:space="preserve">Total operating expenses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0"/>
                <w:szCs w:val="20"/>
                <w:color w:val="auto"/>
              </w:rPr>
            </w:pPr>
          </w:p>
        </w:tc>
        <w:tc>
          <w:tcPr>
            <w:tcW w:w="920" w:type="dxa"/>
            <w:vAlign w:val="bottom"/>
            <w:tcBorders>
              <w:bottom w:val="single" w:sz="8" w:color="231F20"/>
            </w:tcBorders>
            <w:shd w:val="clear" w:color="auto" w:fill="E3E4E5"/>
          </w:tcPr>
          <w:p>
            <w:pPr>
              <w:jc w:val="right"/>
              <w:spacing w:after="0" w:line="220" w:lineRule="exact"/>
              <w:rPr>
                <w:sz w:val="20"/>
                <w:szCs w:val="20"/>
                <w:color w:val="auto"/>
              </w:rPr>
            </w:pPr>
            <w:r>
              <w:rPr>
                <w:rFonts w:ascii="Times New Roman" w:cs="Times New Roman" w:eastAsia="Times New Roman" w:hAnsi="Times New Roman"/>
                <w:sz w:val="20"/>
                <w:szCs w:val="20"/>
                <w:color w:val="231F20"/>
              </w:rPr>
              <w:t>5,798.8</w:t>
            </w:r>
          </w:p>
        </w:tc>
        <w:tc>
          <w:tcPr>
            <w:tcW w:w="80" w:type="dxa"/>
            <w:vAlign w:val="bottom"/>
            <w:tcBorders>
              <w:bottom w:val="single" w:sz="8" w:color="E3E4E5"/>
            </w:tcBorders>
            <w:shd w:val="clear" w:color="auto" w:fill="E3E4E5"/>
          </w:tcPr>
          <w:p>
            <w:pPr>
              <w:spacing w:after="0"/>
              <w:rPr>
                <w:sz w:val="20"/>
                <w:szCs w:val="20"/>
                <w:color w:val="auto"/>
              </w:rPr>
            </w:pPr>
          </w:p>
        </w:tc>
        <w:tc>
          <w:tcPr>
            <w:tcW w:w="300" w:type="dxa"/>
            <w:vAlign w:val="bottom"/>
            <w:tcBorders>
              <w:bottom w:val="single" w:sz="8" w:color="231F20"/>
            </w:tcBorders>
            <w:shd w:val="clear" w:color="auto" w:fill="E3E4E5"/>
          </w:tcPr>
          <w:p>
            <w:pPr>
              <w:spacing w:after="0"/>
              <w:rPr>
                <w:sz w:val="20"/>
                <w:szCs w:val="20"/>
                <w:color w:val="auto"/>
              </w:rPr>
            </w:pPr>
          </w:p>
        </w:tc>
        <w:tc>
          <w:tcPr>
            <w:tcW w:w="920" w:type="dxa"/>
            <w:vAlign w:val="bottom"/>
            <w:tcBorders>
              <w:bottom w:val="single" w:sz="8" w:color="231F20"/>
            </w:tcBorders>
            <w:shd w:val="clear" w:color="auto" w:fill="E3E4E5"/>
          </w:tcPr>
          <w:p>
            <w:pPr>
              <w:jc w:val="right"/>
              <w:spacing w:after="0" w:line="220" w:lineRule="exact"/>
              <w:rPr>
                <w:sz w:val="20"/>
                <w:szCs w:val="20"/>
                <w:color w:val="auto"/>
              </w:rPr>
            </w:pPr>
            <w:r>
              <w:rPr>
                <w:rFonts w:ascii="Times New Roman" w:cs="Times New Roman" w:eastAsia="Times New Roman" w:hAnsi="Times New Roman"/>
                <w:sz w:val="20"/>
                <w:szCs w:val="20"/>
                <w:color w:val="231F20"/>
              </w:rPr>
              <w:t>5,610.7</w:t>
            </w:r>
          </w:p>
        </w:tc>
        <w:tc>
          <w:tcPr>
            <w:tcW w:w="80" w:type="dxa"/>
            <w:vAlign w:val="bottom"/>
            <w:tcBorders>
              <w:bottom w:val="single" w:sz="8" w:color="E3E4E5"/>
            </w:tcBorders>
            <w:shd w:val="clear" w:color="auto" w:fill="E3E4E5"/>
          </w:tcPr>
          <w:p>
            <w:pPr>
              <w:spacing w:after="0"/>
              <w:rPr>
                <w:sz w:val="20"/>
                <w:szCs w:val="20"/>
                <w:color w:val="auto"/>
              </w:rPr>
            </w:pPr>
          </w:p>
        </w:tc>
        <w:tc>
          <w:tcPr>
            <w:tcW w:w="320" w:type="dxa"/>
            <w:vAlign w:val="bottom"/>
            <w:tcBorders>
              <w:bottom w:val="single" w:sz="8" w:color="231F20"/>
            </w:tcBorders>
            <w:shd w:val="clear" w:color="auto" w:fill="E3E4E5"/>
          </w:tcPr>
          <w:p>
            <w:pPr>
              <w:spacing w:after="0"/>
              <w:rPr>
                <w:sz w:val="20"/>
                <w:szCs w:val="20"/>
                <w:color w:val="auto"/>
              </w:rPr>
            </w:pPr>
          </w:p>
        </w:tc>
        <w:tc>
          <w:tcPr>
            <w:tcW w:w="880" w:type="dxa"/>
            <w:vAlign w:val="bottom"/>
            <w:tcBorders>
              <w:bottom w:val="single" w:sz="8" w:color="231F20"/>
            </w:tcBorders>
            <w:shd w:val="clear" w:color="auto" w:fill="E3E4E5"/>
          </w:tcPr>
          <w:p>
            <w:pPr>
              <w:jc w:val="right"/>
              <w:spacing w:after="0" w:line="220" w:lineRule="exact"/>
              <w:rPr>
                <w:sz w:val="20"/>
                <w:szCs w:val="20"/>
                <w:color w:val="auto"/>
              </w:rPr>
            </w:pPr>
            <w:r>
              <w:rPr>
                <w:rFonts w:ascii="Times New Roman" w:cs="Times New Roman" w:eastAsia="Times New Roman" w:hAnsi="Times New Roman"/>
                <w:sz w:val="20"/>
                <w:szCs w:val="20"/>
                <w:color w:val="231F20"/>
              </w:rPr>
              <w:t>6,886.7</w:t>
            </w:r>
          </w:p>
        </w:tc>
        <w:tc>
          <w:tcPr>
            <w:tcW w:w="0" w:type="dxa"/>
            <w:vAlign w:val="bottom"/>
          </w:tcPr>
          <w:p>
            <w:pPr>
              <w:spacing w:after="0"/>
              <w:rPr>
                <w:sz w:val="1"/>
                <w:szCs w:val="1"/>
                <w:color w:val="auto"/>
              </w:rPr>
            </w:pPr>
          </w:p>
        </w:tc>
      </w:tr>
      <w:tr>
        <w:trPr>
          <w:trHeight w:val="200"/>
        </w:trPr>
        <w:tc>
          <w:tcPr>
            <w:tcW w:w="6420" w:type="dxa"/>
            <w:vAlign w:val="bottom"/>
            <w:tcBorders>
              <w:bottom w:val="single" w:sz="8" w:color="E3E4E5"/>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 xml:space="preserve">OPERATING INCOME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4,845.8</w:t>
            </w:r>
          </w:p>
        </w:tc>
        <w:tc>
          <w:tcPr>
            <w:tcW w:w="80" w:type="dxa"/>
            <w:vAlign w:val="bottom"/>
            <w:tcBorders>
              <w:bottom w:val="single" w:sz="8" w:color="E3E4E5"/>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4,516.5</w:t>
            </w:r>
          </w:p>
        </w:tc>
        <w:tc>
          <w:tcPr>
            <w:tcW w:w="80" w:type="dxa"/>
            <w:vAlign w:val="bottom"/>
            <w:tcBorders>
              <w:bottom w:val="single" w:sz="8" w:color="E3E4E5"/>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spacing w:after="0" w:line="200" w:lineRule="exact"/>
              <w:rPr>
                <w:sz w:val="20"/>
                <w:szCs w:val="20"/>
                <w:color w:val="auto"/>
              </w:rPr>
            </w:pPr>
            <w:r>
              <w:rPr>
                <w:rFonts w:ascii="Times New Roman" w:cs="Times New Roman" w:eastAsia="Times New Roman" w:hAnsi="Times New Roman"/>
                <w:sz w:val="20"/>
                <w:szCs w:val="20"/>
                <w:color w:val="231F20"/>
              </w:rPr>
              <w:t>3,125.5</w:t>
            </w:r>
          </w:p>
        </w:tc>
        <w:tc>
          <w:tcPr>
            <w:tcW w:w="0" w:type="dxa"/>
            <w:vAlign w:val="bottom"/>
          </w:tcPr>
          <w:p>
            <w:pPr>
              <w:spacing w:after="0"/>
              <w:rPr>
                <w:sz w:val="1"/>
                <w:szCs w:val="1"/>
                <w:color w:val="auto"/>
              </w:rPr>
            </w:pPr>
          </w:p>
        </w:tc>
      </w:tr>
      <w:tr>
        <w:trPr>
          <w:trHeight w:val="230"/>
        </w:trPr>
        <w:tc>
          <w:tcPr>
            <w:tcW w:w="64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OTHER INCOME (EXPENSE):</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Interest income</w:t>
            </w:r>
            <w:r>
              <w:rPr>
                <w:rFonts w:ascii="Times New Roman" w:cs="Times New Roman" w:eastAsia="Times New Roman" w:hAnsi="Times New Roman"/>
                <w:sz w:val="20"/>
                <w:szCs w:val="20"/>
                <w:color w:val="BABCBE"/>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118.6</w:t>
            </w:r>
          </w:p>
        </w:tc>
        <w:tc>
          <w:tcPr>
            <w:tcW w:w="0" w:type="dxa"/>
            <w:vAlign w:val="bottom"/>
          </w:tcPr>
          <w:p>
            <w:pPr>
              <w:spacing w:after="0"/>
              <w:rPr>
                <w:sz w:val="1"/>
                <w:szCs w:val="1"/>
                <w:color w:val="auto"/>
              </w:rPr>
            </w:pPr>
          </w:p>
        </w:tc>
      </w:tr>
      <w:tr>
        <w:trPr>
          <w:trHeight w:val="240"/>
        </w:trPr>
        <w:tc>
          <w:tcPr>
            <w:tcW w:w="6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Interest expense</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(1,359.4)</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(1,404.5)</w:t>
            </w: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(1,388.2)</w:t>
            </w:r>
          </w:p>
        </w:tc>
        <w:tc>
          <w:tcPr>
            <w:tcW w:w="0" w:type="dxa"/>
            <w:vAlign w:val="bottom"/>
          </w:tcPr>
          <w:p>
            <w:pPr>
              <w:spacing w:after="0"/>
              <w:rPr>
                <w:sz w:val="1"/>
                <w:szCs w:val="1"/>
                <w:color w:val="auto"/>
              </w:rPr>
            </w:pPr>
          </w:p>
        </w:tc>
      </w:tr>
      <w:tr>
        <w:trPr>
          <w:trHeight w:val="240"/>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Loss on retirement of long-term obligations</w:t>
            </w:r>
            <w:r>
              <w:rPr>
                <w:rFonts w:ascii="Times New Roman" w:cs="Times New Roman" w:eastAsia="Times New Roman" w:hAnsi="Times New Roman"/>
                <w:sz w:val="20"/>
                <w:szCs w:val="20"/>
                <w:color w:val="BABCBE"/>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14"/>
        </w:trPr>
        <w:tc>
          <w:tcPr>
            <w:tcW w:w="6420" w:type="dxa"/>
            <w:vAlign w:val="bottom"/>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Other (expense) income (including foreign currency (losses) gains of</w:t>
            </w:r>
          </w:p>
        </w:tc>
        <w:tc>
          <w:tcPr>
            <w:tcW w:w="280" w:type="dxa"/>
            <w:vAlign w:val="bottom"/>
            <w:shd w:val="clear" w:color="auto" w:fill="E3E4E5"/>
          </w:tcPr>
          <w:p>
            <w:pPr>
              <w:spacing w:after="0"/>
              <w:rPr>
                <w:sz w:val="18"/>
                <w:szCs w:val="18"/>
                <w:color w:val="auto"/>
              </w:rPr>
            </w:pPr>
          </w:p>
        </w:tc>
        <w:tc>
          <w:tcPr>
            <w:tcW w:w="92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300" w:type="dxa"/>
            <w:vAlign w:val="bottom"/>
            <w:shd w:val="clear" w:color="auto" w:fill="E3E4E5"/>
          </w:tcPr>
          <w:p>
            <w:pPr>
              <w:spacing w:after="0"/>
              <w:rPr>
                <w:sz w:val="18"/>
                <w:szCs w:val="18"/>
                <w:color w:val="auto"/>
              </w:rPr>
            </w:pPr>
          </w:p>
        </w:tc>
        <w:tc>
          <w:tcPr>
            <w:tcW w:w="92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8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4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$(809.4), $308.3, and $(330.6) respectively)</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(576.2)</w:t>
            </w:r>
          </w:p>
        </w:tc>
        <w:tc>
          <w:tcPr>
            <w:tcW w:w="8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377.6</w:t>
            </w:r>
          </w:p>
        </w:tc>
        <w:tc>
          <w:tcPr>
            <w:tcW w:w="8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(326.3)</w:t>
            </w:r>
          </w:p>
        </w:tc>
        <w:tc>
          <w:tcPr>
            <w:tcW w:w="0" w:type="dxa"/>
            <w:vAlign w:val="bottom"/>
          </w:tcPr>
          <w:p>
            <w:pPr>
              <w:spacing w:after="0"/>
              <w:rPr>
                <w:sz w:val="1"/>
                <w:szCs w:val="1"/>
                <w:color w:val="auto"/>
              </w:rPr>
            </w:pPr>
          </w:p>
        </w:tc>
      </w:tr>
      <w:tr>
        <w:trPr>
          <w:trHeight w:val="202"/>
        </w:trPr>
        <w:tc>
          <w:tcPr>
            <w:tcW w:w="6420" w:type="dxa"/>
            <w:vAlign w:val="bottom"/>
            <w:tcBorders>
              <w:bottom w:val="single" w:sz="8" w:color="E3E4E5"/>
            </w:tcBorders>
          </w:tcPr>
          <w:p>
            <w:pPr>
              <w:jc w:val="right"/>
              <w:spacing w:after="0" w:line="202" w:lineRule="exact"/>
              <w:rPr>
                <w:sz w:val="20"/>
                <w:szCs w:val="20"/>
                <w:color w:val="auto"/>
              </w:rPr>
            </w:pPr>
            <w:r>
              <w:rPr>
                <w:rFonts w:ascii="Times New Roman" w:cs="Times New Roman" w:eastAsia="Times New Roman" w:hAnsi="Times New Roman"/>
                <w:sz w:val="20"/>
                <w:szCs w:val="20"/>
                <w:color w:val="231F20"/>
              </w:rPr>
              <w:t>Total other expense</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20"/>
                <w:szCs w:val="20"/>
                <w:color w:val="231F20"/>
              </w:rPr>
              <w:t>(1,801.6)</w:t>
            </w:r>
          </w:p>
        </w:tc>
        <w:tc>
          <w:tcPr>
            <w:tcW w:w="80" w:type="dxa"/>
            <w:vAlign w:val="bottom"/>
            <w:tcBorders>
              <w:bottom w:val="single" w:sz="8" w:color="E3E4E5"/>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20"/>
                <w:szCs w:val="20"/>
                <w:color w:val="231F20"/>
              </w:rPr>
              <w:t>(891.7)</w:t>
            </w:r>
          </w:p>
        </w:tc>
        <w:tc>
          <w:tcPr>
            <w:tcW w:w="80" w:type="dxa"/>
            <w:vAlign w:val="bottom"/>
            <w:tcBorders>
              <w:bottom w:val="single" w:sz="8" w:color="E3E4E5"/>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spacing w:after="0" w:line="202" w:lineRule="exact"/>
              <w:rPr>
                <w:sz w:val="20"/>
                <w:szCs w:val="20"/>
                <w:color w:val="auto"/>
              </w:rPr>
            </w:pPr>
            <w:r>
              <w:rPr>
                <w:rFonts w:ascii="Times New Roman" w:cs="Times New Roman" w:eastAsia="Times New Roman" w:hAnsi="Times New Roman"/>
                <w:sz w:val="20"/>
                <w:szCs w:val="20"/>
                <w:color w:val="231F20"/>
              </w:rPr>
              <w:t>(1,596.2)</w:t>
            </w:r>
          </w:p>
        </w:tc>
        <w:tc>
          <w:tcPr>
            <w:tcW w:w="0" w:type="dxa"/>
            <w:vAlign w:val="bottom"/>
          </w:tcPr>
          <w:p>
            <w:pPr>
              <w:spacing w:after="0"/>
              <w:rPr>
                <w:sz w:val="1"/>
                <w:szCs w:val="1"/>
                <w:color w:val="auto"/>
              </w:rPr>
            </w:pPr>
          </w:p>
        </w:tc>
      </w:tr>
      <w:tr>
        <w:trPr>
          <w:trHeight w:val="204"/>
        </w:trPr>
        <w:tc>
          <w:tcPr>
            <w:tcW w:w="6420" w:type="dxa"/>
            <w:vAlign w:val="bottom"/>
            <w:shd w:val="clear" w:color="auto" w:fill="E3E4E5"/>
          </w:tcPr>
          <w:p>
            <w:pPr>
              <w:ind w:left="40"/>
              <w:spacing w:after="0" w:line="204" w:lineRule="exact"/>
              <w:rPr>
                <w:sz w:val="20"/>
                <w:szCs w:val="20"/>
                <w:color w:val="auto"/>
              </w:rPr>
            </w:pPr>
            <w:r>
              <w:rPr>
                <w:rFonts w:ascii="Times New Roman" w:cs="Times New Roman" w:eastAsia="Times New Roman" w:hAnsi="Times New Roman"/>
                <w:sz w:val="20"/>
                <w:szCs w:val="20"/>
                <w:color w:val="231F20"/>
              </w:rPr>
              <w:t>INCOME FROM CONTINUING OPERATIONS BEFORE INCOME</w:t>
            </w:r>
          </w:p>
        </w:tc>
        <w:tc>
          <w:tcPr>
            <w:tcW w:w="280" w:type="dxa"/>
            <w:vAlign w:val="bottom"/>
            <w:shd w:val="clear" w:color="auto" w:fill="E3E4E5"/>
          </w:tcPr>
          <w:p>
            <w:pPr>
              <w:spacing w:after="0"/>
              <w:rPr>
                <w:sz w:val="17"/>
                <w:szCs w:val="17"/>
                <w:color w:val="auto"/>
              </w:rPr>
            </w:pP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3,044.2</w:t>
            </w:r>
          </w:p>
        </w:tc>
        <w:tc>
          <w:tcPr>
            <w:tcW w:w="8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3,624.8</w:t>
            </w:r>
          </w:p>
        </w:tc>
        <w:tc>
          <w:tcPr>
            <w:tcW w:w="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1,529.3</w:t>
            </w:r>
          </w:p>
        </w:tc>
        <w:tc>
          <w:tcPr>
            <w:tcW w:w="0" w:type="dxa"/>
            <w:vAlign w:val="bottom"/>
          </w:tcPr>
          <w:p>
            <w:pPr>
              <w:spacing w:after="0"/>
              <w:rPr>
                <w:sz w:val="1"/>
                <w:szCs w:val="1"/>
                <w:color w:val="auto"/>
              </w:rPr>
            </w:pPr>
          </w:p>
        </w:tc>
      </w:tr>
      <w:tr>
        <w:trPr>
          <w:trHeight w:val="206"/>
        </w:trPr>
        <w:tc>
          <w:tcPr>
            <w:tcW w:w="6420" w:type="dxa"/>
            <w:vAlign w:val="bottom"/>
            <w:shd w:val="clear" w:color="auto" w:fill="E3E4E5"/>
          </w:tcPr>
          <w:p>
            <w:pPr>
              <w:jc w:val="right"/>
              <w:spacing w:after="0" w:line="207" w:lineRule="exact"/>
              <w:rPr>
                <w:sz w:val="20"/>
                <w:szCs w:val="20"/>
                <w:color w:val="auto"/>
              </w:rPr>
            </w:pPr>
            <w:r>
              <w:rPr>
                <w:rFonts w:ascii="Times New Roman" w:cs="Times New Roman" w:eastAsia="Times New Roman" w:hAnsi="Times New Roman"/>
                <w:sz w:val="20"/>
                <w:szCs w:val="20"/>
                <w:color w:val="231F20"/>
              </w:rPr>
              <w:t>TAXES</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17"/>
                <w:szCs w:val="17"/>
                <w:color w:val="auto"/>
              </w:rPr>
            </w:pPr>
          </w:p>
        </w:tc>
        <w:tc>
          <w:tcPr>
            <w:tcW w:w="920" w:type="dxa"/>
            <w:vAlign w:val="bottom"/>
            <w:vMerge w:val="continue"/>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920" w:type="dxa"/>
            <w:vAlign w:val="bottom"/>
            <w:vMerge w:val="continue"/>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880" w:type="dxa"/>
            <w:vAlign w:val="bottom"/>
            <w:vMerge w:val="continue"/>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Income tax provision</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(415.7)</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(366.3)</w:t>
            </w:r>
          </w:p>
        </w:tc>
        <w:tc>
          <w:tcPr>
            <w:tcW w:w="8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(90.8)</w:t>
            </w:r>
          </w:p>
        </w:tc>
        <w:tc>
          <w:tcPr>
            <w:tcW w:w="0" w:type="dxa"/>
            <w:vAlign w:val="bottom"/>
          </w:tcPr>
          <w:p>
            <w:pPr>
              <w:spacing w:after="0"/>
              <w:rPr>
                <w:sz w:val="1"/>
                <w:szCs w:val="1"/>
                <w:color w:val="auto"/>
              </w:rPr>
            </w:pPr>
          </w:p>
        </w:tc>
      </w:tr>
      <w:tr>
        <w:trPr>
          <w:trHeight w:val="230"/>
        </w:trPr>
        <w:tc>
          <w:tcPr>
            <w:tcW w:w="6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NET INCOME FROM CONTINUING OPERATIONS </w:t>
            </w:r>
            <w:r>
              <w:rPr>
                <w:rFonts w:ascii="Times New Roman" w:cs="Times New Roman" w:eastAsia="Times New Roman" w:hAnsi="Times New Roman"/>
                <w:sz w:val="20"/>
                <w:szCs w:val="20"/>
                <w:color w:val="BABCBE"/>
                <w:w w:val="99"/>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2,628.5</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3,258.5</w:t>
            </w: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1,438.5</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LOSS FROM DISCONTINUED OPERATIONS, NET OF TAXES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(978.3)</w:t>
            </w:r>
          </w:p>
        </w:tc>
        <w:tc>
          <w:tcPr>
            <w:tcW w:w="8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(71.4)</w:t>
            </w:r>
          </w:p>
        </w:tc>
        <w:tc>
          <w:tcPr>
            <w:tcW w:w="0" w:type="dxa"/>
            <w:vAlign w:val="bottom"/>
          </w:tcPr>
          <w:p>
            <w:pPr>
              <w:spacing w:after="0"/>
              <w:rPr>
                <w:sz w:val="1"/>
                <w:szCs w:val="1"/>
                <w:color w:val="auto"/>
              </w:rPr>
            </w:pPr>
          </w:p>
        </w:tc>
      </w:tr>
      <w:tr>
        <w:trPr>
          <w:trHeight w:val="230"/>
        </w:trPr>
        <w:tc>
          <w:tcPr>
            <w:tcW w:w="6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NET INCOME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2,628.5</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2,280.2</w:t>
            </w:r>
          </w:p>
        </w:tc>
        <w:tc>
          <w:tcPr>
            <w:tcW w:w="8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1,367.1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Net (income) loss attributable to noncontrolling interests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(99.0)</w:t>
            </w:r>
          </w:p>
        </w:tc>
        <w:tc>
          <w:tcPr>
            <w:tcW w:w="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8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116.2</w:t>
            </w:r>
          </w:p>
        </w:tc>
        <w:tc>
          <w:tcPr>
            <w:tcW w:w="0" w:type="dxa"/>
            <w:vAlign w:val="bottom"/>
          </w:tcPr>
          <w:p>
            <w:pPr>
              <w:spacing w:after="0"/>
              <w:rPr>
                <w:sz w:val="1"/>
                <w:szCs w:val="1"/>
                <w:color w:val="auto"/>
              </w:rPr>
            </w:pPr>
          </w:p>
        </w:tc>
      </w:tr>
      <w:tr>
        <w:trPr>
          <w:trHeight w:val="204"/>
        </w:trPr>
        <w:tc>
          <w:tcPr>
            <w:tcW w:w="6420" w:type="dxa"/>
            <w:vAlign w:val="bottom"/>
            <w:shd w:val="clear" w:color="auto" w:fill="E3E4E5"/>
          </w:tcPr>
          <w:p>
            <w:pPr>
              <w:ind w:left="40"/>
              <w:spacing w:after="0" w:line="204" w:lineRule="exact"/>
              <w:rPr>
                <w:sz w:val="20"/>
                <w:szCs w:val="20"/>
                <w:color w:val="auto"/>
              </w:rPr>
            </w:pPr>
            <w:r>
              <w:rPr>
                <w:rFonts w:ascii="Times New Roman" w:cs="Times New Roman" w:eastAsia="Times New Roman" w:hAnsi="Times New Roman"/>
                <w:sz w:val="20"/>
                <w:szCs w:val="20"/>
                <w:color w:val="231F20"/>
              </w:rPr>
              <w:t>NET INCOME ATTRIBUTABLE TO AMERICAN TOWER</w:t>
            </w:r>
          </w:p>
        </w:tc>
        <w:tc>
          <w:tcPr>
            <w:tcW w:w="280" w:type="dxa"/>
            <w:vAlign w:val="bottom"/>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2,529.5</w:t>
            </w:r>
          </w:p>
        </w:tc>
        <w:tc>
          <w:tcPr>
            <w:tcW w:w="80" w:type="dxa"/>
            <w:vAlign w:val="bottom"/>
            <w:shd w:val="clear" w:color="auto" w:fill="E3E4E5"/>
          </w:tcPr>
          <w:p>
            <w:pPr>
              <w:spacing w:after="0"/>
              <w:rPr>
                <w:sz w:val="17"/>
                <w:szCs w:val="17"/>
                <w:color w:val="auto"/>
              </w:rPr>
            </w:pPr>
          </w:p>
        </w:tc>
        <w:tc>
          <w:tcPr>
            <w:tcW w:w="300" w:type="dxa"/>
            <w:vAlign w:val="bottom"/>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2,255.0</w:t>
            </w:r>
          </w:p>
        </w:tc>
        <w:tc>
          <w:tcPr>
            <w:tcW w:w="80" w:type="dxa"/>
            <w:vAlign w:val="bottom"/>
            <w:shd w:val="clear" w:color="auto" w:fill="E3E4E5"/>
          </w:tcPr>
          <w:p>
            <w:pPr>
              <w:spacing w:after="0"/>
              <w:rPr>
                <w:sz w:val="17"/>
                <w:szCs w:val="17"/>
                <w:color w:val="auto"/>
              </w:rPr>
            </w:pPr>
          </w:p>
        </w:tc>
        <w:tc>
          <w:tcPr>
            <w:tcW w:w="320" w:type="dxa"/>
            <w:vAlign w:val="bottom"/>
            <w:vMerge w:val="restart"/>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1,483.3</w:t>
            </w:r>
          </w:p>
        </w:tc>
        <w:tc>
          <w:tcPr>
            <w:tcW w:w="0" w:type="dxa"/>
            <w:vAlign w:val="bottom"/>
          </w:tcPr>
          <w:p>
            <w:pPr>
              <w:spacing w:after="0"/>
              <w:rPr>
                <w:sz w:val="1"/>
                <w:szCs w:val="1"/>
                <w:color w:val="auto"/>
              </w:rPr>
            </w:pPr>
          </w:p>
        </w:tc>
      </w:tr>
      <w:tr>
        <w:trPr>
          <w:trHeight w:val="176"/>
        </w:trPr>
        <w:tc>
          <w:tcPr>
            <w:tcW w:w="6420" w:type="dxa"/>
            <w:vAlign w:val="bottom"/>
            <w:tcBorders>
              <w:bottom w:val="single" w:sz="8" w:color="E3E4E5"/>
            </w:tcBorders>
            <w:vMerge w:val="restart"/>
            <w:shd w:val="clear" w:color="auto" w:fill="E3E4E5"/>
          </w:tcPr>
          <w:p>
            <w:pPr>
              <w:jc w:val="right"/>
              <w:spacing w:after="0" w:line="207" w:lineRule="exact"/>
              <w:rPr>
                <w:sz w:val="20"/>
                <w:szCs w:val="20"/>
                <w:color w:val="auto"/>
              </w:rPr>
            </w:pPr>
            <w:r>
              <w:rPr>
                <w:rFonts w:ascii="Times New Roman" w:cs="Times New Roman" w:eastAsia="Times New Roman" w:hAnsi="Times New Roman"/>
                <w:sz w:val="20"/>
                <w:szCs w:val="20"/>
                <w:color w:val="231F20"/>
              </w:rPr>
              <w:t xml:space="preserve">CORPORATION COMMON STOCKHOLDERS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vMerge w:val="continue"/>
            <w:shd w:val="clear" w:color="auto" w:fill="E3E4E5"/>
          </w:tcPr>
          <w:p>
            <w:pPr>
              <w:spacing w:after="0"/>
              <w:rPr>
                <w:sz w:val="15"/>
                <w:szCs w:val="15"/>
                <w:color w:val="auto"/>
              </w:rPr>
            </w:pPr>
          </w:p>
        </w:tc>
        <w:tc>
          <w:tcPr>
            <w:tcW w:w="920" w:type="dxa"/>
            <w:vAlign w:val="bottom"/>
            <w:tcBorders>
              <w:bottom w:val="single" w:sz="8" w:color="231F20"/>
            </w:tcBorders>
            <w:vMerge w:val="continue"/>
            <w:shd w:val="clear" w:color="auto" w:fill="E3E4E5"/>
          </w:tcPr>
          <w:p>
            <w:pPr>
              <w:spacing w:after="0"/>
              <w:rPr>
                <w:sz w:val="15"/>
                <w:szCs w:val="15"/>
                <w:color w:val="auto"/>
              </w:rPr>
            </w:pPr>
          </w:p>
        </w:tc>
        <w:tc>
          <w:tcPr>
            <w:tcW w:w="80" w:type="dxa"/>
            <w:vAlign w:val="bottom"/>
            <w:tcBorders>
              <w:bottom w:val="single" w:sz="8" w:color="E3E4E5"/>
            </w:tcBorders>
            <w:shd w:val="clear" w:color="auto" w:fill="E3E4E5"/>
          </w:tcPr>
          <w:p>
            <w:pPr>
              <w:spacing w:after="0"/>
              <w:rPr>
                <w:sz w:val="15"/>
                <w:szCs w:val="15"/>
                <w:color w:val="auto"/>
              </w:rPr>
            </w:pPr>
          </w:p>
        </w:tc>
        <w:tc>
          <w:tcPr>
            <w:tcW w:w="300" w:type="dxa"/>
            <w:vAlign w:val="bottom"/>
            <w:tcBorders>
              <w:bottom w:val="single" w:sz="8" w:color="231F20"/>
            </w:tcBorders>
            <w:vMerge w:val="continue"/>
            <w:shd w:val="clear" w:color="auto" w:fill="E3E4E5"/>
          </w:tcPr>
          <w:p>
            <w:pPr>
              <w:spacing w:after="0"/>
              <w:rPr>
                <w:sz w:val="15"/>
                <w:szCs w:val="15"/>
                <w:color w:val="auto"/>
              </w:rPr>
            </w:pPr>
          </w:p>
        </w:tc>
        <w:tc>
          <w:tcPr>
            <w:tcW w:w="920" w:type="dxa"/>
            <w:vAlign w:val="bottom"/>
            <w:tcBorders>
              <w:bottom w:val="single" w:sz="8" w:color="231F20"/>
            </w:tcBorders>
            <w:vMerge w:val="continue"/>
            <w:shd w:val="clear" w:color="auto" w:fill="E3E4E5"/>
          </w:tcPr>
          <w:p>
            <w:pPr>
              <w:spacing w:after="0"/>
              <w:rPr>
                <w:sz w:val="15"/>
                <w:szCs w:val="15"/>
                <w:color w:val="auto"/>
              </w:rPr>
            </w:pPr>
          </w:p>
        </w:tc>
        <w:tc>
          <w:tcPr>
            <w:tcW w:w="80" w:type="dxa"/>
            <w:vAlign w:val="bottom"/>
            <w:tcBorders>
              <w:bottom w:val="single" w:sz="8" w:color="E3E4E5"/>
            </w:tcBorders>
            <w:shd w:val="clear" w:color="auto" w:fill="E3E4E5"/>
          </w:tcPr>
          <w:p>
            <w:pPr>
              <w:spacing w:after="0"/>
              <w:rPr>
                <w:sz w:val="15"/>
                <w:szCs w:val="15"/>
                <w:color w:val="auto"/>
              </w:rPr>
            </w:pPr>
          </w:p>
        </w:tc>
        <w:tc>
          <w:tcPr>
            <w:tcW w:w="320" w:type="dxa"/>
            <w:vAlign w:val="bottom"/>
            <w:tcBorders>
              <w:bottom w:val="single" w:sz="8" w:color="231F20"/>
            </w:tcBorders>
            <w:vMerge w:val="continue"/>
            <w:shd w:val="clear" w:color="auto" w:fill="E3E4E5"/>
          </w:tcPr>
          <w:p>
            <w:pPr>
              <w:spacing w:after="0"/>
              <w:rPr>
                <w:sz w:val="15"/>
                <w:szCs w:val="15"/>
                <w:color w:val="auto"/>
              </w:rPr>
            </w:pPr>
          </w:p>
        </w:tc>
        <w:tc>
          <w:tcPr>
            <w:tcW w:w="880" w:type="dxa"/>
            <w:vAlign w:val="bottom"/>
            <w:tcBorders>
              <w:bottom w:val="single" w:sz="8" w:color="231F20"/>
            </w:tcBorders>
            <w:vMerge w:val="continue"/>
            <w:shd w:val="clear" w:color="auto" w:fill="E3E4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E3E4E5"/>
            </w:tcBorders>
            <w:vMerge w:val="continue"/>
            <w:shd w:val="clear" w:color="auto" w:fill="E3E4E5"/>
          </w:tcPr>
          <w:p>
            <w:pPr>
              <w:spacing w:after="0" w:line="20" w:lineRule="exact"/>
              <w:rPr>
                <w:sz w:val="1"/>
                <w:szCs w:val="1"/>
                <w:color w:val="auto"/>
              </w:rPr>
            </w:pPr>
          </w:p>
        </w:tc>
        <w:tc>
          <w:tcPr>
            <w:tcW w:w="280" w:type="dxa"/>
            <w:vAlign w:val="bottom"/>
            <w:tcBorders>
              <w:bottom w:val="single" w:sz="8" w:color="E3E4E5"/>
            </w:tcBorders>
            <w:shd w:val="clear" w:color="auto" w:fill="E3E4E5"/>
          </w:tcPr>
          <w:p>
            <w:pPr>
              <w:spacing w:after="0" w:line="20" w:lineRule="exact"/>
              <w:rPr>
                <w:sz w:val="1"/>
                <w:szCs w:val="1"/>
                <w:color w:val="auto"/>
              </w:rPr>
            </w:pPr>
          </w:p>
        </w:tc>
        <w:tc>
          <w:tcPr>
            <w:tcW w:w="920" w:type="dxa"/>
            <w:vAlign w:val="bottom"/>
            <w:tcBorders>
              <w:bottom w:val="single" w:sz="8" w:color="E3E4E5"/>
            </w:tcBorders>
            <w:shd w:val="clear" w:color="auto" w:fill="E3E4E5"/>
          </w:tcPr>
          <w:p>
            <w:pPr>
              <w:spacing w:after="0" w:line="20" w:lineRule="exact"/>
              <w:rPr>
                <w:sz w:val="1"/>
                <w:szCs w:val="1"/>
                <w:color w:val="auto"/>
              </w:rPr>
            </w:pPr>
          </w:p>
        </w:tc>
        <w:tc>
          <w:tcPr>
            <w:tcW w:w="80" w:type="dxa"/>
            <w:vAlign w:val="bottom"/>
            <w:tcBorders>
              <w:bottom w:val="single" w:sz="8" w:color="E3E4E5"/>
            </w:tcBorders>
            <w:shd w:val="clear" w:color="auto" w:fill="E3E4E5"/>
          </w:tcPr>
          <w:p>
            <w:pPr>
              <w:spacing w:after="0" w:line="20" w:lineRule="exact"/>
              <w:rPr>
                <w:sz w:val="1"/>
                <w:szCs w:val="1"/>
                <w:color w:val="auto"/>
              </w:rPr>
            </w:pPr>
          </w:p>
        </w:tc>
        <w:tc>
          <w:tcPr>
            <w:tcW w:w="300" w:type="dxa"/>
            <w:vAlign w:val="bottom"/>
            <w:tcBorders>
              <w:bottom w:val="single" w:sz="8" w:color="E3E4E5"/>
            </w:tcBorders>
            <w:shd w:val="clear" w:color="auto" w:fill="E3E4E5"/>
          </w:tcPr>
          <w:p>
            <w:pPr>
              <w:spacing w:after="0" w:line="20" w:lineRule="exact"/>
              <w:rPr>
                <w:sz w:val="1"/>
                <w:szCs w:val="1"/>
                <w:color w:val="auto"/>
              </w:rPr>
            </w:pPr>
          </w:p>
        </w:tc>
        <w:tc>
          <w:tcPr>
            <w:tcW w:w="920" w:type="dxa"/>
            <w:vAlign w:val="bottom"/>
            <w:tcBorders>
              <w:bottom w:val="single" w:sz="8" w:color="E3E4E5"/>
            </w:tcBorders>
            <w:shd w:val="clear" w:color="auto" w:fill="E3E4E5"/>
          </w:tcPr>
          <w:p>
            <w:pPr>
              <w:spacing w:after="0" w:line="20" w:lineRule="exact"/>
              <w:rPr>
                <w:sz w:val="1"/>
                <w:szCs w:val="1"/>
                <w:color w:val="auto"/>
              </w:rPr>
            </w:pPr>
          </w:p>
        </w:tc>
        <w:tc>
          <w:tcPr>
            <w:tcW w:w="80" w:type="dxa"/>
            <w:vAlign w:val="bottom"/>
            <w:tcBorders>
              <w:bottom w:val="single" w:sz="8" w:color="E3E4E5"/>
            </w:tcBorders>
            <w:shd w:val="clear" w:color="auto" w:fill="E3E4E5"/>
          </w:tcPr>
          <w:p>
            <w:pPr>
              <w:spacing w:after="0" w:line="20" w:lineRule="exact"/>
              <w:rPr>
                <w:sz w:val="1"/>
                <w:szCs w:val="1"/>
                <w:color w:val="auto"/>
              </w:rPr>
            </w:pPr>
          </w:p>
        </w:tc>
        <w:tc>
          <w:tcPr>
            <w:tcW w:w="320" w:type="dxa"/>
            <w:vAlign w:val="bottom"/>
            <w:tcBorders>
              <w:bottom w:val="single" w:sz="8" w:color="E3E4E5"/>
            </w:tcBorders>
            <w:shd w:val="clear" w:color="auto" w:fill="E3E4E5"/>
          </w:tcPr>
          <w:p>
            <w:pPr>
              <w:spacing w:after="0" w:line="20" w:lineRule="exact"/>
              <w:rPr>
                <w:sz w:val="1"/>
                <w:szCs w:val="1"/>
                <w:color w:val="auto"/>
              </w:rPr>
            </w:pPr>
          </w:p>
        </w:tc>
        <w:tc>
          <w:tcPr>
            <w:tcW w:w="880" w:type="dxa"/>
            <w:vAlign w:val="bottom"/>
            <w:tcBorders>
              <w:bottom w:val="single" w:sz="8" w:color="E3E4E5"/>
            </w:tcBorders>
            <w:shd w:val="clear" w:color="auto" w:fill="E3E4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vMerge w:val="restart"/>
          </w:tcPr>
          <w:p>
            <w:pPr>
              <w:ind w:left="40"/>
              <w:spacing w:after="0" w:line="184" w:lineRule="exact"/>
              <w:rPr>
                <w:sz w:val="20"/>
                <w:szCs w:val="20"/>
                <w:color w:val="auto"/>
              </w:rPr>
            </w:pPr>
            <w:r>
              <w:rPr>
                <w:rFonts w:ascii="Times New Roman" w:cs="Times New Roman" w:eastAsia="Times New Roman" w:hAnsi="Times New Roman"/>
                <w:sz w:val="20"/>
                <w:szCs w:val="20"/>
                <w:color w:val="231F20"/>
              </w:rPr>
              <w:t>NET INCOME FROM CONTINUING OPERATIONS ATTRIBUTABLE</w:t>
            </w: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20" w:type="dxa"/>
            <w:vAlign w:val="bottom"/>
            <w:vMerge w:val="continue"/>
          </w:tcPr>
          <w:p>
            <w:pPr>
              <w:spacing w:after="0"/>
              <w:rPr>
                <w:sz w:val="12"/>
                <w:szCs w:val="12"/>
                <w:color w:val="auto"/>
              </w:rPr>
            </w:pP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2,529.5</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3,233.3</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1,554.7</w:t>
            </w:r>
          </w:p>
        </w:tc>
        <w:tc>
          <w:tcPr>
            <w:tcW w:w="0" w:type="dxa"/>
            <w:vAlign w:val="bottom"/>
          </w:tcPr>
          <w:p>
            <w:pPr>
              <w:spacing w:after="0"/>
              <w:rPr>
                <w:sz w:val="1"/>
                <w:szCs w:val="1"/>
                <w:color w:val="auto"/>
              </w:rPr>
            </w:pPr>
          </w:p>
        </w:tc>
      </w:tr>
      <w:tr>
        <w:trPr>
          <w:trHeight w:val="206"/>
        </w:trPr>
        <w:tc>
          <w:tcPr>
            <w:tcW w:w="642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231F20"/>
              </w:rPr>
              <w:t>TO AMERICAN TOWER CORPORATION COMMON STOCKHOLDERS</w:t>
            </w: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E3E4E5"/>
          </w:tcPr>
          <w:p>
            <w:pPr>
              <w:ind w:left="40"/>
              <w:spacing w:after="0" w:line="213" w:lineRule="exact"/>
              <w:rPr>
                <w:sz w:val="20"/>
                <w:szCs w:val="20"/>
                <w:color w:val="auto"/>
              </w:rPr>
            </w:pPr>
            <w:r>
              <w:rPr>
                <w:rFonts w:ascii="Times New Roman" w:cs="Times New Roman" w:eastAsia="Times New Roman" w:hAnsi="Times New Roman"/>
                <w:sz w:val="20"/>
                <w:szCs w:val="20"/>
                <w:color w:val="231F20"/>
              </w:rPr>
              <w:t>NET LOSS FROM DISCONTINUED OPERATIONS ATTRIBUTABLE TO</w:t>
            </w:r>
          </w:p>
        </w:tc>
        <w:tc>
          <w:tcPr>
            <w:tcW w:w="280" w:type="dxa"/>
            <w:vAlign w:val="bottom"/>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gridSpan w:val="2"/>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(978.3)</w:t>
            </w:r>
          </w:p>
        </w:tc>
        <w:tc>
          <w:tcPr>
            <w:tcW w:w="400" w:type="dxa"/>
            <w:vAlign w:val="bottom"/>
            <w:gridSpan w:val="2"/>
            <w:vMerge w:val="restart"/>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(71.4)</w:t>
            </w:r>
          </w:p>
        </w:tc>
        <w:tc>
          <w:tcPr>
            <w:tcW w:w="0" w:type="dxa"/>
            <w:vAlign w:val="bottom"/>
          </w:tcPr>
          <w:p>
            <w:pPr>
              <w:spacing w:after="0"/>
              <w:rPr>
                <w:sz w:val="1"/>
                <w:szCs w:val="1"/>
                <w:color w:val="auto"/>
              </w:rPr>
            </w:pPr>
          </w:p>
        </w:tc>
      </w:tr>
      <w:tr>
        <w:trPr>
          <w:trHeight w:val="206"/>
        </w:trPr>
        <w:tc>
          <w:tcPr>
            <w:tcW w:w="6420" w:type="dxa"/>
            <w:vAlign w:val="bottom"/>
            <w:shd w:val="clear" w:color="auto" w:fill="E3E4E5"/>
          </w:tcPr>
          <w:p>
            <w:pPr>
              <w:ind w:left="40"/>
              <w:spacing w:after="0" w:line="207" w:lineRule="exact"/>
              <w:rPr>
                <w:sz w:val="20"/>
                <w:szCs w:val="20"/>
                <w:color w:val="auto"/>
              </w:rPr>
            </w:pPr>
            <w:r>
              <w:rPr>
                <w:rFonts w:ascii="Times New Roman" w:cs="Times New Roman" w:eastAsia="Times New Roman" w:hAnsi="Times New Roman"/>
                <w:sz w:val="20"/>
                <w:szCs w:val="20"/>
                <w:color w:val="231F20"/>
              </w:rPr>
              <w:t>AMERICAN TOWER CORPORATION COMMON STOCKHOLDERS</w:t>
            </w:r>
          </w:p>
        </w:tc>
        <w:tc>
          <w:tcPr>
            <w:tcW w:w="280" w:type="dxa"/>
            <w:vAlign w:val="bottom"/>
            <w:vMerge w:val="continue"/>
            <w:shd w:val="clear" w:color="auto" w:fill="E3E4E5"/>
          </w:tcPr>
          <w:p>
            <w:pPr>
              <w:spacing w:after="0"/>
              <w:rPr>
                <w:sz w:val="17"/>
                <w:szCs w:val="17"/>
                <w:color w:val="auto"/>
              </w:rPr>
            </w:pPr>
          </w:p>
        </w:tc>
        <w:tc>
          <w:tcPr>
            <w:tcW w:w="920" w:type="dxa"/>
            <w:vAlign w:val="bottom"/>
            <w:vMerge w:val="continue"/>
            <w:shd w:val="clear" w:color="auto" w:fill="E3E4E5"/>
          </w:tcPr>
          <w:p>
            <w:pPr>
              <w:spacing w:after="0"/>
              <w:rPr>
                <w:sz w:val="17"/>
                <w:szCs w:val="17"/>
                <w:color w:val="auto"/>
              </w:rPr>
            </w:pPr>
          </w:p>
        </w:tc>
        <w:tc>
          <w:tcPr>
            <w:tcW w:w="380" w:type="dxa"/>
            <w:vAlign w:val="bottom"/>
            <w:gridSpan w:val="2"/>
            <w:vMerge w:val="continue"/>
            <w:shd w:val="clear" w:color="auto" w:fill="E3E4E5"/>
          </w:tcPr>
          <w:p>
            <w:pPr>
              <w:spacing w:after="0"/>
              <w:rPr>
                <w:sz w:val="17"/>
                <w:szCs w:val="17"/>
                <w:color w:val="auto"/>
              </w:rPr>
            </w:pPr>
          </w:p>
        </w:tc>
        <w:tc>
          <w:tcPr>
            <w:tcW w:w="920" w:type="dxa"/>
            <w:vAlign w:val="bottom"/>
            <w:vMerge w:val="continue"/>
            <w:shd w:val="clear" w:color="auto" w:fill="E3E4E5"/>
          </w:tcPr>
          <w:p>
            <w:pPr>
              <w:spacing w:after="0"/>
              <w:rPr>
                <w:sz w:val="17"/>
                <w:szCs w:val="17"/>
                <w:color w:val="auto"/>
              </w:rPr>
            </w:pPr>
          </w:p>
        </w:tc>
        <w:tc>
          <w:tcPr>
            <w:tcW w:w="400" w:type="dxa"/>
            <w:vAlign w:val="bottom"/>
            <w:gridSpan w:val="2"/>
            <w:vMerge w:val="continue"/>
            <w:shd w:val="clear" w:color="auto" w:fill="E3E4E5"/>
          </w:tcPr>
          <w:p>
            <w:pPr>
              <w:spacing w:after="0"/>
              <w:rPr>
                <w:sz w:val="17"/>
                <w:szCs w:val="17"/>
                <w:color w:val="auto"/>
              </w:rPr>
            </w:pPr>
          </w:p>
        </w:tc>
        <w:tc>
          <w:tcPr>
            <w:tcW w:w="880" w:type="dxa"/>
            <w:vAlign w:val="bottom"/>
            <w:vMerge w:val="continue"/>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4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NET INCOME PER COMMON SHARE AMOUNTS: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Basic net income from continuing operations attributable to American</w:t>
            </w:r>
          </w:p>
        </w:tc>
        <w:tc>
          <w:tcPr>
            <w:tcW w:w="280" w:type="dxa"/>
            <w:vAlign w:val="bottom"/>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380" w:type="dxa"/>
            <w:vAlign w:val="bottom"/>
            <w:gridSpan w:val="2"/>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6.92</w:t>
            </w:r>
          </w:p>
        </w:tc>
        <w:tc>
          <w:tcPr>
            <w:tcW w:w="400" w:type="dxa"/>
            <w:vAlign w:val="bottom"/>
            <w:gridSpan w:val="2"/>
            <w:vMerge w:val="restart"/>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3.34</w:t>
            </w:r>
          </w:p>
        </w:tc>
        <w:tc>
          <w:tcPr>
            <w:tcW w:w="0" w:type="dxa"/>
            <w:vAlign w:val="bottom"/>
          </w:tcPr>
          <w:p>
            <w:pPr>
              <w:spacing w:after="0"/>
              <w:rPr>
                <w:sz w:val="1"/>
                <w:szCs w:val="1"/>
                <w:color w:val="auto"/>
              </w:rPr>
            </w:pPr>
          </w:p>
        </w:tc>
      </w:tr>
      <w:tr>
        <w:trPr>
          <w:trHeight w:val="206"/>
        </w:trPr>
        <w:tc>
          <w:tcPr>
            <w:tcW w:w="6420" w:type="dxa"/>
            <w:vAlign w:val="bottom"/>
            <w:shd w:val="clear" w:color="auto" w:fill="E3E4E5"/>
          </w:tcPr>
          <w:p>
            <w:pPr>
              <w:jc w:val="right"/>
              <w:spacing w:after="0" w:line="207" w:lineRule="exact"/>
              <w:rPr>
                <w:sz w:val="20"/>
                <w:szCs w:val="20"/>
                <w:color w:val="auto"/>
              </w:rPr>
            </w:pPr>
            <w:r>
              <w:rPr>
                <w:rFonts w:ascii="Times New Roman" w:cs="Times New Roman" w:eastAsia="Times New Roman" w:hAnsi="Times New Roman"/>
                <w:sz w:val="20"/>
                <w:szCs w:val="20"/>
                <w:color w:val="231F20"/>
              </w:rPr>
              <w:t>Tower Corporation common stockholders</w:t>
            </w:r>
            <w:r>
              <w:rPr>
                <w:rFonts w:ascii="Times New Roman" w:cs="Times New Roman" w:eastAsia="Times New Roman" w:hAnsi="Times New Roman"/>
                <w:sz w:val="20"/>
                <w:szCs w:val="20"/>
                <w:color w:val="BABCBE"/>
              </w:rPr>
              <w:t>....................................................</w:t>
            </w:r>
          </w:p>
        </w:tc>
        <w:tc>
          <w:tcPr>
            <w:tcW w:w="280" w:type="dxa"/>
            <w:vAlign w:val="bottom"/>
            <w:vMerge w:val="continue"/>
            <w:shd w:val="clear" w:color="auto" w:fill="E3E4E5"/>
          </w:tcPr>
          <w:p>
            <w:pPr>
              <w:spacing w:after="0"/>
              <w:rPr>
                <w:sz w:val="17"/>
                <w:szCs w:val="17"/>
                <w:color w:val="auto"/>
              </w:rPr>
            </w:pPr>
          </w:p>
        </w:tc>
        <w:tc>
          <w:tcPr>
            <w:tcW w:w="920" w:type="dxa"/>
            <w:vAlign w:val="bottom"/>
            <w:vMerge w:val="continue"/>
            <w:shd w:val="clear" w:color="auto" w:fill="E3E4E5"/>
          </w:tcPr>
          <w:p>
            <w:pPr>
              <w:spacing w:after="0"/>
              <w:rPr>
                <w:sz w:val="17"/>
                <w:szCs w:val="17"/>
                <w:color w:val="auto"/>
              </w:rPr>
            </w:pPr>
          </w:p>
        </w:tc>
        <w:tc>
          <w:tcPr>
            <w:tcW w:w="380" w:type="dxa"/>
            <w:vAlign w:val="bottom"/>
            <w:gridSpan w:val="2"/>
            <w:vMerge w:val="continue"/>
            <w:shd w:val="clear" w:color="auto" w:fill="E3E4E5"/>
          </w:tcPr>
          <w:p>
            <w:pPr>
              <w:spacing w:after="0"/>
              <w:rPr>
                <w:sz w:val="17"/>
                <w:szCs w:val="17"/>
                <w:color w:val="auto"/>
              </w:rPr>
            </w:pPr>
          </w:p>
        </w:tc>
        <w:tc>
          <w:tcPr>
            <w:tcW w:w="920" w:type="dxa"/>
            <w:vAlign w:val="bottom"/>
            <w:vMerge w:val="continue"/>
            <w:shd w:val="clear" w:color="auto" w:fill="E3E4E5"/>
          </w:tcPr>
          <w:p>
            <w:pPr>
              <w:spacing w:after="0"/>
              <w:rPr>
                <w:sz w:val="17"/>
                <w:szCs w:val="17"/>
                <w:color w:val="auto"/>
              </w:rPr>
            </w:pPr>
          </w:p>
        </w:tc>
        <w:tc>
          <w:tcPr>
            <w:tcW w:w="400" w:type="dxa"/>
            <w:vAlign w:val="bottom"/>
            <w:gridSpan w:val="2"/>
            <w:vMerge w:val="continue"/>
            <w:shd w:val="clear" w:color="auto" w:fill="E3E4E5"/>
          </w:tcPr>
          <w:p>
            <w:pPr>
              <w:spacing w:after="0"/>
              <w:rPr>
                <w:sz w:val="17"/>
                <w:szCs w:val="17"/>
                <w:color w:val="auto"/>
              </w:rPr>
            </w:pPr>
          </w:p>
        </w:tc>
        <w:tc>
          <w:tcPr>
            <w:tcW w:w="880" w:type="dxa"/>
            <w:vAlign w:val="bottom"/>
            <w:vMerge w:val="continue"/>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20" w:type="dxa"/>
            <w:vAlign w:val="bottom"/>
          </w:tcPr>
          <w:p>
            <w:pPr>
              <w:ind w:left="400"/>
              <w:spacing w:after="0" w:line="213" w:lineRule="exact"/>
              <w:rPr>
                <w:sz w:val="20"/>
                <w:szCs w:val="20"/>
                <w:color w:val="auto"/>
              </w:rPr>
            </w:pPr>
            <w:r>
              <w:rPr>
                <w:rFonts w:ascii="Times New Roman" w:cs="Times New Roman" w:eastAsia="Times New Roman" w:hAnsi="Times New Roman"/>
                <w:sz w:val="20"/>
                <w:szCs w:val="20"/>
                <w:color w:val="231F20"/>
              </w:rPr>
              <w:t>Basic net loss from discontinued operations attributable to American</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(0.15)</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E3E4E5"/>
            </w:tcBorders>
          </w:tcPr>
          <w:p>
            <w:pPr>
              <w:jc w:val="right"/>
              <w:spacing w:after="0" w:line="196" w:lineRule="exact"/>
              <w:rPr>
                <w:sz w:val="20"/>
                <w:szCs w:val="20"/>
                <w:color w:val="auto"/>
              </w:rPr>
            </w:pPr>
            <w:r>
              <w:rPr>
                <w:rFonts w:ascii="Times New Roman" w:cs="Times New Roman" w:eastAsia="Times New Roman" w:hAnsi="Times New Roman"/>
                <w:sz w:val="20"/>
                <w:szCs w:val="20"/>
                <w:color w:val="231F20"/>
              </w:rPr>
              <w:t>Tower Corporation common stockholders</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vMerge w:val="continue"/>
          </w:tcPr>
          <w:p>
            <w:pPr>
              <w:spacing w:after="0"/>
              <w:rPr>
                <w:sz w:val="17"/>
                <w:szCs w:val="17"/>
                <w:color w:val="auto"/>
              </w:rPr>
            </w:pPr>
          </w:p>
        </w:tc>
        <w:tc>
          <w:tcPr>
            <w:tcW w:w="80" w:type="dxa"/>
            <w:vAlign w:val="bottom"/>
            <w:tcBorders>
              <w:bottom w:val="single" w:sz="8" w:color="E3E4E5"/>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vMerge w:val="continue"/>
          </w:tcPr>
          <w:p>
            <w:pPr>
              <w:spacing w:after="0"/>
              <w:rPr>
                <w:sz w:val="17"/>
                <w:szCs w:val="17"/>
                <w:color w:val="auto"/>
              </w:rPr>
            </w:pPr>
          </w:p>
        </w:tc>
        <w:tc>
          <w:tcPr>
            <w:tcW w:w="80" w:type="dxa"/>
            <w:vAlign w:val="bottom"/>
            <w:tcBorders>
              <w:bottom w:val="single" w:sz="8" w:color="E3E4E5"/>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20" w:type="dxa"/>
            <w:vAlign w:val="bottom"/>
            <w:shd w:val="clear" w:color="auto" w:fill="E3E4E5"/>
          </w:tcPr>
          <w:p>
            <w:pPr>
              <w:ind w:left="400"/>
              <w:spacing w:after="0" w:line="204" w:lineRule="exact"/>
              <w:rPr>
                <w:sz w:val="20"/>
                <w:szCs w:val="20"/>
                <w:color w:val="auto"/>
              </w:rPr>
            </w:pPr>
            <w:r>
              <w:rPr>
                <w:rFonts w:ascii="Times New Roman" w:cs="Times New Roman" w:eastAsia="Times New Roman" w:hAnsi="Times New Roman"/>
                <w:sz w:val="20"/>
                <w:szCs w:val="20"/>
                <w:color w:val="231F20"/>
              </w:rPr>
              <w:t>Basic net income attributable to American Tower Corporation common</w:t>
            </w:r>
          </w:p>
        </w:tc>
        <w:tc>
          <w:tcPr>
            <w:tcW w:w="280" w:type="dxa"/>
            <w:vAlign w:val="bottom"/>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80" w:type="dxa"/>
            <w:vAlign w:val="bottom"/>
            <w:shd w:val="clear" w:color="auto" w:fill="E3E4E5"/>
          </w:tcPr>
          <w:p>
            <w:pPr>
              <w:spacing w:after="0"/>
              <w:rPr>
                <w:sz w:val="17"/>
                <w:szCs w:val="17"/>
                <w:color w:val="auto"/>
              </w:rPr>
            </w:pPr>
          </w:p>
        </w:tc>
        <w:tc>
          <w:tcPr>
            <w:tcW w:w="300" w:type="dxa"/>
            <w:vAlign w:val="bottom"/>
            <w:vMerge w:val="restart"/>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4.83</w:t>
            </w:r>
          </w:p>
        </w:tc>
        <w:tc>
          <w:tcPr>
            <w:tcW w:w="80" w:type="dxa"/>
            <w:vAlign w:val="bottom"/>
            <w:shd w:val="clear" w:color="auto" w:fill="E3E4E5"/>
          </w:tcPr>
          <w:p>
            <w:pPr>
              <w:spacing w:after="0"/>
              <w:rPr>
                <w:sz w:val="17"/>
                <w:szCs w:val="17"/>
                <w:color w:val="auto"/>
              </w:rPr>
            </w:pPr>
          </w:p>
        </w:tc>
        <w:tc>
          <w:tcPr>
            <w:tcW w:w="320" w:type="dxa"/>
            <w:vAlign w:val="bottom"/>
            <w:vMerge w:val="restart"/>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3.18</w:t>
            </w:r>
          </w:p>
        </w:tc>
        <w:tc>
          <w:tcPr>
            <w:tcW w:w="0" w:type="dxa"/>
            <w:vAlign w:val="bottom"/>
          </w:tcPr>
          <w:p>
            <w:pPr>
              <w:spacing w:after="0"/>
              <w:rPr>
                <w:sz w:val="1"/>
                <w:szCs w:val="1"/>
                <w:color w:val="auto"/>
              </w:rPr>
            </w:pPr>
          </w:p>
        </w:tc>
      </w:tr>
      <w:tr>
        <w:trPr>
          <w:trHeight w:val="176"/>
        </w:trPr>
        <w:tc>
          <w:tcPr>
            <w:tcW w:w="6420" w:type="dxa"/>
            <w:vAlign w:val="bottom"/>
            <w:tcBorders>
              <w:bottom w:val="single" w:sz="8" w:color="E3E4E5"/>
            </w:tcBorders>
            <w:vMerge w:val="restart"/>
            <w:shd w:val="clear" w:color="auto" w:fill="E3E4E5"/>
          </w:tcPr>
          <w:p>
            <w:pPr>
              <w:jc w:val="right"/>
              <w:spacing w:after="0" w:line="207" w:lineRule="exact"/>
              <w:rPr>
                <w:sz w:val="20"/>
                <w:szCs w:val="20"/>
                <w:color w:val="auto"/>
              </w:rPr>
            </w:pPr>
            <w:r>
              <w:rPr>
                <w:rFonts w:ascii="Times New Roman" w:cs="Times New Roman" w:eastAsia="Times New Roman" w:hAnsi="Times New Roman"/>
                <w:sz w:val="20"/>
                <w:szCs w:val="20"/>
                <w:color w:val="231F20"/>
              </w:rPr>
              <w:t xml:space="preserve">stockholders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vMerge w:val="continue"/>
            <w:shd w:val="clear" w:color="auto" w:fill="E3E4E5"/>
          </w:tcPr>
          <w:p>
            <w:pPr>
              <w:spacing w:after="0"/>
              <w:rPr>
                <w:sz w:val="15"/>
                <w:szCs w:val="15"/>
                <w:color w:val="auto"/>
              </w:rPr>
            </w:pPr>
          </w:p>
        </w:tc>
        <w:tc>
          <w:tcPr>
            <w:tcW w:w="920" w:type="dxa"/>
            <w:vAlign w:val="bottom"/>
            <w:tcBorders>
              <w:bottom w:val="single" w:sz="8" w:color="231F20"/>
            </w:tcBorders>
            <w:vMerge w:val="continue"/>
            <w:shd w:val="clear" w:color="auto" w:fill="E3E4E5"/>
          </w:tcPr>
          <w:p>
            <w:pPr>
              <w:spacing w:after="0"/>
              <w:rPr>
                <w:sz w:val="15"/>
                <w:szCs w:val="15"/>
                <w:color w:val="auto"/>
              </w:rPr>
            </w:pPr>
          </w:p>
        </w:tc>
        <w:tc>
          <w:tcPr>
            <w:tcW w:w="80" w:type="dxa"/>
            <w:vAlign w:val="bottom"/>
            <w:tcBorders>
              <w:bottom w:val="single" w:sz="8" w:color="E3E4E5"/>
            </w:tcBorders>
            <w:shd w:val="clear" w:color="auto" w:fill="E3E4E5"/>
          </w:tcPr>
          <w:p>
            <w:pPr>
              <w:spacing w:after="0"/>
              <w:rPr>
                <w:sz w:val="15"/>
                <w:szCs w:val="15"/>
                <w:color w:val="auto"/>
              </w:rPr>
            </w:pPr>
          </w:p>
        </w:tc>
        <w:tc>
          <w:tcPr>
            <w:tcW w:w="300" w:type="dxa"/>
            <w:vAlign w:val="bottom"/>
            <w:tcBorders>
              <w:bottom w:val="single" w:sz="8" w:color="231F20"/>
            </w:tcBorders>
            <w:vMerge w:val="continue"/>
            <w:shd w:val="clear" w:color="auto" w:fill="E3E4E5"/>
          </w:tcPr>
          <w:p>
            <w:pPr>
              <w:spacing w:after="0"/>
              <w:rPr>
                <w:sz w:val="15"/>
                <w:szCs w:val="15"/>
                <w:color w:val="auto"/>
              </w:rPr>
            </w:pPr>
          </w:p>
        </w:tc>
        <w:tc>
          <w:tcPr>
            <w:tcW w:w="920" w:type="dxa"/>
            <w:vAlign w:val="bottom"/>
            <w:tcBorders>
              <w:bottom w:val="single" w:sz="8" w:color="231F20"/>
            </w:tcBorders>
            <w:vMerge w:val="continue"/>
            <w:shd w:val="clear" w:color="auto" w:fill="E3E4E5"/>
          </w:tcPr>
          <w:p>
            <w:pPr>
              <w:spacing w:after="0"/>
              <w:rPr>
                <w:sz w:val="15"/>
                <w:szCs w:val="15"/>
                <w:color w:val="auto"/>
              </w:rPr>
            </w:pPr>
          </w:p>
        </w:tc>
        <w:tc>
          <w:tcPr>
            <w:tcW w:w="80" w:type="dxa"/>
            <w:vAlign w:val="bottom"/>
            <w:tcBorders>
              <w:bottom w:val="single" w:sz="8" w:color="E3E4E5"/>
            </w:tcBorders>
            <w:shd w:val="clear" w:color="auto" w:fill="E3E4E5"/>
          </w:tcPr>
          <w:p>
            <w:pPr>
              <w:spacing w:after="0"/>
              <w:rPr>
                <w:sz w:val="15"/>
                <w:szCs w:val="15"/>
                <w:color w:val="auto"/>
              </w:rPr>
            </w:pPr>
          </w:p>
        </w:tc>
        <w:tc>
          <w:tcPr>
            <w:tcW w:w="320" w:type="dxa"/>
            <w:vAlign w:val="bottom"/>
            <w:tcBorders>
              <w:bottom w:val="single" w:sz="8" w:color="231F20"/>
            </w:tcBorders>
            <w:vMerge w:val="continue"/>
            <w:shd w:val="clear" w:color="auto" w:fill="E3E4E5"/>
          </w:tcPr>
          <w:p>
            <w:pPr>
              <w:spacing w:after="0"/>
              <w:rPr>
                <w:sz w:val="15"/>
                <w:szCs w:val="15"/>
                <w:color w:val="auto"/>
              </w:rPr>
            </w:pPr>
          </w:p>
        </w:tc>
        <w:tc>
          <w:tcPr>
            <w:tcW w:w="880" w:type="dxa"/>
            <w:vAlign w:val="bottom"/>
            <w:tcBorders>
              <w:bottom w:val="single" w:sz="8" w:color="231F20"/>
            </w:tcBorders>
            <w:vMerge w:val="continue"/>
            <w:shd w:val="clear" w:color="auto" w:fill="E3E4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E3E4E5"/>
            </w:tcBorders>
            <w:vMerge w:val="continue"/>
            <w:shd w:val="clear" w:color="auto" w:fill="E3E4E5"/>
          </w:tcPr>
          <w:p>
            <w:pPr>
              <w:spacing w:after="0" w:line="20" w:lineRule="exact"/>
              <w:rPr>
                <w:sz w:val="1"/>
                <w:szCs w:val="1"/>
                <w:color w:val="auto"/>
              </w:rPr>
            </w:pPr>
          </w:p>
        </w:tc>
        <w:tc>
          <w:tcPr>
            <w:tcW w:w="280" w:type="dxa"/>
            <w:vAlign w:val="bottom"/>
            <w:tcBorders>
              <w:bottom w:val="single" w:sz="8" w:color="E3E4E5"/>
            </w:tcBorders>
            <w:shd w:val="clear" w:color="auto" w:fill="E3E4E5"/>
          </w:tcPr>
          <w:p>
            <w:pPr>
              <w:spacing w:after="0" w:line="20" w:lineRule="exact"/>
              <w:rPr>
                <w:sz w:val="1"/>
                <w:szCs w:val="1"/>
                <w:color w:val="auto"/>
              </w:rPr>
            </w:pPr>
          </w:p>
        </w:tc>
        <w:tc>
          <w:tcPr>
            <w:tcW w:w="920" w:type="dxa"/>
            <w:vAlign w:val="bottom"/>
            <w:tcBorders>
              <w:bottom w:val="single" w:sz="8" w:color="E3E4E5"/>
            </w:tcBorders>
            <w:shd w:val="clear" w:color="auto" w:fill="E3E4E5"/>
          </w:tcPr>
          <w:p>
            <w:pPr>
              <w:spacing w:after="0" w:line="20" w:lineRule="exact"/>
              <w:rPr>
                <w:sz w:val="1"/>
                <w:szCs w:val="1"/>
                <w:color w:val="auto"/>
              </w:rPr>
            </w:pPr>
          </w:p>
        </w:tc>
        <w:tc>
          <w:tcPr>
            <w:tcW w:w="80" w:type="dxa"/>
            <w:vAlign w:val="bottom"/>
            <w:tcBorders>
              <w:bottom w:val="single" w:sz="8" w:color="E3E4E5"/>
            </w:tcBorders>
            <w:shd w:val="clear" w:color="auto" w:fill="E3E4E5"/>
          </w:tcPr>
          <w:p>
            <w:pPr>
              <w:spacing w:after="0" w:line="20" w:lineRule="exact"/>
              <w:rPr>
                <w:sz w:val="1"/>
                <w:szCs w:val="1"/>
                <w:color w:val="auto"/>
              </w:rPr>
            </w:pPr>
          </w:p>
        </w:tc>
        <w:tc>
          <w:tcPr>
            <w:tcW w:w="300" w:type="dxa"/>
            <w:vAlign w:val="bottom"/>
            <w:tcBorders>
              <w:bottom w:val="single" w:sz="8" w:color="E3E4E5"/>
            </w:tcBorders>
            <w:shd w:val="clear" w:color="auto" w:fill="E3E4E5"/>
          </w:tcPr>
          <w:p>
            <w:pPr>
              <w:spacing w:after="0" w:line="20" w:lineRule="exact"/>
              <w:rPr>
                <w:sz w:val="1"/>
                <w:szCs w:val="1"/>
                <w:color w:val="auto"/>
              </w:rPr>
            </w:pPr>
          </w:p>
        </w:tc>
        <w:tc>
          <w:tcPr>
            <w:tcW w:w="920" w:type="dxa"/>
            <w:vAlign w:val="bottom"/>
            <w:tcBorders>
              <w:bottom w:val="single" w:sz="8" w:color="E3E4E5"/>
            </w:tcBorders>
            <w:shd w:val="clear" w:color="auto" w:fill="E3E4E5"/>
          </w:tcPr>
          <w:p>
            <w:pPr>
              <w:spacing w:after="0" w:line="20" w:lineRule="exact"/>
              <w:rPr>
                <w:sz w:val="1"/>
                <w:szCs w:val="1"/>
                <w:color w:val="auto"/>
              </w:rPr>
            </w:pPr>
          </w:p>
        </w:tc>
        <w:tc>
          <w:tcPr>
            <w:tcW w:w="80" w:type="dxa"/>
            <w:vAlign w:val="bottom"/>
            <w:tcBorders>
              <w:bottom w:val="single" w:sz="8" w:color="E3E4E5"/>
            </w:tcBorders>
            <w:shd w:val="clear" w:color="auto" w:fill="E3E4E5"/>
          </w:tcPr>
          <w:p>
            <w:pPr>
              <w:spacing w:after="0" w:line="20" w:lineRule="exact"/>
              <w:rPr>
                <w:sz w:val="1"/>
                <w:szCs w:val="1"/>
                <w:color w:val="auto"/>
              </w:rPr>
            </w:pPr>
          </w:p>
        </w:tc>
        <w:tc>
          <w:tcPr>
            <w:tcW w:w="320" w:type="dxa"/>
            <w:vAlign w:val="bottom"/>
            <w:tcBorders>
              <w:bottom w:val="single" w:sz="8" w:color="E3E4E5"/>
            </w:tcBorders>
            <w:shd w:val="clear" w:color="auto" w:fill="E3E4E5"/>
          </w:tcPr>
          <w:p>
            <w:pPr>
              <w:spacing w:after="0" w:line="20" w:lineRule="exact"/>
              <w:rPr>
                <w:sz w:val="1"/>
                <w:szCs w:val="1"/>
                <w:color w:val="auto"/>
              </w:rPr>
            </w:pPr>
          </w:p>
        </w:tc>
        <w:tc>
          <w:tcPr>
            <w:tcW w:w="880" w:type="dxa"/>
            <w:vAlign w:val="bottom"/>
            <w:tcBorders>
              <w:bottom w:val="single" w:sz="8" w:color="E3E4E5"/>
            </w:tcBorders>
            <w:shd w:val="clear" w:color="auto" w:fill="E3E4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vMerge w:val="restart"/>
          </w:tcPr>
          <w:p>
            <w:pPr>
              <w:ind w:left="400"/>
              <w:spacing w:after="0" w:line="184" w:lineRule="exact"/>
              <w:rPr>
                <w:sz w:val="20"/>
                <w:szCs w:val="20"/>
                <w:color w:val="auto"/>
              </w:rPr>
            </w:pPr>
            <w:r>
              <w:rPr>
                <w:rFonts w:ascii="Times New Roman" w:cs="Times New Roman" w:eastAsia="Times New Roman" w:hAnsi="Times New Roman"/>
                <w:sz w:val="20"/>
                <w:szCs w:val="20"/>
                <w:color w:val="231F20"/>
              </w:rPr>
              <w:t>Diluted net income from continuing operations attributable to American</w:t>
            </w: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20" w:type="dxa"/>
            <w:vAlign w:val="bottom"/>
            <w:vMerge w:val="continue"/>
          </w:tcPr>
          <w:p>
            <w:pPr>
              <w:spacing w:after="0"/>
              <w:rPr>
                <w:sz w:val="12"/>
                <w:szCs w:val="12"/>
                <w:color w:val="auto"/>
              </w:rPr>
            </w:pP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5.40</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6.91</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3.33</w:t>
            </w:r>
          </w:p>
        </w:tc>
        <w:tc>
          <w:tcPr>
            <w:tcW w:w="0" w:type="dxa"/>
            <w:vAlign w:val="bottom"/>
          </w:tcPr>
          <w:p>
            <w:pPr>
              <w:spacing w:after="0"/>
              <w:rPr>
                <w:sz w:val="1"/>
                <w:szCs w:val="1"/>
                <w:color w:val="auto"/>
              </w:rPr>
            </w:pPr>
          </w:p>
        </w:tc>
      </w:tr>
      <w:tr>
        <w:trPr>
          <w:trHeight w:val="206"/>
        </w:trPr>
        <w:tc>
          <w:tcPr>
            <w:tcW w:w="642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231F20"/>
              </w:rPr>
              <w:t>Tower Corporation common stockholders</w:t>
            </w:r>
            <w:r>
              <w:rPr>
                <w:rFonts w:ascii="Times New Roman" w:cs="Times New Roman" w:eastAsia="Times New Roman" w:hAnsi="Times New Roman"/>
                <w:sz w:val="20"/>
                <w:szCs w:val="20"/>
                <w:color w:val="BABCBE"/>
              </w:rPr>
              <w:t>....................................................</w:t>
            </w: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20" w:type="dxa"/>
            <w:vAlign w:val="bottom"/>
            <w:shd w:val="clear" w:color="auto" w:fill="E3E4E5"/>
          </w:tcPr>
          <w:p>
            <w:pPr>
              <w:ind w:left="400"/>
              <w:spacing w:after="0" w:line="213" w:lineRule="exact"/>
              <w:rPr>
                <w:sz w:val="20"/>
                <w:szCs w:val="20"/>
                <w:color w:val="auto"/>
              </w:rPr>
            </w:pPr>
            <w:r>
              <w:rPr>
                <w:rFonts w:ascii="Times New Roman" w:cs="Times New Roman" w:eastAsia="Times New Roman" w:hAnsi="Times New Roman"/>
                <w:sz w:val="20"/>
                <w:szCs w:val="20"/>
                <w:color w:val="231F20"/>
              </w:rPr>
              <w:t>Diluted net loss from discontinued operations attributable to American</w:t>
            </w:r>
          </w:p>
        </w:tc>
        <w:tc>
          <w:tcPr>
            <w:tcW w:w="280" w:type="dxa"/>
            <w:vAlign w:val="bottom"/>
            <w:shd w:val="clear" w:color="auto" w:fill="E3E4E5"/>
          </w:tcPr>
          <w:p>
            <w:pPr>
              <w:spacing w:after="0"/>
              <w:rPr>
                <w:sz w:val="18"/>
                <w:szCs w:val="18"/>
                <w:color w:val="auto"/>
              </w:rPr>
            </w:pP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18"/>
                <w:szCs w:val="18"/>
                <w:color w:val="auto"/>
              </w:rPr>
            </w:pPr>
          </w:p>
        </w:tc>
        <w:tc>
          <w:tcPr>
            <w:tcW w:w="300" w:type="dxa"/>
            <w:vAlign w:val="bottom"/>
            <w:shd w:val="clear" w:color="auto" w:fill="E3E4E5"/>
          </w:tcPr>
          <w:p>
            <w:pPr>
              <w:spacing w:after="0"/>
              <w:rPr>
                <w:sz w:val="18"/>
                <w:szCs w:val="18"/>
                <w:color w:val="auto"/>
              </w:rPr>
            </w:pPr>
          </w:p>
        </w:tc>
        <w:tc>
          <w:tcPr>
            <w:tcW w:w="9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8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8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(0.15)</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E3E4E5"/>
            </w:tcBorders>
            <w:shd w:val="clear" w:color="auto" w:fill="E3E4E5"/>
          </w:tcPr>
          <w:p>
            <w:pPr>
              <w:jc w:val="right"/>
              <w:spacing w:after="0" w:line="196" w:lineRule="exact"/>
              <w:rPr>
                <w:sz w:val="20"/>
                <w:szCs w:val="20"/>
                <w:color w:val="auto"/>
              </w:rPr>
            </w:pPr>
            <w:r>
              <w:rPr>
                <w:rFonts w:ascii="Times New Roman" w:cs="Times New Roman" w:eastAsia="Times New Roman" w:hAnsi="Times New Roman"/>
                <w:sz w:val="20"/>
                <w:szCs w:val="20"/>
                <w:color w:val="231F20"/>
              </w:rPr>
              <w:t>Tower Corporation common stockholders</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18"/>
                <w:szCs w:val="18"/>
                <w:color w:val="auto"/>
              </w:rPr>
            </w:pPr>
          </w:p>
        </w:tc>
        <w:tc>
          <w:tcPr>
            <w:tcW w:w="920" w:type="dxa"/>
            <w:vAlign w:val="bottom"/>
            <w:tcBorders>
              <w:bottom w:val="single" w:sz="8" w:color="231F20"/>
            </w:tcBorders>
            <w:vMerge w:val="continue"/>
            <w:shd w:val="clear" w:color="auto" w:fill="E3E4E5"/>
          </w:tcPr>
          <w:p>
            <w:pPr>
              <w:spacing w:after="0"/>
              <w:rPr>
                <w:sz w:val="18"/>
                <w:szCs w:val="18"/>
                <w:color w:val="auto"/>
              </w:rPr>
            </w:pPr>
          </w:p>
        </w:tc>
        <w:tc>
          <w:tcPr>
            <w:tcW w:w="80" w:type="dxa"/>
            <w:vAlign w:val="bottom"/>
            <w:tcBorders>
              <w:bottom w:val="single" w:sz="8" w:color="E3E4E5"/>
            </w:tcBorders>
            <w:shd w:val="clear" w:color="auto" w:fill="E3E4E5"/>
          </w:tcPr>
          <w:p>
            <w:pPr>
              <w:spacing w:after="0"/>
              <w:rPr>
                <w:sz w:val="18"/>
                <w:szCs w:val="18"/>
                <w:color w:val="auto"/>
              </w:rPr>
            </w:pPr>
          </w:p>
        </w:tc>
        <w:tc>
          <w:tcPr>
            <w:tcW w:w="300" w:type="dxa"/>
            <w:vAlign w:val="bottom"/>
            <w:tcBorders>
              <w:bottom w:val="single" w:sz="8" w:color="231F20"/>
            </w:tcBorders>
            <w:shd w:val="clear" w:color="auto" w:fill="E3E4E5"/>
          </w:tcPr>
          <w:p>
            <w:pPr>
              <w:spacing w:after="0"/>
              <w:rPr>
                <w:sz w:val="18"/>
                <w:szCs w:val="18"/>
                <w:color w:val="auto"/>
              </w:rPr>
            </w:pPr>
          </w:p>
        </w:tc>
        <w:tc>
          <w:tcPr>
            <w:tcW w:w="920" w:type="dxa"/>
            <w:vAlign w:val="bottom"/>
            <w:tcBorders>
              <w:bottom w:val="single" w:sz="8" w:color="231F20"/>
            </w:tcBorders>
            <w:vMerge w:val="continue"/>
            <w:shd w:val="clear" w:color="auto" w:fill="E3E4E5"/>
          </w:tcPr>
          <w:p>
            <w:pPr>
              <w:spacing w:after="0"/>
              <w:rPr>
                <w:sz w:val="18"/>
                <w:szCs w:val="18"/>
                <w:color w:val="auto"/>
              </w:rPr>
            </w:pPr>
          </w:p>
        </w:tc>
        <w:tc>
          <w:tcPr>
            <w:tcW w:w="80" w:type="dxa"/>
            <w:vAlign w:val="bottom"/>
            <w:tcBorders>
              <w:bottom w:val="single" w:sz="8" w:color="E3E4E5"/>
            </w:tcBorders>
            <w:shd w:val="clear" w:color="auto" w:fill="E3E4E5"/>
          </w:tcPr>
          <w:p>
            <w:pPr>
              <w:spacing w:after="0"/>
              <w:rPr>
                <w:sz w:val="18"/>
                <w:szCs w:val="18"/>
                <w:color w:val="auto"/>
              </w:rPr>
            </w:pPr>
          </w:p>
        </w:tc>
        <w:tc>
          <w:tcPr>
            <w:tcW w:w="320" w:type="dxa"/>
            <w:vAlign w:val="bottom"/>
            <w:tcBorders>
              <w:bottom w:val="single" w:sz="8" w:color="231F20"/>
            </w:tcBorders>
            <w:shd w:val="clear" w:color="auto" w:fill="E3E4E5"/>
          </w:tcPr>
          <w:p>
            <w:pPr>
              <w:spacing w:after="0"/>
              <w:rPr>
                <w:sz w:val="18"/>
                <w:szCs w:val="18"/>
                <w:color w:val="auto"/>
              </w:rPr>
            </w:pPr>
          </w:p>
        </w:tc>
        <w:tc>
          <w:tcPr>
            <w:tcW w:w="880" w:type="dxa"/>
            <w:vAlign w:val="bottom"/>
            <w:tcBorders>
              <w:bottom w:val="single" w:sz="8" w:color="231F20"/>
            </w:tcBorders>
            <w:vMerge w:val="continue"/>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420" w:type="dxa"/>
            <w:vAlign w:val="bottom"/>
          </w:tcPr>
          <w:p>
            <w:pPr>
              <w:ind w:left="400"/>
              <w:spacing w:after="0" w:line="184" w:lineRule="exact"/>
              <w:rPr>
                <w:sz w:val="20"/>
                <w:szCs w:val="20"/>
                <w:color w:val="auto"/>
              </w:rPr>
            </w:pPr>
            <w:r>
              <w:rPr>
                <w:rFonts w:ascii="Times New Roman" w:cs="Times New Roman" w:eastAsia="Times New Roman" w:hAnsi="Times New Roman"/>
                <w:sz w:val="20"/>
                <w:szCs w:val="20"/>
                <w:color w:val="231F20"/>
              </w:rPr>
              <w:t>Diluted net income attributable to American Tower Corporation common</w:t>
            </w: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5.40</w:t>
            </w:r>
          </w:p>
        </w:tc>
        <w:tc>
          <w:tcPr>
            <w:tcW w:w="80" w:type="dxa"/>
            <w:vAlign w:val="bottom"/>
          </w:tcPr>
          <w:p>
            <w:pPr>
              <w:spacing w:after="0"/>
              <w:rPr>
                <w:sz w:val="15"/>
                <w:szCs w:val="15"/>
                <w:color w:val="auto"/>
              </w:rPr>
            </w:pP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4.82</w:t>
            </w:r>
          </w:p>
        </w:tc>
        <w:tc>
          <w:tcPr>
            <w:tcW w:w="80" w:type="dxa"/>
            <w:vAlign w:val="bottom"/>
          </w:tcPr>
          <w:p>
            <w:pPr>
              <w:spacing w:after="0"/>
              <w:rPr>
                <w:sz w:val="15"/>
                <w:szCs w:val="15"/>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3.18</w:t>
            </w:r>
          </w:p>
        </w:tc>
        <w:tc>
          <w:tcPr>
            <w:tcW w:w="0" w:type="dxa"/>
            <w:vAlign w:val="bottom"/>
          </w:tcPr>
          <w:p>
            <w:pPr>
              <w:spacing w:after="0"/>
              <w:rPr>
                <w:sz w:val="1"/>
                <w:szCs w:val="1"/>
                <w:color w:val="auto"/>
              </w:rPr>
            </w:pPr>
          </w:p>
        </w:tc>
      </w:tr>
      <w:tr>
        <w:trPr>
          <w:trHeight w:val="181"/>
        </w:trPr>
        <w:tc>
          <w:tcPr>
            <w:tcW w:w="6420" w:type="dxa"/>
            <w:vAlign w:val="bottom"/>
            <w:vMerge w:val="restart"/>
          </w:tcPr>
          <w:p>
            <w:pPr>
              <w:jc w:val="right"/>
              <w:spacing w:after="0" w:line="207" w:lineRule="exact"/>
              <w:rPr>
                <w:sz w:val="20"/>
                <w:szCs w:val="20"/>
                <w:color w:val="auto"/>
              </w:rPr>
            </w:pPr>
            <w:r>
              <w:rPr>
                <w:rFonts w:ascii="Times New Roman" w:cs="Times New Roman" w:eastAsia="Times New Roman" w:hAnsi="Times New Roman"/>
                <w:sz w:val="20"/>
                <w:szCs w:val="20"/>
                <w:color w:val="231F20"/>
              </w:rPr>
              <w:t xml:space="preserve">stockholders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vMerge w:val="continue"/>
          </w:tcPr>
          <w:p>
            <w:pPr>
              <w:spacing w:after="0"/>
              <w:rPr>
                <w:sz w:val="15"/>
                <w:szCs w:val="15"/>
                <w:color w:val="auto"/>
              </w:rPr>
            </w:pPr>
          </w:p>
        </w:tc>
        <w:tc>
          <w:tcPr>
            <w:tcW w:w="920" w:type="dxa"/>
            <w:vAlign w:val="bottom"/>
            <w:tcBorders>
              <w:bottom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231F20"/>
            </w:tcBorders>
            <w:vMerge w:val="continue"/>
          </w:tcPr>
          <w:p>
            <w:pPr>
              <w:spacing w:after="0"/>
              <w:rPr>
                <w:sz w:val="15"/>
                <w:szCs w:val="15"/>
                <w:color w:val="auto"/>
              </w:rPr>
            </w:pPr>
          </w:p>
        </w:tc>
        <w:tc>
          <w:tcPr>
            <w:tcW w:w="920" w:type="dxa"/>
            <w:vAlign w:val="bottom"/>
            <w:tcBorders>
              <w:bottom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231F20"/>
            </w:tcBorders>
            <w:vMerge w:val="continue"/>
          </w:tcPr>
          <w:p>
            <w:pPr>
              <w:spacing w:after="0"/>
              <w:rPr>
                <w:sz w:val="15"/>
                <w:szCs w:val="15"/>
                <w:color w:val="auto"/>
              </w:rPr>
            </w:pPr>
          </w:p>
        </w:tc>
        <w:tc>
          <w:tcPr>
            <w:tcW w:w="880" w:type="dxa"/>
            <w:vAlign w:val="bottom"/>
            <w:tcBorders>
              <w:bottom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Borders>
              <w:bottom w:val="single" w:sz="8" w:color="E3E4E5"/>
            </w:tcBorders>
            <w:vMerge w:val="continue"/>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shd w:val="clear" w:color="auto" w:fill="E3E4E5"/>
          </w:tcPr>
          <w:p>
            <w:pPr>
              <w:ind w:left="40"/>
              <w:spacing w:after="0" w:line="184" w:lineRule="exact"/>
              <w:rPr>
                <w:sz w:val="20"/>
                <w:szCs w:val="20"/>
                <w:color w:val="auto"/>
              </w:rPr>
            </w:pPr>
            <w:r>
              <w:rPr>
                <w:rFonts w:ascii="Times New Roman" w:cs="Times New Roman" w:eastAsia="Times New Roman" w:hAnsi="Times New Roman"/>
                <w:sz w:val="20"/>
                <w:szCs w:val="20"/>
                <w:color w:val="231F20"/>
              </w:rPr>
              <w:t>WEIGHTED AVERAGE COMMON SHARES OUTSTANDING (in</w:t>
            </w:r>
          </w:p>
        </w:tc>
        <w:tc>
          <w:tcPr>
            <w:tcW w:w="280" w:type="dxa"/>
            <w:vAlign w:val="bottom"/>
            <w:shd w:val="clear" w:color="auto" w:fill="E3E4E5"/>
          </w:tcPr>
          <w:p>
            <w:pPr>
              <w:spacing w:after="0"/>
              <w:rPr>
                <w:sz w:val="15"/>
                <w:szCs w:val="15"/>
                <w:color w:val="auto"/>
              </w:rPr>
            </w:pPr>
          </w:p>
        </w:tc>
        <w:tc>
          <w:tcPr>
            <w:tcW w:w="920" w:type="dxa"/>
            <w:vAlign w:val="bottom"/>
            <w:shd w:val="clear" w:color="auto" w:fill="E3E4E5"/>
          </w:tcPr>
          <w:p>
            <w:pPr>
              <w:spacing w:after="0"/>
              <w:rPr>
                <w:sz w:val="15"/>
                <w:szCs w:val="15"/>
                <w:color w:val="auto"/>
              </w:rPr>
            </w:pPr>
          </w:p>
        </w:tc>
        <w:tc>
          <w:tcPr>
            <w:tcW w:w="80" w:type="dxa"/>
            <w:vAlign w:val="bottom"/>
            <w:shd w:val="clear" w:color="auto" w:fill="E3E4E5"/>
          </w:tcPr>
          <w:p>
            <w:pPr>
              <w:spacing w:after="0"/>
              <w:rPr>
                <w:sz w:val="15"/>
                <w:szCs w:val="15"/>
                <w:color w:val="auto"/>
              </w:rPr>
            </w:pPr>
          </w:p>
        </w:tc>
        <w:tc>
          <w:tcPr>
            <w:tcW w:w="300" w:type="dxa"/>
            <w:vAlign w:val="bottom"/>
            <w:shd w:val="clear" w:color="auto" w:fill="E3E4E5"/>
          </w:tcPr>
          <w:p>
            <w:pPr>
              <w:spacing w:after="0"/>
              <w:rPr>
                <w:sz w:val="15"/>
                <w:szCs w:val="15"/>
                <w:color w:val="auto"/>
              </w:rPr>
            </w:pPr>
          </w:p>
        </w:tc>
        <w:tc>
          <w:tcPr>
            <w:tcW w:w="920" w:type="dxa"/>
            <w:vAlign w:val="bottom"/>
            <w:shd w:val="clear" w:color="auto" w:fill="E3E4E5"/>
          </w:tcPr>
          <w:p>
            <w:pPr>
              <w:spacing w:after="0"/>
              <w:rPr>
                <w:sz w:val="15"/>
                <w:szCs w:val="15"/>
                <w:color w:val="auto"/>
              </w:rPr>
            </w:pPr>
          </w:p>
        </w:tc>
        <w:tc>
          <w:tcPr>
            <w:tcW w:w="80" w:type="dxa"/>
            <w:vAlign w:val="bottom"/>
            <w:shd w:val="clear" w:color="auto" w:fill="E3E4E5"/>
          </w:tcPr>
          <w:p>
            <w:pPr>
              <w:spacing w:after="0"/>
              <w:rPr>
                <w:sz w:val="15"/>
                <w:szCs w:val="15"/>
                <w:color w:val="auto"/>
              </w:rPr>
            </w:pPr>
          </w:p>
        </w:tc>
        <w:tc>
          <w:tcPr>
            <w:tcW w:w="320" w:type="dxa"/>
            <w:vAlign w:val="bottom"/>
            <w:shd w:val="clear" w:color="auto" w:fill="E3E4E5"/>
          </w:tcPr>
          <w:p>
            <w:pPr>
              <w:spacing w:after="0"/>
              <w:rPr>
                <w:sz w:val="15"/>
                <w:szCs w:val="15"/>
                <w:color w:val="auto"/>
              </w:rPr>
            </w:pPr>
          </w:p>
        </w:tc>
        <w:tc>
          <w:tcPr>
            <w:tcW w:w="880" w:type="dxa"/>
            <w:vAlign w:val="bottom"/>
            <w:shd w:val="clear" w:color="auto" w:fill="E3E4E5"/>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420" w:type="dxa"/>
            <w:vAlign w:val="bottom"/>
            <w:shd w:val="clear" w:color="auto" w:fill="E3E4E5"/>
          </w:tcPr>
          <w:p>
            <w:pPr>
              <w:ind w:left="40"/>
              <w:spacing w:after="0" w:line="207" w:lineRule="exact"/>
              <w:rPr>
                <w:sz w:val="20"/>
                <w:szCs w:val="20"/>
                <w:color w:val="auto"/>
              </w:rPr>
            </w:pPr>
            <w:r>
              <w:rPr>
                <w:rFonts w:ascii="Times New Roman" w:cs="Times New Roman" w:eastAsia="Times New Roman" w:hAnsi="Times New Roman"/>
                <w:sz w:val="20"/>
                <w:szCs w:val="20"/>
                <w:color w:val="231F20"/>
              </w:rPr>
              <w:t>thousands):</w:t>
            </w:r>
          </w:p>
        </w:tc>
        <w:tc>
          <w:tcPr>
            <w:tcW w:w="280" w:type="dxa"/>
            <w:vAlign w:val="bottom"/>
            <w:shd w:val="clear" w:color="auto" w:fill="E3E4E5"/>
          </w:tcPr>
          <w:p>
            <w:pPr>
              <w:spacing w:after="0"/>
              <w:rPr>
                <w:sz w:val="17"/>
                <w:szCs w:val="17"/>
                <w:color w:val="auto"/>
              </w:rPr>
            </w:pPr>
          </w:p>
        </w:tc>
        <w:tc>
          <w:tcPr>
            <w:tcW w:w="92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92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3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31F20"/>
              </w:rPr>
              <w:t xml:space="preserve">BASIC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spacing w:after="0" w:line="190" w:lineRule="exact"/>
              <w:rPr>
                <w:sz w:val="20"/>
                <w:szCs w:val="20"/>
                <w:color w:val="auto"/>
              </w:rPr>
            </w:pPr>
            <w:r>
              <w:rPr>
                <w:rFonts w:ascii="Times New Roman" w:cs="Times New Roman" w:eastAsia="Times New Roman" w:hAnsi="Times New Roman"/>
                <w:sz w:val="20"/>
                <w:szCs w:val="20"/>
                <w:color w:val="231F20"/>
              </w:rPr>
              <w:t>467,922</w:t>
            </w:r>
          </w:p>
        </w:tc>
        <w:tc>
          <w:tcPr>
            <w:tcW w:w="80" w:type="dxa"/>
            <w:vAlign w:val="bottom"/>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right"/>
              <w:spacing w:after="0" w:line="190" w:lineRule="exact"/>
              <w:rPr>
                <w:sz w:val="20"/>
                <w:szCs w:val="20"/>
                <w:color w:val="auto"/>
              </w:rPr>
            </w:pPr>
            <w:r>
              <w:rPr>
                <w:rFonts w:ascii="Times New Roman" w:cs="Times New Roman" w:eastAsia="Times New Roman" w:hAnsi="Times New Roman"/>
                <w:sz w:val="20"/>
                <w:szCs w:val="20"/>
                <w:color w:val="231F20"/>
              </w:rPr>
              <w:t>467,011</w:t>
            </w: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spacing w:after="0" w:line="190" w:lineRule="exact"/>
              <w:rPr>
                <w:sz w:val="20"/>
                <w:szCs w:val="20"/>
                <w:color w:val="auto"/>
              </w:rPr>
            </w:pPr>
            <w:r>
              <w:rPr>
                <w:rFonts w:ascii="Times New Roman" w:cs="Times New Roman" w:eastAsia="Times New Roman" w:hAnsi="Times New Roman"/>
                <w:sz w:val="20"/>
                <w:szCs w:val="20"/>
                <w:color w:val="231F20"/>
              </w:rPr>
              <w:t>466,063</w:t>
            </w:r>
          </w:p>
        </w:tc>
        <w:tc>
          <w:tcPr>
            <w:tcW w:w="0" w:type="dxa"/>
            <w:vAlign w:val="bottom"/>
          </w:tcPr>
          <w:p>
            <w:pPr>
              <w:spacing w:after="0"/>
              <w:rPr>
                <w:sz w:val="1"/>
                <w:szCs w:val="1"/>
                <w:color w:val="auto"/>
              </w:rPr>
            </w:pPr>
          </w:p>
        </w:tc>
      </w:tr>
      <w:tr>
        <w:trPr>
          <w:trHeight w:val="20"/>
        </w:trPr>
        <w:tc>
          <w:tcPr>
            <w:tcW w:w="6420" w:type="dxa"/>
            <w:vAlign w:val="bottom"/>
            <w:tcBorders>
              <w:bottom w:val="single" w:sz="8" w:color="E3E4E5"/>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E3E4E5"/>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20" w:type="dxa"/>
            <w:vAlign w:val="bottom"/>
            <w:tcBorders>
              <w:bottom w:val="single" w:sz="8" w:color="E3E4E5"/>
            </w:tcBorders>
            <w:shd w:val="clear" w:color="auto" w:fill="E3E4E5"/>
          </w:tcPr>
          <w:p>
            <w:pPr>
              <w:jc w:val="right"/>
              <w:spacing w:after="0" w:line="200" w:lineRule="exact"/>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DILUTED</w:t>
            </w:r>
          </w:p>
        </w:tc>
        <w:tc>
          <w:tcPr>
            <w:tcW w:w="280" w:type="dxa"/>
            <w:vAlign w:val="bottom"/>
            <w:tcBorders>
              <w:bottom w:val="single" w:sz="8" w:color="231F20"/>
            </w:tcBorders>
            <w:shd w:val="clear" w:color="auto" w:fill="E3E4E5"/>
          </w:tcPr>
          <w:p>
            <w:pPr>
              <w:spacing w:after="0"/>
              <w:rPr>
                <w:sz w:val="17"/>
                <w:szCs w:val="17"/>
                <w:color w:val="auto"/>
              </w:rPr>
            </w:pPr>
          </w:p>
        </w:tc>
        <w:tc>
          <w:tcPr>
            <w:tcW w:w="920" w:type="dxa"/>
            <w:vAlign w:val="bottom"/>
            <w:tcBorders>
              <w:bottom w:val="single" w:sz="8" w:color="231F20"/>
            </w:tcBorders>
            <w:shd w:val="clear" w:color="auto" w:fill="E3E4E5"/>
          </w:tcPr>
          <w:p>
            <w:pPr>
              <w:jc w:val="right"/>
              <w:spacing w:after="0" w:line="160" w:lineRule="exact"/>
              <w:rPr>
                <w:sz w:val="20"/>
                <w:szCs w:val="20"/>
                <w:color w:val="auto"/>
              </w:rPr>
            </w:pPr>
            <w:r>
              <w:rPr>
                <w:rFonts w:ascii="Times New Roman" w:cs="Times New Roman" w:eastAsia="Times New Roman" w:hAnsi="Times New Roman"/>
                <w:sz w:val="18"/>
                <w:szCs w:val="18"/>
                <w:color w:val="231F20"/>
              </w:rPr>
              <w:t>468,757</w:t>
            </w:r>
          </w:p>
        </w:tc>
        <w:tc>
          <w:tcPr>
            <w:tcW w:w="80" w:type="dxa"/>
            <w:vAlign w:val="bottom"/>
            <w:tcBorders>
              <w:bottom w:val="single" w:sz="8" w:color="E3E4E5"/>
            </w:tcBorders>
            <w:shd w:val="clear" w:color="auto" w:fill="E3E4E5"/>
          </w:tcPr>
          <w:p>
            <w:pPr>
              <w:spacing w:after="0"/>
              <w:rPr>
                <w:sz w:val="17"/>
                <w:szCs w:val="17"/>
                <w:color w:val="auto"/>
              </w:rPr>
            </w:pPr>
          </w:p>
        </w:tc>
        <w:tc>
          <w:tcPr>
            <w:tcW w:w="300" w:type="dxa"/>
            <w:vAlign w:val="bottom"/>
            <w:tcBorders>
              <w:bottom w:val="single" w:sz="8" w:color="231F20"/>
            </w:tcBorders>
            <w:shd w:val="clear" w:color="auto" w:fill="E3E4E5"/>
          </w:tcPr>
          <w:p>
            <w:pPr>
              <w:spacing w:after="0"/>
              <w:rPr>
                <w:sz w:val="17"/>
                <w:szCs w:val="17"/>
                <w:color w:val="auto"/>
              </w:rPr>
            </w:pPr>
          </w:p>
        </w:tc>
        <w:tc>
          <w:tcPr>
            <w:tcW w:w="920" w:type="dxa"/>
            <w:vAlign w:val="bottom"/>
            <w:tcBorders>
              <w:bottom w:val="single" w:sz="8" w:color="231F20"/>
            </w:tcBorders>
            <w:shd w:val="clear" w:color="auto" w:fill="E3E4E5"/>
          </w:tcPr>
          <w:p>
            <w:pPr>
              <w:jc w:val="right"/>
              <w:spacing w:after="0" w:line="160" w:lineRule="exact"/>
              <w:rPr>
                <w:sz w:val="20"/>
                <w:szCs w:val="20"/>
                <w:color w:val="auto"/>
              </w:rPr>
            </w:pPr>
            <w:r>
              <w:rPr>
                <w:rFonts w:ascii="Times New Roman" w:cs="Times New Roman" w:eastAsia="Times New Roman" w:hAnsi="Times New Roman"/>
                <w:sz w:val="18"/>
                <w:szCs w:val="18"/>
                <w:color w:val="231F20"/>
              </w:rPr>
              <w:t>468,120</w:t>
            </w:r>
          </w:p>
        </w:tc>
        <w:tc>
          <w:tcPr>
            <w:tcW w:w="80" w:type="dxa"/>
            <w:vAlign w:val="bottom"/>
            <w:tcBorders>
              <w:bottom w:val="single" w:sz="8" w:color="E3E4E5"/>
            </w:tcBorders>
            <w:shd w:val="clear" w:color="auto" w:fill="E3E4E5"/>
          </w:tcPr>
          <w:p>
            <w:pPr>
              <w:spacing w:after="0"/>
              <w:rPr>
                <w:sz w:val="17"/>
                <w:szCs w:val="17"/>
                <w:color w:val="auto"/>
              </w:rPr>
            </w:pPr>
          </w:p>
        </w:tc>
        <w:tc>
          <w:tcPr>
            <w:tcW w:w="320" w:type="dxa"/>
            <w:vAlign w:val="bottom"/>
            <w:tcBorders>
              <w:bottom w:val="single" w:sz="8" w:color="231F20"/>
            </w:tcBorders>
            <w:shd w:val="clear" w:color="auto" w:fill="E3E4E5"/>
          </w:tcPr>
          <w:p>
            <w:pPr>
              <w:spacing w:after="0"/>
              <w:rPr>
                <w:sz w:val="17"/>
                <w:szCs w:val="17"/>
                <w:color w:val="auto"/>
              </w:rPr>
            </w:pPr>
          </w:p>
        </w:tc>
        <w:tc>
          <w:tcPr>
            <w:tcW w:w="880" w:type="dxa"/>
            <w:vAlign w:val="bottom"/>
            <w:tcBorders>
              <w:bottom w:val="single" w:sz="8" w:color="231F20"/>
            </w:tcBorders>
            <w:shd w:val="clear" w:color="auto" w:fill="E3E4E5"/>
          </w:tcPr>
          <w:p>
            <w:pPr>
              <w:jc w:val="right"/>
              <w:spacing w:after="0" w:line="160" w:lineRule="exact"/>
              <w:rPr>
                <w:sz w:val="20"/>
                <w:szCs w:val="20"/>
                <w:color w:val="auto"/>
              </w:rPr>
            </w:pPr>
            <w:r>
              <w:rPr>
                <w:rFonts w:ascii="Times New Roman" w:cs="Times New Roman" w:eastAsia="Times New Roman" w:hAnsi="Times New Roman"/>
                <w:sz w:val="18"/>
                <w:szCs w:val="18"/>
                <w:color w:val="231F20"/>
              </w:rPr>
              <w:t>467,162</w:t>
            </w:r>
          </w:p>
        </w:tc>
        <w:tc>
          <w:tcPr>
            <w:tcW w:w="0" w:type="dxa"/>
            <w:vAlign w:val="bottom"/>
          </w:tcPr>
          <w:p>
            <w:pPr>
              <w:spacing w:after="0"/>
              <w:rPr>
                <w:sz w:val="1"/>
                <w:szCs w:val="1"/>
                <w:color w:val="auto"/>
              </w:rPr>
            </w:pPr>
          </w:p>
        </w:tc>
      </w:tr>
      <w:tr>
        <w:trPr>
          <w:trHeight w:val="20"/>
        </w:trPr>
        <w:tc>
          <w:tcPr>
            <w:tcW w:w="6420" w:type="dxa"/>
            <w:vAlign w:val="bottom"/>
            <w:tcBorders>
              <w:top w:val="single" w:sz="8" w:color="E3E4E5"/>
            </w:tcBorders>
          </w:tcPr>
          <w:p>
            <w:pPr>
              <w:spacing w:after="0" w:line="20" w:lineRule="exact"/>
              <w:rPr>
                <w:sz w:val="1"/>
                <w:szCs w:val="1"/>
                <w:color w:val="auto"/>
              </w:rPr>
            </w:pPr>
          </w:p>
        </w:tc>
        <w:tc>
          <w:tcPr>
            <w:tcW w:w="280" w:type="dxa"/>
            <w:vAlign w:val="bottom"/>
            <w:tcBorders>
              <w:top w:val="single" w:sz="8" w:color="E3E4E5"/>
              <w:bottom w:val="single" w:sz="8" w:color="231F20"/>
            </w:tcBorders>
          </w:tcPr>
          <w:p>
            <w:pPr>
              <w:spacing w:after="0" w:line="20" w:lineRule="exact"/>
              <w:rPr>
                <w:sz w:val="1"/>
                <w:szCs w:val="1"/>
                <w:color w:val="auto"/>
              </w:rPr>
            </w:pPr>
          </w:p>
        </w:tc>
        <w:tc>
          <w:tcPr>
            <w:tcW w:w="920" w:type="dxa"/>
            <w:vAlign w:val="bottom"/>
            <w:tcBorders>
              <w:top w:val="single" w:sz="8" w:color="E3E4E5"/>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00" w:type="dxa"/>
            <w:vAlign w:val="bottom"/>
            <w:tcBorders>
              <w:top w:val="single" w:sz="8" w:color="E3E4E5"/>
              <w:bottom w:val="single" w:sz="8" w:color="231F20"/>
            </w:tcBorders>
          </w:tcPr>
          <w:p>
            <w:pPr>
              <w:spacing w:after="0" w:line="20" w:lineRule="exact"/>
              <w:rPr>
                <w:sz w:val="1"/>
                <w:szCs w:val="1"/>
                <w:color w:val="auto"/>
              </w:rPr>
            </w:pPr>
          </w:p>
        </w:tc>
        <w:tc>
          <w:tcPr>
            <w:tcW w:w="920" w:type="dxa"/>
            <w:vAlign w:val="bottom"/>
            <w:tcBorders>
              <w:top w:val="single" w:sz="8" w:color="E3E4E5"/>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E3E4E5"/>
              <w:bottom w:val="single" w:sz="8" w:color="231F20"/>
            </w:tcBorders>
          </w:tcPr>
          <w:p>
            <w:pPr>
              <w:spacing w:after="0" w:line="20" w:lineRule="exact"/>
              <w:rPr>
                <w:sz w:val="1"/>
                <w:szCs w:val="1"/>
                <w:color w:val="auto"/>
              </w:rPr>
            </w:pPr>
          </w:p>
        </w:tc>
        <w:tc>
          <w:tcPr>
            <w:tcW w:w="880" w:type="dxa"/>
            <w:vAlign w:val="bottom"/>
            <w:tcBorders>
              <w:top w:val="single" w:sz="8" w:color="E3E4E5"/>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-7393940</wp:posOffset>
            </wp:positionV>
            <wp:extent cx="243522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4">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-6936740</wp:posOffset>
            </wp:positionV>
            <wp:extent cx="243522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5">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-6784340</wp:posOffset>
            </wp:positionV>
            <wp:extent cx="243522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6">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-5565140</wp:posOffset>
            </wp:positionV>
            <wp:extent cx="243522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7">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-5412740</wp:posOffset>
            </wp:positionV>
            <wp:extent cx="243522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8">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-5260340</wp:posOffset>
            </wp:positionV>
            <wp:extent cx="243522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9">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-4336415</wp:posOffset>
            </wp:positionV>
            <wp:extent cx="243522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0">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-4184015</wp:posOffset>
            </wp:positionV>
            <wp:extent cx="243522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1">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-3764915</wp:posOffset>
            </wp:positionV>
            <wp:extent cx="243522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22">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-3460115</wp:posOffset>
            </wp:positionV>
            <wp:extent cx="243522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23">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-3155315</wp:posOffset>
            </wp:positionV>
            <wp:extent cx="243522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24">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-2901315</wp:posOffset>
            </wp:positionV>
            <wp:extent cx="243522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5">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-1669415</wp:posOffset>
            </wp:positionV>
            <wp:extent cx="243522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26">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-1415415</wp:posOffset>
            </wp:positionV>
            <wp:extent cx="243522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7">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-869315</wp:posOffset>
            </wp:positionV>
            <wp:extent cx="243522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8">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-589915</wp:posOffset>
            </wp:positionV>
            <wp:extent cx="243522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9">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-170815</wp:posOffset>
            </wp:positionV>
            <wp:extent cx="243522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0">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-43815</wp:posOffset>
            </wp:positionV>
            <wp:extent cx="243522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1">
                      <a:extLst>
                        <a:ext uri="{28A0092B-C50C-407E-A947-70E740481C1C}"/>
                      </a:extLst>
                    </a:blip>
                    <a:srcRect/>
                    <a:stretch>
                      <a:fillRect/>
                    </a:stretch>
                  </pic:blipFill>
                  <pic:spPr bwMode="auto">
                    <a:xfrm>
                      <a:off x="0" y="0"/>
                      <a:ext cx="2435225" cy="2540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10200"/>
          </w:cols>
          <w:pgMar w:left="820" w:top="38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F-4</w:t>
      </w:r>
    </w:p>
    <w:p>
      <w:pPr>
        <w:sectPr>
          <w:pgSz w:w="11880" w:h="15480" w:orient="portrait"/>
          <w:cols w:equalWidth="0" w:num="1">
            <w:col w:w="10200"/>
          </w:cols>
          <w:pgMar w:left="820" w:top="386" w:right="860" w:bottom="0" w:gutter="0" w:footer="0" w:header="0"/>
          <w:type w:val="continuous"/>
        </w:sectPr>
      </w:pPr>
    </w:p>
    <w:bookmarkStart w:id="94" w:name="page95"/>
    <w:bookmarkEnd w:id="94"/>
    <w:p>
      <w:pPr>
        <w:ind w:left="2400"/>
        <w:spacing w:after="0"/>
        <w:rPr>
          <w:sz w:val="20"/>
          <w:szCs w:val="20"/>
          <w:color w:val="auto"/>
        </w:rPr>
      </w:pPr>
      <w:r>
        <w:rPr>
          <w:rFonts w:ascii="Times New Roman" w:cs="Times New Roman" w:eastAsia="Times New Roman" w:hAnsi="Times New Roman"/>
          <w:sz w:val="20"/>
          <w:szCs w:val="20"/>
          <w:b w:val="1"/>
          <w:bCs w:val="1"/>
          <w:color w:val="231F20"/>
        </w:rPr>
        <w:t>AMERICAN TOWER CORPORATION AND SUBSIDIARIES</w:t>
      </w:r>
    </w:p>
    <w:p>
      <w:pPr>
        <w:spacing w:after="0" w:line="11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2740" w:type="dxa"/>
            <w:vAlign w:val="bottom"/>
            <w:tcBorders>
              <w:bottom w:val="single" w:sz="8" w:color="231F20"/>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80" w:type="dxa"/>
            <w:vAlign w:val="bottom"/>
            <w:tcBorders>
              <w:bottom w:val="single" w:sz="8" w:color="231F20"/>
            </w:tcBorders>
          </w:tcPr>
          <w:p>
            <w:pPr>
              <w:spacing w:after="0"/>
              <w:rPr>
                <w:sz w:val="18"/>
                <w:szCs w:val="18"/>
                <w:color w:val="auto"/>
              </w:rPr>
            </w:pPr>
          </w:p>
        </w:tc>
      </w:tr>
      <w:tr>
        <w:trPr>
          <w:trHeight w:val="235"/>
        </w:trPr>
        <w:tc>
          <w:tcPr>
            <w:tcW w:w="622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90"/>
        </w:trPr>
        <w:tc>
          <w:tcPr>
            <w:tcW w:w="62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Net income </w:t>
            </w:r>
            <w:r>
              <w:rPr>
                <w:rFonts w:ascii="Times New Roman" w:cs="Times New Roman" w:eastAsia="Times New Roman" w:hAnsi="Times New Roman"/>
                <w:sz w:val="20"/>
                <w:szCs w:val="20"/>
                <w:color w:val="BABCBE"/>
              </w:rPr>
              <w:t>......................................................................................................</w:t>
            </w:r>
          </w:p>
        </w:tc>
        <w:tc>
          <w:tcPr>
            <w:tcW w:w="320" w:type="dxa"/>
            <w:vAlign w:val="bottom"/>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2,628.5</w:t>
            </w:r>
          </w:p>
        </w:tc>
        <w:tc>
          <w:tcPr>
            <w:tcW w:w="38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2,280.2</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1,367.1</w:t>
            </w:r>
          </w:p>
        </w:tc>
      </w:tr>
      <w:tr>
        <w:trPr>
          <w:trHeight w:val="274"/>
        </w:trPr>
        <w:tc>
          <w:tcPr>
            <w:tcW w:w="6220" w:type="dxa"/>
            <w:vAlign w:val="bottom"/>
          </w:tcPr>
          <w:p>
            <w:pPr>
              <w:jc w:val="right"/>
              <w:ind w:right="2820"/>
              <w:spacing w:after="0"/>
              <w:rPr>
                <w:sz w:val="20"/>
                <w:szCs w:val="20"/>
                <w:color w:val="auto"/>
              </w:rPr>
            </w:pPr>
            <w:r>
              <w:rPr>
                <w:rFonts w:ascii="Times New Roman" w:cs="Times New Roman" w:eastAsia="Times New Roman" w:hAnsi="Times New Roman"/>
                <w:sz w:val="20"/>
                <w:szCs w:val="20"/>
                <w:color w:val="231F20"/>
              </w:rPr>
              <w:t>Other comprehensive (loss) income:</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6"/>
        </w:trPr>
        <w:tc>
          <w:tcPr>
            <w:tcW w:w="6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4"/>
        </w:trPr>
        <w:tc>
          <w:tcPr>
            <w:tcW w:w="6220" w:type="dxa"/>
            <w:vAlign w:val="bottom"/>
            <w:shd w:val="clear" w:color="auto" w:fill="E3E4E5"/>
          </w:tcPr>
          <w:p>
            <w:pPr>
              <w:ind w:left="760"/>
              <w:spacing w:after="0" w:line="213" w:lineRule="exact"/>
              <w:rPr>
                <w:sz w:val="20"/>
                <w:szCs w:val="20"/>
                <w:color w:val="auto"/>
              </w:rPr>
            </w:pPr>
            <w:r>
              <w:rPr>
                <w:rFonts w:ascii="Times New Roman" w:cs="Times New Roman" w:eastAsia="Times New Roman" w:hAnsi="Times New Roman"/>
                <w:sz w:val="20"/>
                <w:szCs w:val="20"/>
                <w:color w:val="231F20"/>
              </w:rPr>
              <w:t>Reclassification of cumulative translation adjustments associated</w:t>
            </w:r>
          </w:p>
        </w:tc>
        <w:tc>
          <w:tcPr>
            <w:tcW w:w="320" w:type="dxa"/>
            <w:vAlign w:val="bottom"/>
            <w:shd w:val="clear" w:color="auto" w:fill="E3E4E5"/>
          </w:tcPr>
          <w:p>
            <w:pPr>
              <w:spacing w:after="0"/>
              <w:rPr>
                <w:sz w:val="18"/>
                <w:szCs w:val="18"/>
                <w:color w:val="auto"/>
              </w:rPr>
            </w:pPr>
          </w:p>
        </w:tc>
        <w:tc>
          <w:tcPr>
            <w:tcW w:w="98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320" w:type="dxa"/>
            <w:vAlign w:val="bottom"/>
            <w:shd w:val="clear" w:color="auto" w:fill="E3E4E5"/>
          </w:tcPr>
          <w:p>
            <w:pPr>
              <w:spacing w:after="0"/>
              <w:rPr>
                <w:sz w:val="18"/>
                <w:szCs w:val="18"/>
                <w:color w:val="auto"/>
              </w:rPr>
            </w:pPr>
          </w:p>
        </w:tc>
        <w:tc>
          <w:tcPr>
            <w:tcW w:w="98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340" w:type="dxa"/>
            <w:vAlign w:val="bottom"/>
            <w:shd w:val="clear" w:color="auto" w:fill="E3E4E5"/>
          </w:tcPr>
          <w:p>
            <w:pPr>
              <w:spacing w:after="0"/>
              <w:rPr>
                <w:sz w:val="18"/>
                <w:szCs w:val="18"/>
                <w:color w:val="auto"/>
              </w:rPr>
            </w:pPr>
          </w:p>
        </w:tc>
        <w:tc>
          <w:tcPr>
            <w:tcW w:w="980" w:type="dxa"/>
            <w:vAlign w:val="bottom"/>
            <w:shd w:val="clear" w:color="auto" w:fill="E3E4E5"/>
          </w:tcPr>
          <w:p>
            <w:pPr>
              <w:spacing w:after="0"/>
              <w:rPr>
                <w:sz w:val="18"/>
                <w:szCs w:val="18"/>
                <w:color w:val="auto"/>
              </w:rPr>
            </w:pPr>
          </w:p>
        </w:tc>
      </w:tr>
      <w:tr>
        <w:trPr>
          <w:trHeight w:val="281"/>
        </w:trPr>
        <w:tc>
          <w:tcPr>
            <w:tcW w:w="62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with the sale of ATC TIPL </w:t>
            </w:r>
            <w:r>
              <w:rPr>
                <w:rFonts w:ascii="Times New Roman" w:cs="Times New Roman" w:eastAsia="Times New Roman" w:hAnsi="Times New Roman"/>
                <w:sz w:val="20"/>
                <w:szCs w:val="20"/>
                <w:color w:val="BABCBE"/>
              </w:rPr>
              <w:t>...............................................................</w:t>
            </w: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1,072.3</w:t>
            </w:r>
          </w:p>
        </w:tc>
        <w:tc>
          <w:tcPr>
            <w:tcW w:w="6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r>
      <w:tr>
        <w:trPr>
          <w:trHeight w:val="214"/>
        </w:trPr>
        <w:tc>
          <w:tcPr>
            <w:tcW w:w="6220" w:type="dxa"/>
            <w:vAlign w:val="bottom"/>
          </w:tcPr>
          <w:p>
            <w:pPr>
              <w:ind w:left="760"/>
              <w:spacing w:after="0" w:line="213" w:lineRule="exact"/>
              <w:rPr>
                <w:sz w:val="20"/>
                <w:szCs w:val="20"/>
                <w:color w:val="auto"/>
              </w:rPr>
            </w:pPr>
            <w:r>
              <w:rPr>
                <w:rFonts w:ascii="Times New Roman" w:cs="Times New Roman" w:eastAsia="Times New Roman" w:hAnsi="Times New Roman"/>
                <w:sz w:val="20"/>
                <w:szCs w:val="20"/>
                <w:color w:val="231F20"/>
              </w:rPr>
              <w:t>Foreign currency translation adjustments, net of tax (benefit)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1"/>
        </w:trPr>
        <w:tc>
          <w:tcPr>
            <w:tcW w:w="6220" w:type="dxa"/>
            <w:vAlign w:val="bottom"/>
            <w:tcBorders>
              <w:bottom w:val="single" w:sz="8" w:color="E3E4E5"/>
            </w:tcBorders>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expense of $0.5, $(0.8), and $0.3, respectively. </w:t>
            </w:r>
            <w:r>
              <w:rPr>
                <w:rFonts w:ascii="Times New Roman" w:cs="Times New Roman" w:eastAsia="Times New Roman" w:hAnsi="Times New Roman"/>
                <w:sz w:val="20"/>
                <w:szCs w:val="20"/>
                <w:color w:val="BABCBE"/>
              </w:rPr>
              <w:t>...............................</w:t>
            </w: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1,598.8</w:t>
            </w:r>
          </w:p>
        </w:tc>
        <w:tc>
          <w:tcPr>
            <w:tcW w:w="6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(1,521.5)</w:t>
            </w:r>
          </w:p>
        </w:tc>
        <w:tc>
          <w:tcPr>
            <w:tcW w:w="6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60.2</w:t>
            </w:r>
          </w:p>
        </w:tc>
      </w:tr>
      <w:tr>
        <w:trPr>
          <w:trHeight w:val="299"/>
        </w:trPr>
        <w:tc>
          <w:tcPr>
            <w:tcW w:w="622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Other comprehensive income (loss)</w:t>
            </w:r>
            <w:r>
              <w:rPr>
                <w:rFonts w:ascii="Times New Roman" w:cs="Times New Roman" w:eastAsia="Times New Roman" w:hAnsi="Times New Roman"/>
                <w:sz w:val="20"/>
                <w:szCs w:val="20"/>
                <w:color w:val="BABCBE"/>
              </w:rPr>
              <w:t>................................................................</w:t>
            </w: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1,598.8</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(449.2)</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60.2</w:t>
            </w:r>
          </w:p>
        </w:tc>
      </w:tr>
      <w:tr>
        <w:trPr>
          <w:trHeight w:val="265"/>
        </w:trPr>
        <w:tc>
          <w:tcPr>
            <w:tcW w:w="6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Comprehensive income</w:t>
            </w:r>
            <w:r>
              <w:rPr>
                <w:rFonts w:ascii="Times New Roman" w:cs="Times New Roman" w:eastAsia="Times New Roman" w:hAnsi="Times New Roman"/>
                <w:sz w:val="20"/>
                <w:szCs w:val="20"/>
                <w:color w:val="BABCBE"/>
              </w:rPr>
              <w: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4,227.3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1,831.0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1,427.3</w:t>
            </w:r>
          </w:p>
        </w:tc>
      </w:tr>
      <w:tr>
        <w:trPr>
          <w:trHeight w:val="315"/>
        </w:trPr>
        <w:tc>
          <w:tcPr>
            <w:tcW w:w="622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Comprehensive (income) loss attributable to noncontrolling interests</w:t>
            </w:r>
            <w:r>
              <w:rPr>
                <w:rFonts w:ascii="Times New Roman" w:cs="Times New Roman" w:eastAsia="Times New Roman" w:hAnsi="Times New Roman"/>
                <w:sz w:val="20"/>
                <w:szCs w:val="20"/>
                <w:color w:val="BABCBE"/>
              </w:rPr>
              <w:t>...........</w:t>
            </w: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(559.0)</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208.9</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ind w:right="3"/>
              <w:spacing w:after="0"/>
              <w:rPr>
                <w:sz w:val="20"/>
                <w:szCs w:val="20"/>
                <w:color w:val="auto"/>
              </w:rPr>
            </w:pPr>
            <w:r>
              <w:rPr>
                <w:rFonts w:ascii="Times New Roman" w:cs="Times New Roman" w:eastAsia="Times New Roman" w:hAnsi="Times New Roman"/>
                <w:sz w:val="20"/>
                <w:szCs w:val="20"/>
                <w:color w:val="231F20"/>
              </w:rPr>
              <w:t>34.8</w:t>
            </w:r>
          </w:p>
        </w:tc>
      </w:tr>
      <w:tr>
        <w:trPr>
          <w:trHeight w:val="185"/>
        </w:trPr>
        <w:tc>
          <w:tcPr>
            <w:tcW w:w="6220" w:type="dxa"/>
            <w:vAlign w:val="bottom"/>
          </w:tcPr>
          <w:p>
            <w:pPr>
              <w:jc w:val="right"/>
              <w:ind w:right="600"/>
              <w:spacing w:after="0" w:line="185" w:lineRule="exact"/>
              <w:rPr>
                <w:sz w:val="20"/>
                <w:szCs w:val="20"/>
                <w:color w:val="auto"/>
              </w:rPr>
            </w:pPr>
            <w:r>
              <w:rPr>
                <w:rFonts w:ascii="Times New Roman" w:cs="Times New Roman" w:eastAsia="Times New Roman" w:hAnsi="Times New Roman"/>
                <w:sz w:val="20"/>
                <w:szCs w:val="20"/>
                <w:color w:val="231F20"/>
              </w:rPr>
              <w:t>Comprehensive income attributable to American Tower Corporation</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1"/>
        </w:trPr>
        <w:tc>
          <w:tcPr>
            <w:tcW w:w="6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stockholders </w:t>
            </w:r>
            <w:r>
              <w:rPr>
                <w:rFonts w:ascii="Times New Roman" w:cs="Times New Roman" w:eastAsia="Times New Roman" w:hAnsi="Times New Roman"/>
                <w:sz w:val="20"/>
                <w:szCs w:val="20"/>
                <w:color w:val="BABCBE"/>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2,039.9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1,462.1</w:t>
            </w:r>
          </w:p>
        </w:tc>
      </w:tr>
      <w:tr>
        <w:trPr>
          <w:trHeight w:val="20"/>
        </w:trPr>
        <w:tc>
          <w:tcPr>
            <w:tcW w:w="622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-1926590</wp:posOffset>
            </wp:positionV>
            <wp:extent cx="258762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2">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-916940</wp:posOffset>
            </wp:positionV>
            <wp:extent cx="258762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3">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-726440</wp:posOffset>
            </wp:positionV>
            <wp:extent cx="258762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4">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-345440</wp:posOffset>
            </wp:positionV>
            <wp:extent cx="258762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5">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10260"/>
          </w:cols>
          <w:pgMar w:left="820" w:top="38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F-5</w:t>
      </w:r>
    </w:p>
    <w:p>
      <w:pPr>
        <w:sectPr>
          <w:pgSz w:w="11880" w:h="15480" w:orient="portrait"/>
          <w:cols w:equalWidth="0" w:num="1">
            <w:col w:w="10260"/>
          </w:cols>
          <w:pgMar w:left="820" w:top="386" w:right="800" w:bottom="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231F20"/>
        </w:rPr>
        <w:t>AMERICAN TOWER CORPORATION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EQUITY</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millions, share counts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231F20"/>
                <w:w w:val="99"/>
              </w:rPr>
              <w:t>Common Stock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231F20"/>
              </w:rPr>
              <w:t>Treasury Stock</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231F20"/>
                <w:w w:val="98"/>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260" w:type="dxa"/>
            <w:vAlign w:val="bottom"/>
          </w:tcPr>
          <w:p>
            <w:pPr>
              <w:spacing w:after="0"/>
              <w:rPr>
                <w:sz w:val="4"/>
                <w:szCs w:val="4"/>
                <w:color w:val="auto"/>
              </w:rPr>
            </w:pPr>
          </w:p>
        </w:tc>
        <w:tc>
          <w:tcPr>
            <w:tcW w:w="840" w:type="dxa"/>
            <w:vAlign w:val="bottom"/>
            <w:tcBorders>
              <w:bottom w:val="single" w:sz="8" w:color="231F20"/>
            </w:tcBorders>
          </w:tcPr>
          <w:p>
            <w:pPr>
              <w:spacing w:after="0"/>
              <w:rPr>
                <w:sz w:val="4"/>
                <w:szCs w:val="4"/>
                <w:color w:val="auto"/>
              </w:rPr>
            </w:pPr>
          </w:p>
        </w:tc>
        <w:tc>
          <w:tcPr>
            <w:tcW w:w="380" w:type="dxa"/>
            <w:vAlign w:val="bottom"/>
            <w:tcBorders>
              <w:bottom w:val="single" w:sz="8" w:color="231F20"/>
            </w:tcBorders>
          </w:tcPr>
          <w:p>
            <w:pPr>
              <w:spacing w:after="0"/>
              <w:rPr>
                <w:sz w:val="4"/>
                <w:szCs w:val="4"/>
                <w:color w:val="auto"/>
              </w:rPr>
            </w:pPr>
          </w:p>
        </w:tc>
        <w:tc>
          <w:tcPr>
            <w:tcW w:w="26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231F20"/>
            </w:tcBorders>
          </w:tcPr>
          <w:p>
            <w:pPr>
              <w:spacing w:after="0"/>
              <w:rPr>
                <w:sz w:val="4"/>
                <w:szCs w:val="4"/>
                <w:color w:val="auto"/>
              </w:rPr>
            </w:pPr>
          </w:p>
        </w:tc>
        <w:tc>
          <w:tcPr>
            <w:tcW w:w="760" w:type="dxa"/>
            <w:vAlign w:val="bottom"/>
            <w:tcBorders>
              <w:bottom w:val="single" w:sz="8" w:color="231F20"/>
            </w:tcBorders>
          </w:tcPr>
          <w:p>
            <w:pPr>
              <w:spacing w:after="0"/>
              <w:rPr>
                <w:sz w:val="4"/>
                <w:szCs w:val="4"/>
                <w:color w:val="auto"/>
              </w:rPr>
            </w:pPr>
          </w:p>
        </w:tc>
        <w:tc>
          <w:tcPr>
            <w:tcW w:w="900" w:type="dxa"/>
            <w:vAlign w:val="bottom"/>
            <w:vMerge w:val="restart"/>
          </w:tcPr>
          <w:p>
            <w:pPr>
              <w:jc w:val="right"/>
              <w:ind w:right="42"/>
              <w:spacing w:after="0" w:line="95" w:lineRule="exact"/>
              <w:rPr>
                <w:sz w:val="20"/>
                <w:szCs w:val="20"/>
                <w:color w:val="auto"/>
              </w:rPr>
            </w:pPr>
            <w:r>
              <w:rPr>
                <w:rFonts w:ascii="Times New Roman" w:cs="Times New Roman" w:eastAsia="Times New Roman" w:hAnsi="Times New Roman"/>
                <w:sz w:val="11"/>
                <w:szCs w:val="11"/>
                <w:b w:val="1"/>
                <w:bCs w:val="1"/>
                <w:color w:val="231F20"/>
              </w:rPr>
              <w:t>Additional</w:t>
            </w:r>
          </w:p>
        </w:tc>
        <w:tc>
          <w:tcPr>
            <w:tcW w:w="180" w:type="dxa"/>
            <w:vAlign w:val="bottom"/>
          </w:tcPr>
          <w:p>
            <w:pPr>
              <w:spacing w:after="0"/>
              <w:rPr>
                <w:sz w:val="4"/>
                <w:szCs w:val="4"/>
                <w:color w:val="auto"/>
              </w:rPr>
            </w:pPr>
          </w:p>
        </w:tc>
        <w:tc>
          <w:tcPr>
            <w:tcW w:w="980" w:type="dxa"/>
            <w:vAlign w:val="bottom"/>
            <w:vMerge w:val="restart"/>
          </w:tcPr>
          <w:p>
            <w:pPr>
              <w:jc w:val="center"/>
              <w:ind w:right="102"/>
              <w:spacing w:after="0" w:line="95" w:lineRule="exact"/>
              <w:rPr>
                <w:sz w:val="20"/>
                <w:szCs w:val="20"/>
                <w:color w:val="auto"/>
              </w:rPr>
            </w:pPr>
            <w:r>
              <w:rPr>
                <w:rFonts w:ascii="Times New Roman" w:cs="Times New Roman" w:eastAsia="Times New Roman" w:hAnsi="Times New Roman"/>
                <w:sz w:val="11"/>
                <w:szCs w:val="11"/>
                <w:b w:val="1"/>
                <w:bCs w:val="1"/>
                <w:color w:val="231F20"/>
              </w:rPr>
              <w:t>Other</w:t>
            </w:r>
          </w:p>
        </w:tc>
        <w:tc>
          <w:tcPr>
            <w:tcW w:w="1000" w:type="dxa"/>
            <w:vAlign w:val="bottom"/>
            <w:gridSpan w:val="2"/>
            <w:vMerge w:val="restart"/>
          </w:tcPr>
          <w:p>
            <w:pPr>
              <w:ind w:left="80"/>
              <w:spacing w:after="0" w:line="95" w:lineRule="exact"/>
              <w:rPr>
                <w:sz w:val="20"/>
                <w:szCs w:val="20"/>
                <w:color w:val="auto"/>
              </w:rPr>
            </w:pPr>
            <w:r>
              <w:rPr>
                <w:rFonts w:ascii="Times New Roman" w:cs="Times New Roman" w:eastAsia="Times New Roman" w:hAnsi="Times New Roman"/>
                <w:sz w:val="11"/>
                <w:szCs w:val="11"/>
                <w:b w:val="1"/>
                <w:bCs w:val="1"/>
                <w:color w:val="231F20"/>
              </w:rPr>
              <w:t>Distributions</w:t>
            </w: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6260" w:type="dxa"/>
            <w:vAlign w:val="bottom"/>
          </w:tcPr>
          <w:p>
            <w:pPr>
              <w:spacing w:after="0"/>
              <w:rPr>
                <w:sz w:val="2"/>
                <w:szCs w:val="2"/>
                <w:color w:val="auto"/>
              </w:rPr>
            </w:pP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231F20"/>
              </w:rPr>
              <w:t>Issued</w:t>
            </w: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Noncontrolling</w:t>
            </w:r>
          </w:p>
        </w:tc>
        <w:tc>
          <w:tcPr>
            <w:tcW w:w="160" w:type="dxa"/>
            <w:vAlign w:val="bottom"/>
          </w:tcPr>
          <w:p>
            <w:pPr>
              <w:spacing w:after="0"/>
              <w:rPr>
                <w:sz w:val="2"/>
                <w:szCs w:val="2"/>
                <w:color w:val="auto"/>
              </w:rPr>
            </w:pPr>
          </w:p>
        </w:tc>
        <w:tc>
          <w:tcPr>
            <w:tcW w:w="64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line="20" w:lineRule="exact"/>
              <w:rPr>
                <w:sz w:val="1"/>
                <w:szCs w:val="1"/>
                <w:color w:val="auto"/>
              </w:rPr>
            </w:pPr>
          </w:p>
        </w:tc>
      </w:tr>
      <w:tr>
        <w:trPr>
          <w:trHeight w:val="140"/>
        </w:trPr>
        <w:tc>
          <w:tcPr>
            <w:tcW w:w="6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80" w:type="dxa"/>
            <w:vAlign w:val="bottom"/>
          </w:tcPr>
          <w:p>
            <w:pPr>
              <w:spacing w:after="0"/>
              <w:rPr>
                <w:sz w:val="12"/>
                <w:szCs w:val="12"/>
                <w:color w:val="auto"/>
              </w:rPr>
            </w:pPr>
          </w:p>
        </w:tc>
        <w:tc>
          <w:tcPr>
            <w:tcW w:w="84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900" w:type="dxa"/>
            <w:vAlign w:val="bottom"/>
          </w:tcPr>
          <w:p>
            <w:pPr>
              <w:jc w:val="right"/>
              <w:ind w:right="142"/>
              <w:spacing w:after="0" w:line="140" w:lineRule="exact"/>
              <w:rPr>
                <w:sz w:val="20"/>
                <w:szCs w:val="20"/>
                <w:color w:val="auto"/>
              </w:rPr>
            </w:pPr>
            <w:r>
              <w:rPr>
                <w:rFonts w:ascii="Times New Roman" w:cs="Times New Roman" w:eastAsia="Times New Roman" w:hAnsi="Times New Roman"/>
                <w:sz w:val="14"/>
                <w:szCs w:val="14"/>
                <w:b w:val="1"/>
                <w:bCs w:val="1"/>
                <w:color w:val="231F20"/>
              </w:rPr>
              <w:t>Paid-in</w:t>
            </w:r>
          </w:p>
        </w:tc>
        <w:tc>
          <w:tcPr>
            <w:tcW w:w="1160" w:type="dxa"/>
            <w:vAlign w:val="bottom"/>
            <w:gridSpan w:val="2"/>
          </w:tcPr>
          <w:p>
            <w:pPr>
              <w:ind w:left="100"/>
              <w:spacing w:after="0" w:line="140" w:lineRule="exact"/>
              <w:rPr>
                <w:sz w:val="20"/>
                <w:szCs w:val="20"/>
                <w:color w:val="auto"/>
              </w:rPr>
            </w:pPr>
            <w:r>
              <w:rPr>
                <w:rFonts w:ascii="Times New Roman" w:cs="Times New Roman" w:eastAsia="Times New Roman" w:hAnsi="Times New Roman"/>
                <w:sz w:val="14"/>
                <w:szCs w:val="14"/>
                <w:b w:val="1"/>
                <w:bCs w:val="1"/>
                <w:color w:val="231F20"/>
              </w:rPr>
              <w:t>Comprehensive</w:t>
            </w:r>
          </w:p>
        </w:tc>
        <w:tc>
          <w:tcPr>
            <w:tcW w:w="100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4"/>
                <w:szCs w:val="14"/>
                <w:b w:val="1"/>
                <w:bCs w:val="1"/>
                <w:color w:val="231F20"/>
              </w:rPr>
              <w:t>in Excess of</w:t>
            </w: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E3E4E5"/>
            </w:tcBorders>
          </w:tcPr>
          <w:p>
            <w:pPr>
              <w:spacing w:after="0"/>
              <w:rPr>
                <w:sz w:val="16"/>
                <w:szCs w:val="16"/>
                <w:color w:val="auto"/>
              </w:rPr>
            </w:pPr>
          </w:p>
        </w:tc>
        <w:tc>
          <w:tcPr>
            <w:tcW w:w="84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640" w:type="dxa"/>
            <w:vAlign w:val="bottom"/>
            <w:tcBorders>
              <w:bottom w:val="single" w:sz="8" w:color="231F20"/>
            </w:tcBorders>
            <w:gridSpan w:val="2"/>
            <w:vMerge w:val="continue"/>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vMerge w:val="continue"/>
          </w:tcPr>
          <w:p>
            <w:pPr>
              <w:spacing w:after="0"/>
              <w:rPr>
                <w:sz w:val="16"/>
                <w:szCs w:val="16"/>
                <w:color w:val="auto"/>
              </w:rPr>
            </w:pPr>
          </w:p>
        </w:tc>
        <w:tc>
          <w:tcPr>
            <w:tcW w:w="760" w:type="dxa"/>
            <w:vAlign w:val="bottom"/>
            <w:tcBorders>
              <w:bottom w:val="single" w:sz="8" w:color="231F20"/>
            </w:tcBorders>
            <w:vMerge w:val="continue"/>
          </w:tcPr>
          <w:p>
            <w:pPr>
              <w:spacing w:after="0"/>
              <w:rPr>
                <w:sz w:val="16"/>
                <w:szCs w:val="16"/>
                <w:color w:val="auto"/>
              </w:rPr>
            </w:pPr>
          </w:p>
        </w:tc>
        <w:tc>
          <w:tcPr>
            <w:tcW w:w="900" w:type="dxa"/>
            <w:vAlign w:val="bottom"/>
            <w:tcBorders>
              <w:bottom w:val="single" w:sz="8" w:color="231F20"/>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231F20"/>
              </w:rPr>
              <w:t>Capital</w:t>
            </w:r>
          </w:p>
        </w:tc>
        <w:tc>
          <w:tcPr>
            <w:tcW w:w="18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231F20"/>
                <w:w w:val="95"/>
              </w:rPr>
              <w:t>Loss</w:t>
            </w:r>
          </w:p>
        </w:tc>
        <w:tc>
          <w:tcPr>
            <w:tcW w:w="18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231F20"/>
                <w:w w:val="99"/>
              </w:rPr>
              <w:t>Earnings</w:t>
            </w:r>
          </w:p>
        </w:tc>
        <w:tc>
          <w:tcPr>
            <w:tcW w:w="20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Interests</w:t>
            </w:r>
          </w:p>
        </w:tc>
        <w:tc>
          <w:tcPr>
            <w:tcW w:w="16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231F20"/>
              </w:rPr>
              <w:t>Equity</w:t>
            </w:r>
          </w:p>
        </w:tc>
        <w:tc>
          <w:tcPr>
            <w:tcW w:w="0" w:type="dxa"/>
            <w:vAlign w:val="bottom"/>
          </w:tcPr>
          <w:p>
            <w:pPr>
              <w:spacing w:after="0"/>
              <w:rPr>
                <w:sz w:val="1"/>
                <w:szCs w:val="1"/>
                <w:color w:val="auto"/>
              </w:rPr>
            </w:pPr>
          </w:p>
        </w:tc>
      </w:tr>
      <w:tr>
        <w:trPr>
          <w:trHeight w:val="260"/>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BALANCE, JANUARY 1, 2023</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476,623</w:t>
            </w:r>
          </w:p>
        </w:tc>
        <w:tc>
          <w:tcPr>
            <w:tcW w:w="380" w:type="dxa"/>
            <w:vAlign w:val="bottom"/>
            <w:tcBorders>
              <w:bottom w:val="single" w:sz="8" w:color="E3E4E5"/>
            </w:tcBorders>
            <w:shd w:val="clear" w:color="auto" w:fill="E3E4E5"/>
          </w:tcPr>
          <w:p>
            <w:pPr>
              <w:ind w:left="80"/>
              <w:spacing w:after="0"/>
              <w:rPr>
                <w:sz w:val="20"/>
                <w:szCs w:val="20"/>
                <w:color w:val="auto"/>
              </w:rPr>
            </w:pPr>
            <w:r>
              <w:rPr>
                <w:rFonts w:ascii="Times New Roman" w:cs="Times New Roman" w:eastAsia="Times New Roman" w:hAnsi="Times New Roman"/>
                <w:sz w:val="16"/>
                <w:szCs w:val="16"/>
                <w:color w:val="231F20"/>
              </w:rPr>
              <w:t>$</w:t>
            </w: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89"/>
              </w:rPr>
              <w:t>4.8</w:t>
            </w:r>
          </w:p>
        </w:tc>
        <w:tc>
          <w:tcPr>
            <w:tcW w:w="92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(11,004)</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$(1,301.2)</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$ 14,689.0</w:t>
            </w:r>
          </w:p>
        </w:tc>
        <w:tc>
          <w:tcPr>
            <w:tcW w:w="180" w:type="dxa"/>
            <w:vAlign w:val="bottom"/>
            <w:tcBorders>
              <w:bottom w:val="single" w:sz="8" w:color="E3E4E5"/>
            </w:tcBorders>
            <w:shd w:val="clear" w:color="auto" w:fill="E3E4E5"/>
          </w:tcPr>
          <w:p>
            <w:pPr>
              <w:ind w:left="100"/>
              <w:spacing w:after="0"/>
              <w:rPr>
                <w:sz w:val="20"/>
                <w:szCs w:val="20"/>
                <w:color w:val="auto"/>
              </w:rPr>
            </w:pPr>
            <w:r>
              <w:rPr>
                <w:rFonts w:ascii="Times New Roman" w:cs="Times New Roman" w:eastAsia="Times New Roman" w:hAnsi="Times New Roman"/>
                <w:sz w:val="16"/>
                <w:szCs w:val="16"/>
                <w:color w:val="231F20"/>
                <w:w w:val="74"/>
              </w:rPr>
              <w:t>$</w:t>
            </w: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(5,718.3)</w:t>
            </w:r>
          </w:p>
        </w:tc>
        <w:tc>
          <w:tcPr>
            <w:tcW w:w="180" w:type="dxa"/>
            <w:vAlign w:val="bottom"/>
            <w:tcBorders>
              <w:bottom w:val="single" w:sz="8" w:color="E3E4E5"/>
            </w:tcBorders>
            <w:shd w:val="clear" w:color="auto" w:fill="E3E4E5"/>
          </w:tcPr>
          <w:p>
            <w:pPr>
              <w:ind w:left="80"/>
              <w:spacing w:after="0"/>
              <w:rPr>
                <w:sz w:val="20"/>
                <w:szCs w:val="20"/>
                <w:color w:val="auto"/>
              </w:rPr>
            </w:pPr>
            <w:r>
              <w:rPr>
                <w:rFonts w:ascii="Times New Roman" w:cs="Times New Roman" w:eastAsia="Times New Roman" w:hAnsi="Times New Roman"/>
                <w:sz w:val="16"/>
                <w:szCs w:val="16"/>
                <w:color w:val="231F20"/>
                <w:w w:val="99"/>
              </w:rPr>
              <w:t>$</w:t>
            </w:r>
          </w:p>
        </w:tc>
        <w:tc>
          <w:tcPr>
            <w:tcW w:w="8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(2,101.9)</w:t>
            </w:r>
          </w:p>
        </w:tc>
        <w:tc>
          <w:tcPr>
            <w:tcW w:w="20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16"/>
                <w:szCs w:val="16"/>
                <w:color w:val="231F20"/>
              </w:rPr>
              <w:t>$</w:t>
            </w: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6,836.1</w:t>
            </w:r>
          </w:p>
        </w:tc>
        <w:tc>
          <w:tcPr>
            <w:tcW w:w="1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99"/>
              </w:rPr>
              <w:t>12,408.5</w:t>
            </w:r>
          </w:p>
        </w:tc>
        <w:tc>
          <w:tcPr>
            <w:tcW w:w="0" w:type="dxa"/>
            <w:vAlign w:val="bottom"/>
          </w:tcPr>
          <w:p>
            <w:pPr>
              <w:spacing w:after="0"/>
              <w:rPr>
                <w:sz w:val="1"/>
                <w:szCs w:val="1"/>
                <w:color w:val="auto"/>
              </w:rPr>
            </w:pPr>
          </w:p>
        </w:tc>
      </w:tr>
      <w:tr>
        <w:trPr>
          <w:trHeight w:val="189"/>
        </w:trPr>
        <w:tc>
          <w:tcPr>
            <w:tcW w:w="6260" w:type="dxa"/>
            <w:vAlign w:val="bottom"/>
            <w:tcBorders>
              <w:top w:val="single" w:sz="8" w:color="E3E4E5"/>
            </w:tcBorders>
          </w:tcPr>
          <w:p>
            <w:pPr>
              <w:ind w:left="40"/>
              <w:spacing w:after="0"/>
              <w:rPr>
                <w:sz w:val="20"/>
                <w:szCs w:val="20"/>
                <w:color w:val="auto"/>
              </w:rPr>
            </w:pPr>
            <w:r>
              <w:rPr>
                <w:rFonts w:ascii="Times New Roman" w:cs="Times New Roman" w:eastAsia="Times New Roman" w:hAnsi="Times New Roman"/>
                <w:sz w:val="16"/>
                <w:szCs w:val="16"/>
                <w:color w:val="231F20"/>
              </w:rPr>
              <w:t>Stock-based compensation related activity</w:t>
            </w:r>
          </w:p>
        </w:tc>
        <w:tc>
          <w:tcPr>
            <w:tcW w:w="840" w:type="dxa"/>
            <w:vAlign w:val="bottom"/>
            <w:tcBorders>
              <w:top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color w:val="231F20"/>
              </w:rPr>
              <w:t>586</w:t>
            </w:r>
          </w:p>
        </w:tc>
        <w:tc>
          <w:tcPr>
            <w:tcW w:w="380" w:type="dxa"/>
            <w:vAlign w:val="bottom"/>
            <w:tcBorders>
              <w:top w:val="single" w:sz="8" w:color="231F20"/>
            </w:tcBorders>
          </w:tcPr>
          <w:p>
            <w:pPr>
              <w:spacing w:after="0"/>
              <w:rPr>
                <w:sz w:val="16"/>
                <w:szCs w:val="16"/>
                <w:color w:val="auto"/>
              </w:rPr>
            </w:pPr>
          </w:p>
        </w:tc>
        <w:tc>
          <w:tcPr>
            <w:tcW w:w="2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89"/>
              </w:rPr>
              <w:t>0.0</w:t>
            </w:r>
          </w:p>
        </w:tc>
        <w:tc>
          <w:tcPr>
            <w:tcW w:w="8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top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color w:val="231F20"/>
              </w:rPr>
              <w:t>169.6</w:t>
            </w:r>
          </w:p>
        </w:tc>
        <w:tc>
          <w:tcPr>
            <w:tcW w:w="18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top w:val="single" w:sz="8" w:color="231F20"/>
            </w:tcBorders>
          </w:tcPr>
          <w:p>
            <w:pPr>
              <w:spacing w:after="0"/>
              <w:rPr>
                <w:sz w:val="16"/>
                <w:szCs w:val="16"/>
                <w:color w:val="auto"/>
              </w:rPr>
            </w:pPr>
          </w:p>
        </w:tc>
        <w:tc>
          <w:tcPr>
            <w:tcW w:w="880" w:type="dxa"/>
            <w:vAlign w:val="bottom"/>
            <w:tcBorders>
              <w:top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top w:val="single" w:sz="8" w:color="231F20"/>
            </w:tcBorders>
          </w:tcPr>
          <w:p>
            <w:pPr>
              <w:spacing w:after="0"/>
              <w:rPr>
                <w:sz w:val="16"/>
                <w:szCs w:val="16"/>
                <w:color w:val="auto"/>
              </w:rPr>
            </w:pPr>
          </w:p>
        </w:tc>
        <w:tc>
          <w:tcPr>
            <w:tcW w:w="6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169.6</w:t>
            </w: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Issuance of common stock—stock purchase plan</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91</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89"/>
              </w:rPr>
              <w:t>0.0</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14.3</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14.3</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Foreign currency translation adjustment, net of tax</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(21.2)</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81.4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60.2</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Contributions from noncontrolling interest holders</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12.7</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12.7</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(146.8)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(146.8)</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Common stock distributions declared</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(3,020.2)</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(3,020.2)</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income (loss)</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1,483.3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(116.2)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1,367.1</w:t>
            </w:r>
          </w:p>
        </w:tc>
        <w:tc>
          <w:tcPr>
            <w:tcW w:w="0" w:type="dxa"/>
            <w:vAlign w:val="bottom"/>
          </w:tcPr>
          <w:p>
            <w:pPr>
              <w:spacing w:after="0"/>
              <w:rPr>
                <w:sz w:val="1"/>
                <w:szCs w:val="1"/>
                <w:color w:val="auto"/>
              </w:rPr>
            </w:pPr>
          </w:p>
        </w:tc>
      </w:tr>
      <w:tr>
        <w:trPr>
          <w:trHeight w:val="36"/>
        </w:trPr>
        <w:tc>
          <w:tcPr>
            <w:tcW w:w="6260" w:type="dxa"/>
            <w:vAlign w:val="bottom"/>
            <w:tcBorders>
              <w:bottom w:val="single" w:sz="8" w:color="E3E4E5"/>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BALANCE, DECEMBER 31, 2023</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477,300</w:t>
            </w:r>
          </w:p>
        </w:tc>
        <w:tc>
          <w:tcPr>
            <w:tcW w:w="380" w:type="dxa"/>
            <w:vAlign w:val="bottom"/>
            <w:tcBorders>
              <w:bottom w:val="single" w:sz="8" w:color="E3E4E5"/>
            </w:tcBorders>
            <w:shd w:val="clear" w:color="auto" w:fill="E3E4E5"/>
          </w:tcPr>
          <w:p>
            <w:pPr>
              <w:ind w:left="80"/>
              <w:spacing w:after="0"/>
              <w:rPr>
                <w:sz w:val="20"/>
                <w:szCs w:val="20"/>
                <w:color w:val="auto"/>
              </w:rPr>
            </w:pPr>
            <w:r>
              <w:rPr>
                <w:rFonts w:ascii="Times New Roman" w:cs="Times New Roman" w:eastAsia="Times New Roman" w:hAnsi="Times New Roman"/>
                <w:sz w:val="16"/>
                <w:szCs w:val="16"/>
                <w:color w:val="231F20"/>
              </w:rPr>
              <w:t>$</w:t>
            </w: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89"/>
              </w:rPr>
              <w:t>4.8</w:t>
            </w:r>
          </w:p>
        </w:tc>
        <w:tc>
          <w:tcPr>
            <w:tcW w:w="92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(11,004)</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$(1,301.2)</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$ 14,872.9</w:t>
            </w:r>
          </w:p>
        </w:tc>
        <w:tc>
          <w:tcPr>
            <w:tcW w:w="180" w:type="dxa"/>
            <w:vAlign w:val="bottom"/>
            <w:tcBorders>
              <w:bottom w:val="single" w:sz="8" w:color="E3E4E5"/>
            </w:tcBorders>
            <w:shd w:val="clear" w:color="auto" w:fill="E3E4E5"/>
          </w:tcPr>
          <w:p>
            <w:pPr>
              <w:ind w:left="100"/>
              <w:spacing w:after="0"/>
              <w:rPr>
                <w:sz w:val="20"/>
                <w:szCs w:val="20"/>
                <w:color w:val="auto"/>
              </w:rPr>
            </w:pPr>
            <w:r>
              <w:rPr>
                <w:rFonts w:ascii="Times New Roman" w:cs="Times New Roman" w:eastAsia="Times New Roman" w:hAnsi="Times New Roman"/>
                <w:sz w:val="16"/>
                <w:szCs w:val="16"/>
                <w:color w:val="231F20"/>
                <w:w w:val="74"/>
              </w:rPr>
              <w:t>$</w:t>
            </w: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(5,739.5)</w:t>
            </w:r>
          </w:p>
        </w:tc>
        <w:tc>
          <w:tcPr>
            <w:tcW w:w="180" w:type="dxa"/>
            <w:vAlign w:val="bottom"/>
            <w:tcBorders>
              <w:bottom w:val="single" w:sz="8" w:color="E3E4E5"/>
            </w:tcBorders>
            <w:shd w:val="clear" w:color="auto" w:fill="E3E4E5"/>
          </w:tcPr>
          <w:p>
            <w:pPr>
              <w:ind w:left="80"/>
              <w:spacing w:after="0"/>
              <w:rPr>
                <w:sz w:val="20"/>
                <w:szCs w:val="20"/>
                <w:color w:val="auto"/>
              </w:rPr>
            </w:pPr>
            <w:r>
              <w:rPr>
                <w:rFonts w:ascii="Times New Roman" w:cs="Times New Roman" w:eastAsia="Times New Roman" w:hAnsi="Times New Roman"/>
                <w:sz w:val="16"/>
                <w:szCs w:val="16"/>
                <w:color w:val="231F20"/>
                <w:w w:val="99"/>
              </w:rPr>
              <w:t>$</w:t>
            </w:r>
          </w:p>
        </w:tc>
        <w:tc>
          <w:tcPr>
            <w:tcW w:w="8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(3,638.8)</w:t>
            </w:r>
          </w:p>
        </w:tc>
        <w:tc>
          <w:tcPr>
            <w:tcW w:w="20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16"/>
                <w:szCs w:val="16"/>
                <w:color w:val="231F20"/>
              </w:rPr>
              <w:t>$</w:t>
            </w: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6,667.2</w:t>
            </w:r>
          </w:p>
        </w:tc>
        <w:tc>
          <w:tcPr>
            <w:tcW w:w="1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99"/>
              </w:rPr>
              <w:t>10,865.4</w:t>
            </w:r>
          </w:p>
        </w:tc>
        <w:tc>
          <w:tcPr>
            <w:tcW w:w="0" w:type="dxa"/>
            <w:vAlign w:val="bottom"/>
          </w:tcPr>
          <w:p>
            <w:pPr>
              <w:spacing w:after="0"/>
              <w:rPr>
                <w:sz w:val="1"/>
                <w:szCs w:val="1"/>
                <w:color w:val="auto"/>
              </w:rPr>
            </w:pPr>
          </w:p>
        </w:tc>
      </w:tr>
      <w:tr>
        <w:trPr>
          <w:trHeight w:val="189"/>
        </w:trPr>
        <w:tc>
          <w:tcPr>
            <w:tcW w:w="6260" w:type="dxa"/>
            <w:vAlign w:val="bottom"/>
            <w:tcBorders>
              <w:top w:val="single" w:sz="8" w:color="E3E4E5"/>
            </w:tcBorders>
          </w:tcPr>
          <w:p>
            <w:pPr>
              <w:ind w:left="40"/>
              <w:spacing w:after="0"/>
              <w:rPr>
                <w:sz w:val="20"/>
                <w:szCs w:val="20"/>
                <w:color w:val="auto"/>
              </w:rPr>
            </w:pPr>
            <w:r>
              <w:rPr>
                <w:rFonts w:ascii="Times New Roman" w:cs="Times New Roman" w:eastAsia="Times New Roman" w:hAnsi="Times New Roman"/>
                <w:sz w:val="16"/>
                <w:szCs w:val="16"/>
                <w:color w:val="231F20"/>
              </w:rPr>
              <w:t>Stock-based compensation related activity</w:t>
            </w:r>
          </w:p>
        </w:tc>
        <w:tc>
          <w:tcPr>
            <w:tcW w:w="840" w:type="dxa"/>
            <w:vAlign w:val="bottom"/>
            <w:tcBorders>
              <w:top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color w:val="231F20"/>
              </w:rPr>
              <w:t>998</w:t>
            </w:r>
          </w:p>
        </w:tc>
        <w:tc>
          <w:tcPr>
            <w:tcW w:w="380" w:type="dxa"/>
            <w:vAlign w:val="bottom"/>
            <w:tcBorders>
              <w:top w:val="single" w:sz="8" w:color="231F20"/>
            </w:tcBorders>
          </w:tcPr>
          <w:p>
            <w:pPr>
              <w:spacing w:after="0"/>
              <w:rPr>
                <w:sz w:val="16"/>
                <w:szCs w:val="16"/>
                <w:color w:val="auto"/>
              </w:rPr>
            </w:pPr>
          </w:p>
        </w:tc>
        <w:tc>
          <w:tcPr>
            <w:tcW w:w="2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89"/>
              </w:rPr>
              <w:t>0.0</w:t>
            </w:r>
          </w:p>
        </w:tc>
        <w:tc>
          <w:tcPr>
            <w:tcW w:w="8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top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color w:val="231F20"/>
              </w:rPr>
              <w:t>169.3</w:t>
            </w:r>
          </w:p>
        </w:tc>
        <w:tc>
          <w:tcPr>
            <w:tcW w:w="18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top w:val="single" w:sz="8" w:color="231F20"/>
            </w:tcBorders>
          </w:tcPr>
          <w:p>
            <w:pPr>
              <w:spacing w:after="0"/>
              <w:rPr>
                <w:sz w:val="16"/>
                <w:szCs w:val="16"/>
                <w:color w:val="auto"/>
              </w:rPr>
            </w:pPr>
          </w:p>
        </w:tc>
        <w:tc>
          <w:tcPr>
            <w:tcW w:w="880" w:type="dxa"/>
            <w:vAlign w:val="bottom"/>
            <w:tcBorders>
              <w:top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top w:val="single" w:sz="8" w:color="231F20"/>
            </w:tcBorders>
          </w:tcPr>
          <w:p>
            <w:pPr>
              <w:spacing w:after="0"/>
              <w:rPr>
                <w:sz w:val="16"/>
                <w:szCs w:val="16"/>
                <w:color w:val="auto"/>
              </w:rPr>
            </w:pPr>
          </w:p>
        </w:tc>
        <w:tc>
          <w:tcPr>
            <w:tcW w:w="6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169.3</w:t>
            </w: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Issuance of common stock—stock purchase plan</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90</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89"/>
              </w:rPr>
              <w:t>0.0</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15.1</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15.1</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Foreign currency translation adjustment, net of tax</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(1,287.4)</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(234.1)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(1,521.5)</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Reclassification of cumulative translation adjustments associated with sale of ATC TIPL</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1,072.3</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1,072.3</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Contributions from noncontrolling interest holders</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154.6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154.6</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(346.4)</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(346.4)</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Common stock distributions declared</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(3,040.3)</w:t>
            </w:r>
          </w:p>
        </w:tc>
        <w:tc>
          <w:tcPr>
            <w:tcW w:w="20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(3,040.3)</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Net income</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3"/>
                <w:szCs w:val="23"/>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3"/>
                <w:szCs w:val="23"/>
                <w:color w:val="auto"/>
              </w:rPr>
            </w:pPr>
          </w:p>
        </w:tc>
        <w:tc>
          <w:tcPr>
            <w:tcW w:w="840" w:type="dxa"/>
            <w:vAlign w:val="bottom"/>
            <w:tcBorders>
              <w:bottom w:val="single" w:sz="8" w:color="E3E4E5"/>
            </w:tcBorders>
            <w:shd w:val="clear" w:color="auto" w:fill="E3E4E5"/>
          </w:tcPr>
          <w:p>
            <w:pPr>
              <w:jc w:val="right"/>
              <w:ind w:right="4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3"/>
                <w:szCs w:val="23"/>
                <w:color w:val="auto"/>
              </w:rPr>
            </w:pPr>
          </w:p>
        </w:tc>
        <w:tc>
          <w:tcPr>
            <w:tcW w:w="98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3"/>
                <w:szCs w:val="23"/>
                <w:color w:val="auto"/>
              </w:rPr>
            </w:pPr>
          </w:p>
        </w:tc>
        <w:tc>
          <w:tcPr>
            <w:tcW w:w="8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2,255.0</w:t>
            </w:r>
          </w:p>
        </w:tc>
        <w:tc>
          <w:tcPr>
            <w:tcW w:w="200" w:type="dxa"/>
            <w:vAlign w:val="bottom"/>
            <w:tcBorders>
              <w:bottom w:val="single" w:sz="8" w:color="E3E4E5"/>
            </w:tcBorders>
            <w:shd w:val="clear" w:color="auto" w:fill="E3E4E5"/>
          </w:tcPr>
          <w:p>
            <w:pPr>
              <w:spacing w:after="0"/>
              <w:rPr>
                <w:sz w:val="23"/>
                <w:szCs w:val="23"/>
                <w:color w:val="auto"/>
              </w:rPr>
            </w:pP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25.2</w:t>
            </w:r>
          </w:p>
        </w:tc>
        <w:tc>
          <w:tcPr>
            <w:tcW w:w="160" w:type="dxa"/>
            <w:vAlign w:val="bottom"/>
            <w:tcBorders>
              <w:bottom w:val="single" w:sz="8" w:color="E3E4E5"/>
            </w:tcBorders>
            <w:shd w:val="clear" w:color="auto" w:fill="E3E4E5"/>
          </w:tcPr>
          <w:p>
            <w:pPr>
              <w:spacing w:after="0"/>
              <w:rPr>
                <w:sz w:val="23"/>
                <w:szCs w:val="23"/>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2,280.2</w:t>
            </w:r>
          </w:p>
        </w:tc>
        <w:tc>
          <w:tcPr>
            <w:tcW w:w="0" w:type="dxa"/>
            <w:vAlign w:val="bottom"/>
          </w:tcPr>
          <w:p>
            <w:pPr>
              <w:spacing w:after="0"/>
              <w:rPr>
                <w:sz w:val="1"/>
                <w:szCs w:val="1"/>
                <w:color w:val="auto"/>
              </w:rPr>
            </w:pPr>
          </w:p>
        </w:tc>
      </w:tr>
      <w:tr>
        <w:trPr>
          <w:trHeight w:val="189"/>
        </w:trPr>
        <w:tc>
          <w:tcPr>
            <w:tcW w:w="6260" w:type="dxa"/>
            <w:vAlign w:val="bottom"/>
            <w:tcBorders>
              <w:top w:val="single" w:sz="8" w:color="E3E4E5"/>
            </w:tcBorders>
          </w:tcPr>
          <w:p>
            <w:pPr>
              <w:ind w:left="40"/>
              <w:spacing w:after="0"/>
              <w:rPr>
                <w:sz w:val="20"/>
                <w:szCs w:val="20"/>
                <w:color w:val="auto"/>
              </w:rPr>
            </w:pPr>
            <w:r>
              <w:rPr>
                <w:rFonts w:ascii="Times New Roman" w:cs="Times New Roman" w:eastAsia="Times New Roman" w:hAnsi="Times New Roman"/>
                <w:sz w:val="16"/>
                <w:szCs w:val="16"/>
                <w:color w:val="231F20"/>
              </w:rPr>
              <w:t>BALANCE, DECEMBER 31, 2024</w:t>
            </w:r>
          </w:p>
        </w:tc>
        <w:tc>
          <w:tcPr>
            <w:tcW w:w="840" w:type="dxa"/>
            <w:vAlign w:val="bottom"/>
            <w:tcBorders>
              <w:top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color w:val="231F20"/>
              </w:rPr>
              <w:t>478,388</w:t>
            </w:r>
          </w:p>
        </w:tc>
        <w:tc>
          <w:tcPr>
            <w:tcW w:w="380" w:type="dxa"/>
            <w:vAlign w:val="bottom"/>
            <w:tcBorders>
              <w:top w:val="single" w:sz="8" w:color="231F20"/>
            </w:tcBorders>
          </w:tcPr>
          <w:p>
            <w:pPr>
              <w:ind w:left="80"/>
              <w:spacing w:after="0"/>
              <w:rPr>
                <w:sz w:val="20"/>
                <w:szCs w:val="20"/>
                <w:color w:val="auto"/>
              </w:rPr>
            </w:pPr>
            <w:r>
              <w:rPr>
                <w:rFonts w:ascii="Times New Roman" w:cs="Times New Roman" w:eastAsia="Times New Roman" w:hAnsi="Times New Roman"/>
                <w:sz w:val="16"/>
                <w:szCs w:val="16"/>
                <w:color w:val="231F20"/>
              </w:rPr>
              <w:t>$</w:t>
            </w:r>
          </w:p>
        </w:tc>
        <w:tc>
          <w:tcPr>
            <w:tcW w:w="2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w w:val="89"/>
              </w:rPr>
              <w:t>4.8</w:t>
            </w:r>
          </w:p>
        </w:tc>
        <w:tc>
          <w:tcPr>
            <w:tcW w:w="92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color w:val="231F20"/>
              </w:rPr>
              <w:t>(11,004)</w:t>
            </w: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$(1,301.2)</w:t>
            </w:r>
          </w:p>
        </w:tc>
        <w:tc>
          <w:tcPr>
            <w:tcW w:w="900" w:type="dxa"/>
            <w:vAlign w:val="bottom"/>
            <w:tcBorders>
              <w:top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color w:val="231F20"/>
              </w:rPr>
              <w:t>$ 15,057.3</w:t>
            </w:r>
          </w:p>
        </w:tc>
        <w:tc>
          <w:tcPr>
            <w:tcW w:w="180" w:type="dxa"/>
            <w:vAlign w:val="bottom"/>
            <w:tcBorders>
              <w:top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231F20"/>
                <w:w w:val="74"/>
              </w:rPr>
              <w:t>$</w:t>
            </w:r>
          </w:p>
        </w:tc>
        <w:tc>
          <w:tcPr>
            <w:tcW w:w="9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(5,954.6)</w:t>
            </w:r>
          </w:p>
        </w:tc>
        <w:tc>
          <w:tcPr>
            <w:tcW w:w="180" w:type="dxa"/>
            <w:vAlign w:val="bottom"/>
            <w:tcBorders>
              <w:top w:val="single" w:sz="8" w:color="231F20"/>
            </w:tcBorders>
          </w:tcPr>
          <w:p>
            <w:pPr>
              <w:ind w:left="80"/>
              <w:spacing w:after="0"/>
              <w:rPr>
                <w:sz w:val="20"/>
                <w:szCs w:val="20"/>
                <w:color w:val="auto"/>
              </w:rPr>
            </w:pPr>
            <w:r>
              <w:rPr>
                <w:rFonts w:ascii="Times New Roman" w:cs="Times New Roman" w:eastAsia="Times New Roman" w:hAnsi="Times New Roman"/>
                <w:sz w:val="16"/>
                <w:szCs w:val="16"/>
                <w:color w:val="231F20"/>
                <w:w w:val="99"/>
              </w:rPr>
              <w:t>$</w:t>
            </w:r>
          </w:p>
        </w:tc>
        <w:tc>
          <w:tcPr>
            <w:tcW w:w="8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(4,424.1)</w:t>
            </w:r>
          </w:p>
        </w:tc>
        <w:tc>
          <w:tcPr>
            <w:tcW w:w="20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w:t>
            </w:r>
          </w:p>
        </w:tc>
        <w:tc>
          <w:tcPr>
            <w:tcW w:w="880" w:type="dxa"/>
            <w:vAlign w:val="bottom"/>
            <w:tcBorders>
              <w:top w:val="single" w:sz="8" w:color="231F20"/>
            </w:tcBorders>
          </w:tcPr>
          <w:p>
            <w:pPr>
              <w:jc w:val="right"/>
              <w:ind w:right="40"/>
              <w:spacing w:after="0"/>
              <w:rPr>
                <w:sz w:val="20"/>
                <w:szCs w:val="20"/>
                <w:color w:val="auto"/>
              </w:rPr>
            </w:pPr>
            <w:r>
              <w:rPr>
                <w:rFonts w:ascii="Times New Roman" w:cs="Times New Roman" w:eastAsia="Times New Roman" w:hAnsi="Times New Roman"/>
                <w:sz w:val="16"/>
                <w:szCs w:val="16"/>
                <w:color w:val="231F20"/>
              </w:rPr>
              <w:t>6,266.5</w:t>
            </w: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9,648.7</w:t>
            </w:r>
          </w:p>
        </w:tc>
        <w:tc>
          <w:tcPr>
            <w:tcW w:w="0" w:type="dxa"/>
            <w:vAlign w:val="bottom"/>
          </w:tcPr>
          <w:p>
            <w:pPr>
              <w:spacing w:after="0"/>
              <w:rPr>
                <w:sz w:val="1"/>
                <w:szCs w:val="1"/>
                <w:color w:val="auto"/>
              </w:rPr>
            </w:pPr>
          </w:p>
        </w:tc>
      </w:tr>
      <w:tr>
        <w:trPr>
          <w:trHeight w:val="26"/>
        </w:trPr>
        <w:tc>
          <w:tcPr>
            <w:tcW w:w="6260" w:type="dxa"/>
            <w:vAlign w:val="bottom"/>
            <w:tcBorders>
              <w:bottom w:val="single" w:sz="8" w:color="E3E4E5"/>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Stock-based compensation related activity</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880</w:t>
            </w:r>
          </w:p>
        </w:tc>
        <w:tc>
          <w:tcPr>
            <w:tcW w:w="380" w:type="dxa"/>
            <w:vAlign w:val="bottom"/>
            <w:tcBorders>
              <w:bottom w:val="single" w:sz="8" w:color="E3E4E5"/>
            </w:tcBorders>
            <w:shd w:val="clear" w:color="auto" w:fill="E3E4E5"/>
          </w:tcPr>
          <w:p>
            <w:pPr>
              <w:spacing w:after="0"/>
              <w:rPr>
                <w:sz w:val="19"/>
                <w:szCs w:val="19"/>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89"/>
              </w:rPr>
              <w:t>0.0</w:t>
            </w:r>
          </w:p>
        </w:tc>
        <w:tc>
          <w:tcPr>
            <w:tcW w:w="80" w:type="dxa"/>
            <w:vAlign w:val="bottom"/>
            <w:tcBorders>
              <w:bottom w:val="single" w:sz="8" w:color="E3E4E5"/>
            </w:tcBorders>
            <w:shd w:val="clear" w:color="auto" w:fill="E3E4E5"/>
          </w:tcPr>
          <w:p>
            <w:pPr>
              <w:spacing w:after="0"/>
              <w:rPr>
                <w:sz w:val="19"/>
                <w:szCs w:val="19"/>
                <w:color w:val="auto"/>
              </w:rPr>
            </w:pP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
              <w:spacing w:after="0"/>
              <w:rPr>
                <w:sz w:val="20"/>
                <w:szCs w:val="20"/>
                <w:color w:val="auto"/>
              </w:rPr>
            </w:pPr>
            <w:r>
              <w:rPr>
                <w:rFonts w:ascii="Times New Roman" w:cs="Times New Roman" w:eastAsia="Times New Roman" w:hAnsi="Times New Roman"/>
                <w:sz w:val="16"/>
                <w:szCs w:val="16"/>
                <w:color w:val="231F20"/>
              </w:rPr>
              <w:t>143.2</w:t>
            </w:r>
          </w:p>
        </w:tc>
        <w:tc>
          <w:tcPr>
            <w:tcW w:w="180" w:type="dxa"/>
            <w:vAlign w:val="bottom"/>
            <w:tcBorders>
              <w:bottom w:val="single" w:sz="8" w:color="E3E4E5"/>
            </w:tcBorders>
            <w:shd w:val="clear" w:color="auto" w:fill="E3E4E5"/>
          </w:tcPr>
          <w:p>
            <w:pPr>
              <w:spacing w:after="0"/>
              <w:rPr>
                <w:sz w:val="19"/>
                <w:szCs w:val="19"/>
                <w:color w:val="auto"/>
              </w:rPr>
            </w:pPr>
          </w:p>
        </w:tc>
        <w:tc>
          <w:tcPr>
            <w:tcW w:w="98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19"/>
                <w:szCs w:val="19"/>
                <w:color w:val="auto"/>
              </w:rPr>
            </w:pPr>
          </w:p>
        </w:tc>
        <w:tc>
          <w:tcPr>
            <w:tcW w:w="82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19"/>
                <w:szCs w:val="19"/>
                <w:color w:val="auto"/>
              </w:rPr>
            </w:pPr>
          </w:p>
        </w:tc>
        <w:tc>
          <w:tcPr>
            <w:tcW w:w="88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19"/>
                <w:szCs w:val="19"/>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143.2</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Issuance of common stock—stock purchase plan</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90</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w w:val="89"/>
              </w:rPr>
              <w:t>0.0</w:t>
            </w:r>
          </w:p>
        </w:tc>
        <w:tc>
          <w:tcPr>
            <w:tcW w:w="8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14.8</w:t>
            </w:r>
          </w:p>
        </w:tc>
        <w:tc>
          <w:tcPr>
            <w:tcW w:w="18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14.8</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Treasury stock activity</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20" w:type="dxa"/>
            <w:vAlign w:val="bottom"/>
            <w:tcBorders>
              <w:bottom w:val="single" w:sz="8" w:color="E3E4E5"/>
            </w:tcBorders>
            <w:gridSpan w:val="2"/>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(2,036)</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(364.6)</w:t>
            </w:r>
          </w:p>
        </w:tc>
        <w:tc>
          <w:tcPr>
            <w:tcW w:w="900" w:type="dxa"/>
            <w:vAlign w:val="bottom"/>
            <w:tcBorders>
              <w:bottom w:val="single" w:sz="8" w:color="E3E4E5"/>
            </w:tcBorders>
            <w:shd w:val="clear" w:color="auto" w:fill="E3E4E5"/>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(364.6)</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Foreign currency translation adjustment, net of tax</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1,138.8</w:t>
            </w: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460.0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1,598.8</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Contributions from noncontrolling interest holders</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16"/>
                <w:szCs w:val="16"/>
                <w:color w:val="231F20"/>
              </w:rPr>
              <w:t>148.1</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148.1</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20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(270.8)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(270.8)</w:t>
            </w:r>
          </w:p>
        </w:tc>
        <w:tc>
          <w:tcPr>
            <w:tcW w:w="0" w:type="dxa"/>
            <w:vAlign w:val="bottom"/>
          </w:tcPr>
          <w:p>
            <w:pPr>
              <w:spacing w:after="0"/>
              <w:rPr>
                <w:sz w:val="1"/>
                <w:szCs w:val="1"/>
                <w:color w:val="auto"/>
              </w:rPr>
            </w:pPr>
          </w:p>
        </w:tc>
      </w:tr>
      <w:tr>
        <w:trPr>
          <w:trHeight w:val="46"/>
        </w:trPr>
        <w:tc>
          <w:tcPr>
            <w:tcW w:w="6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Common stock distributions declared</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Borders>
              <w:bottom w:val="single" w:sz="8" w:color="E3E4E5"/>
            </w:tcBorders>
            <w:shd w:val="clear" w:color="auto" w:fill="E3E4E5"/>
          </w:tcPr>
          <w:p>
            <w:pPr>
              <w:spacing w:after="0"/>
              <w:rPr>
                <w:sz w:val="20"/>
                <w:szCs w:val="20"/>
                <w:color w:val="auto"/>
              </w:rPr>
            </w:pP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Borders>
              <w:bottom w:val="single" w:sz="8" w:color="E3E4E5"/>
            </w:tcBorders>
            <w:shd w:val="clear" w:color="auto" w:fill="E3E4E5"/>
          </w:tcPr>
          <w:p>
            <w:pPr>
              <w:spacing w:after="0"/>
              <w:rPr>
                <w:sz w:val="20"/>
                <w:szCs w:val="20"/>
                <w:color w:val="auto"/>
              </w:rPr>
            </w:pP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Borders>
              <w:bottom w:val="single" w:sz="8" w:color="E3E4E5"/>
            </w:tcBorders>
            <w:shd w:val="clear" w:color="auto" w:fill="E3E4E5"/>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98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Borders>
              <w:bottom w:val="single" w:sz="8" w:color="E3E4E5"/>
            </w:tcBorders>
            <w:shd w:val="clear" w:color="auto" w:fill="E3E4E5"/>
          </w:tcPr>
          <w:p>
            <w:pPr>
              <w:spacing w:after="0"/>
              <w:rPr>
                <w:sz w:val="20"/>
                <w:szCs w:val="20"/>
                <w:color w:val="auto"/>
              </w:rPr>
            </w:pPr>
          </w:p>
        </w:tc>
        <w:tc>
          <w:tcPr>
            <w:tcW w:w="82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(3,191.4)</w:t>
            </w:r>
          </w:p>
        </w:tc>
        <w:tc>
          <w:tcPr>
            <w:tcW w:w="200" w:type="dxa"/>
            <w:vAlign w:val="bottom"/>
            <w:tcBorders>
              <w:bottom w:val="single" w:sz="8" w:color="E3E4E5"/>
            </w:tcBorders>
            <w:shd w:val="clear" w:color="auto" w:fill="E3E4E5"/>
          </w:tcPr>
          <w:p>
            <w:pPr>
              <w:spacing w:after="0"/>
              <w:rPr>
                <w:sz w:val="20"/>
                <w:szCs w:val="20"/>
                <w:color w:val="auto"/>
              </w:rPr>
            </w:pPr>
          </w:p>
        </w:tc>
        <w:tc>
          <w:tcPr>
            <w:tcW w:w="88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16"/>
                <w:szCs w:val="16"/>
                <w:color w:val="231F20"/>
              </w:rPr>
              <w:t>—</w:t>
            </w:r>
          </w:p>
        </w:tc>
        <w:tc>
          <w:tcPr>
            <w:tcW w:w="160" w:type="dxa"/>
            <w:vAlign w:val="bottom"/>
            <w:tcBorders>
              <w:bottom w:val="single" w:sz="8" w:color="E3E4E5"/>
            </w:tcBorders>
            <w:shd w:val="clear" w:color="auto" w:fill="E3E4E5"/>
          </w:tcPr>
          <w:p>
            <w:pPr>
              <w:spacing w:after="0"/>
              <w:rPr>
                <w:sz w:val="20"/>
                <w:szCs w:val="20"/>
                <w:color w:val="auto"/>
              </w:rPr>
            </w:pP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98"/>
              </w:rPr>
              <w:t>(3,191.4)</w:t>
            </w:r>
          </w:p>
        </w:tc>
        <w:tc>
          <w:tcPr>
            <w:tcW w:w="0" w:type="dxa"/>
            <w:vAlign w:val="bottom"/>
          </w:tcPr>
          <w:p>
            <w:pPr>
              <w:spacing w:after="0"/>
              <w:rPr>
                <w:sz w:val="1"/>
                <w:szCs w:val="1"/>
                <w:color w:val="auto"/>
              </w:rPr>
            </w:pPr>
          </w:p>
        </w:tc>
      </w:tr>
      <w:tr>
        <w:trPr>
          <w:trHeight w:val="209"/>
        </w:trPr>
        <w:tc>
          <w:tcPr>
            <w:tcW w:w="6260" w:type="dxa"/>
            <w:vAlign w:val="bottom"/>
          </w:tcPr>
          <w:p>
            <w:pPr>
              <w:ind w:left="40"/>
              <w:spacing w:after="0"/>
              <w:rPr>
                <w:sz w:val="20"/>
                <w:szCs w:val="20"/>
                <w:color w:val="auto"/>
              </w:rPr>
            </w:pPr>
            <w:r>
              <w:rPr>
                <w:rFonts w:ascii="Times New Roman" w:cs="Times New Roman" w:eastAsia="Times New Roman" w:hAnsi="Times New Roman"/>
                <w:sz w:val="16"/>
                <w:szCs w:val="16"/>
                <w:color w:val="231F20"/>
              </w:rPr>
              <w:t>Net income</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231F20"/>
              </w:rPr>
              <w:t>—</w:t>
            </w:r>
          </w:p>
        </w:tc>
        <w:tc>
          <w:tcPr>
            <w:tcW w:w="18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2,529.5</w:t>
            </w:r>
          </w:p>
        </w:tc>
        <w:tc>
          <w:tcPr>
            <w:tcW w:w="20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231F20"/>
              </w:rPr>
              <w:t>99.0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2,628.5</w:t>
            </w:r>
          </w:p>
        </w:tc>
        <w:tc>
          <w:tcPr>
            <w:tcW w:w="0" w:type="dxa"/>
            <w:vAlign w:val="bottom"/>
          </w:tcPr>
          <w:p>
            <w:pPr>
              <w:spacing w:after="0"/>
              <w:rPr>
                <w:sz w:val="1"/>
                <w:szCs w:val="1"/>
                <w:color w:val="auto"/>
              </w:rPr>
            </w:pPr>
          </w:p>
        </w:tc>
      </w:tr>
      <w:tr>
        <w:trPr>
          <w:trHeight w:val="36"/>
        </w:trPr>
        <w:tc>
          <w:tcPr>
            <w:tcW w:w="6260" w:type="dxa"/>
            <w:vAlign w:val="bottom"/>
            <w:tcBorders>
              <w:bottom w:val="single" w:sz="8" w:color="E3E4E5"/>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90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16"/>
                <w:szCs w:val="16"/>
                <w:color w:val="231F20"/>
              </w:rPr>
              <w:t>BALANCE, DECEMBER 31, 2025</w:t>
            </w:r>
          </w:p>
        </w:tc>
        <w:tc>
          <w:tcPr>
            <w:tcW w:w="840" w:type="dxa"/>
            <w:vAlign w:val="bottom"/>
            <w:tcBorders>
              <w:bottom w:val="single" w:sz="8" w:color="E3E4E5"/>
            </w:tcBorders>
            <w:shd w:val="clear" w:color="auto" w:fill="E3E4E5"/>
          </w:tcPr>
          <w:p>
            <w:pPr>
              <w:jc w:val="right"/>
              <w:ind w:right="21"/>
              <w:spacing w:after="0"/>
              <w:rPr>
                <w:sz w:val="20"/>
                <w:szCs w:val="20"/>
                <w:color w:val="auto"/>
              </w:rPr>
            </w:pPr>
            <w:r>
              <w:rPr>
                <w:rFonts w:ascii="Times New Roman" w:cs="Times New Roman" w:eastAsia="Times New Roman" w:hAnsi="Times New Roman"/>
                <w:sz w:val="16"/>
                <w:szCs w:val="16"/>
                <w:color w:val="231F20"/>
              </w:rPr>
              <w:t>479,358</w:t>
            </w:r>
          </w:p>
        </w:tc>
        <w:tc>
          <w:tcPr>
            <w:tcW w:w="380" w:type="dxa"/>
            <w:vAlign w:val="bottom"/>
            <w:tcBorders>
              <w:bottom w:val="single" w:sz="8" w:color="E3E4E5"/>
            </w:tcBorders>
            <w:shd w:val="clear" w:color="auto" w:fill="E3E4E5"/>
          </w:tcPr>
          <w:p>
            <w:pPr>
              <w:ind w:left="80"/>
              <w:spacing w:after="0"/>
              <w:rPr>
                <w:sz w:val="20"/>
                <w:szCs w:val="20"/>
                <w:color w:val="auto"/>
              </w:rPr>
            </w:pPr>
            <w:r>
              <w:rPr>
                <w:rFonts w:ascii="Times New Roman" w:cs="Times New Roman" w:eastAsia="Times New Roman" w:hAnsi="Times New Roman"/>
                <w:sz w:val="16"/>
                <w:szCs w:val="16"/>
                <w:color w:val="231F20"/>
              </w:rPr>
              <w:t>$</w:t>
            </w:r>
          </w:p>
        </w:tc>
        <w:tc>
          <w:tcPr>
            <w:tcW w:w="2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89"/>
              </w:rPr>
              <w:t>4.8</w:t>
            </w:r>
          </w:p>
        </w:tc>
        <w:tc>
          <w:tcPr>
            <w:tcW w:w="920" w:type="dxa"/>
            <w:vAlign w:val="bottom"/>
            <w:tcBorders>
              <w:bottom w:val="single" w:sz="8" w:color="E3E4E5"/>
            </w:tcBorders>
            <w:gridSpan w:val="2"/>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(13,040)</w:t>
            </w:r>
          </w:p>
        </w:tc>
        <w:tc>
          <w:tcPr>
            <w:tcW w:w="7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$(1,665.8)</w:t>
            </w:r>
          </w:p>
        </w:tc>
        <w:tc>
          <w:tcPr>
            <w:tcW w:w="90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16"/>
                <w:szCs w:val="16"/>
                <w:color w:val="231F20"/>
              </w:rPr>
              <w:t>$ 15,215.3</w:t>
            </w:r>
          </w:p>
        </w:tc>
        <w:tc>
          <w:tcPr>
            <w:tcW w:w="180" w:type="dxa"/>
            <w:vAlign w:val="bottom"/>
            <w:tcBorders>
              <w:bottom w:val="single" w:sz="8" w:color="E3E4E5"/>
            </w:tcBorders>
            <w:shd w:val="clear" w:color="auto" w:fill="E3E4E5"/>
          </w:tcPr>
          <w:p>
            <w:pPr>
              <w:ind w:left="100"/>
              <w:spacing w:after="0"/>
              <w:rPr>
                <w:sz w:val="20"/>
                <w:szCs w:val="20"/>
                <w:color w:val="auto"/>
              </w:rPr>
            </w:pPr>
            <w:r>
              <w:rPr>
                <w:rFonts w:ascii="Times New Roman" w:cs="Times New Roman" w:eastAsia="Times New Roman" w:hAnsi="Times New Roman"/>
                <w:sz w:val="16"/>
                <w:szCs w:val="16"/>
                <w:color w:val="231F20"/>
                <w:w w:val="74"/>
              </w:rPr>
              <w:t>$</w:t>
            </w:r>
          </w:p>
        </w:tc>
        <w:tc>
          <w:tcPr>
            <w:tcW w:w="9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(4,815.8)</w:t>
            </w:r>
          </w:p>
        </w:tc>
        <w:tc>
          <w:tcPr>
            <w:tcW w:w="180" w:type="dxa"/>
            <w:vAlign w:val="bottom"/>
            <w:tcBorders>
              <w:bottom w:val="single" w:sz="8" w:color="E3E4E5"/>
            </w:tcBorders>
            <w:shd w:val="clear" w:color="auto" w:fill="E3E4E5"/>
          </w:tcPr>
          <w:p>
            <w:pPr>
              <w:ind w:left="80"/>
              <w:spacing w:after="0"/>
              <w:rPr>
                <w:sz w:val="20"/>
                <w:szCs w:val="20"/>
                <w:color w:val="auto"/>
              </w:rPr>
            </w:pPr>
            <w:r>
              <w:rPr>
                <w:rFonts w:ascii="Times New Roman" w:cs="Times New Roman" w:eastAsia="Times New Roman" w:hAnsi="Times New Roman"/>
                <w:sz w:val="16"/>
                <w:szCs w:val="16"/>
                <w:color w:val="231F20"/>
                <w:w w:val="99"/>
              </w:rPr>
              <w:t>$</w:t>
            </w:r>
          </w:p>
        </w:tc>
        <w:tc>
          <w:tcPr>
            <w:tcW w:w="8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(5,086.0)</w:t>
            </w:r>
          </w:p>
        </w:tc>
        <w:tc>
          <w:tcPr>
            <w:tcW w:w="200" w:type="dxa"/>
            <w:vAlign w:val="bottom"/>
            <w:tcBorders>
              <w:bottom w:val="single" w:sz="8" w:color="E3E4E5"/>
            </w:tcBorders>
            <w:shd w:val="clear" w:color="auto" w:fill="E3E4E5"/>
          </w:tcPr>
          <w:p>
            <w:pPr>
              <w:ind w:left="60"/>
              <w:spacing w:after="0"/>
              <w:rPr>
                <w:sz w:val="20"/>
                <w:szCs w:val="20"/>
                <w:color w:val="auto"/>
              </w:rPr>
            </w:pPr>
            <w:r>
              <w:rPr>
                <w:rFonts w:ascii="Times New Roman" w:cs="Times New Roman" w:eastAsia="Times New Roman" w:hAnsi="Times New Roman"/>
                <w:sz w:val="16"/>
                <w:szCs w:val="16"/>
                <w:color w:val="231F20"/>
              </w:rPr>
              <w:t>$</w:t>
            </w:r>
          </w:p>
        </w:tc>
        <w:tc>
          <w:tcPr>
            <w:tcW w:w="880" w:type="dxa"/>
            <w:vAlign w:val="bottom"/>
            <w:tcBorders>
              <w:bottom w:val="single" w:sz="8" w:color="E3E4E5"/>
            </w:tcBorders>
            <w:shd w:val="clear" w:color="auto" w:fill="E3E4E5"/>
          </w:tcPr>
          <w:p>
            <w:pPr>
              <w:jc w:val="right"/>
              <w:ind w:right="40"/>
              <w:spacing w:after="0"/>
              <w:rPr>
                <w:sz w:val="20"/>
                <w:szCs w:val="20"/>
                <w:color w:val="auto"/>
              </w:rPr>
            </w:pPr>
            <w:r>
              <w:rPr>
                <w:rFonts w:ascii="Times New Roman" w:cs="Times New Roman" w:eastAsia="Times New Roman" w:hAnsi="Times New Roman"/>
                <w:sz w:val="16"/>
                <w:szCs w:val="16"/>
                <w:color w:val="231F20"/>
              </w:rPr>
              <w:t>6,702.8</w:t>
            </w:r>
          </w:p>
        </w:tc>
        <w:tc>
          <w:tcPr>
            <w:tcW w:w="1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w w:val="99"/>
              </w:rPr>
              <w:t>10,355.3</w:t>
            </w:r>
          </w:p>
        </w:tc>
        <w:tc>
          <w:tcPr>
            <w:tcW w:w="0" w:type="dxa"/>
            <w:vAlign w:val="bottom"/>
          </w:tcPr>
          <w:p>
            <w:pPr>
              <w:spacing w:after="0"/>
              <w:rPr>
                <w:sz w:val="1"/>
                <w:szCs w:val="1"/>
                <w:color w:val="auto"/>
              </w:rPr>
            </w:pPr>
          </w:p>
        </w:tc>
      </w:tr>
      <w:tr>
        <w:trPr>
          <w:trHeight w:val="20"/>
        </w:trPr>
        <w:tc>
          <w:tcPr>
            <w:tcW w:w="6260" w:type="dxa"/>
            <w:vAlign w:val="bottom"/>
            <w:shd w:val="clear" w:color="auto" w:fill="E3E4E5"/>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4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-4390390</wp:posOffset>
            </wp:positionV>
            <wp:extent cx="516890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6">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-4228465</wp:posOffset>
            </wp:positionV>
            <wp:extent cx="516890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7">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-3094990</wp:posOffset>
            </wp:positionV>
            <wp:extent cx="516890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8">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-2933065</wp:posOffset>
            </wp:positionV>
            <wp:extent cx="516890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9">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-1637665</wp:posOffset>
            </wp:positionV>
            <wp:extent cx="516890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0">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-1475740</wp:posOffset>
            </wp:positionV>
            <wp:extent cx="516890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1">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-180340</wp:posOffset>
            </wp:positionV>
            <wp:extent cx="516890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2">
                      <a:extLst>
                        <a:ext uri="{28A0092B-C50C-407E-A947-70E740481C1C}"/>
                      </a:extLst>
                    </a:blip>
                    <a:srcRect/>
                    <a:stretch>
                      <a:fillRect/>
                    </a:stretch>
                  </pic:blipFill>
                  <pic:spPr bwMode="auto">
                    <a:xfrm>
                      <a:off x="0" y="0"/>
                      <a:ext cx="5168900" cy="2540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-18415</wp:posOffset>
            </wp:positionV>
            <wp:extent cx="516890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3">
                      <a:extLst>
                        <a:ext uri="{28A0092B-C50C-407E-A947-70E740481C1C}"/>
                      </a:extLst>
                    </a:blip>
                    <a:srcRect/>
                    <a:stretch>
                      <a:fillRect/>
                    </a:stretch>
                  </pic:blipFill>
                  <pic:spPr bwMode="auto">
                    <a:xfrm>
                      <a:off x="0" y="0"/>
                      <a:ext cx="5168900" cy="25400"/>
                    </a:xfrm>
                    <a:prstGeom prst="rect">
                      <a:avLst/>
                    </a:prstGeom>
                    <a:noFill/>
                  </pic:spPr>
                </pic:pic>
              </a:graphicData>
            </a:graphic>
          </wp:anchor>
        </w:drawing>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See accompanying notes to consolidated financial statements.</w:t>
      </w:r>
    </w:p>
    <w:p>
      <w:pPr>
        <w:sectPr>
          <w:pgSz w:w="15480" w:h="11880" w:orient="landscape"/>
          <w:cols w:equalWidth="0" w:num="1">
            <w:col w:w="14360"/>
          </w:cols>
          <w:pgMar w:left="560" w:top="34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5480" w:h="11880" w:orient="landscape"/>
          <w:cols w:equalWidth="0" w:num="1">
            <w:col w:w="14360"/>
          </w:cols>
          <w:pgMar w:left="560" w:top="347" w:right="560" w:bottom="0" w:gutter="0" w:footer="0" w:header="0"/>
          <w:type w:val="continuous"/>
        </w:sectPr>
      </w:pPr>
    </w:p>
    <w:bookmarkStart w:id="96" w:name="page97"/>
    <w:bookmarkEnd w:id="96"/>
    <w:p>
      <w:pPr>
        <w:jc w:val="center"/>
        <w:spacing w:after="0" w:line="301" w:lineRule="auto"/>
        <w:rPr>
          <w:sz w:val="20"/>
          <w:szCs w:val="20"/>
          <w:color w:val="auto"/>
        </w:rPr>
      </w:pPr>
      <w:r>
        <w:rPr>
          <w:rFonts w:ascii="Times New Roman" w:cs="Times New Roman" w:eastAsia="Times New Roman" w:hAnsi="Times New Roman"/>
          <w:sz w:val="20"/>
          <w:szCs w:val="20"/>
          <w:b w:val="1"/>
          <w:bCs w:val="1"/>
          <w:color w:val="231F20"/>
        </w:rPr>
        <w:t>AMERICAN TOWER CORPORATION AND SUBSIDIARIES CONSOLIDATED STATEMENTS OF CASH FLOW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4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244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20" w:type="dxa"/>
            <w:vAlign w:val="bottom"/>
            <w:tcBorders>
              <w:bottom w:val="single" w:sz="8" w:color="231F20"/>
            </w:tcBorders>
          </w:tcPr>
          <w:p>
            <w:pPr>
              <w:spacing w:after="0"/>
              <w:rPr>
                <w:sz w:val="18"/>
                <w:szCs w:val="18"/>
                <w:color w:val="auto"/>
              </w:rPr>
            </w:pPr>
          </w:p>
        </w:tc>
      </w:tr>
      <w:tr>
        <w:trPr>
          <w:trHeight w:val="205"/>
        </w:trPr>
        <w:tc>
          <w:tcPr>
            <w:tcW w:w="6640" w:type="dxa"/>
            <w:vAlign w:val="bottom"/>
            <w:tcBorders>
              <w:bottom w:val="single" w:sz="8" w:color="E3E4E5"/>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30"/>
        </w:trPr>
        <w:tc>
          <w:tcPr>
            <w:tcW w:w="66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16"/>
                <w:szCs w:val="16"/>
                <w:color w:val="231F20"/>
              </w:rPr>
              <w:t>CASH FLOWS FROM OPERATING ACTIVITIES</w:t>
            </w:r>
          </w:p>
        </w:tc>
        <w:tc>
          <w:tcPr>
            <w:tcW w:w="34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820" w:type="dxa"/>
            <w:vAlign w:val="bottom"/>
            <w:shd w:val="clear" w:color="auto" w:fill="E3E4E5"/>
          </w:tcPr>
          <w:p>
            <w:pPr>
              <w:spacing w:after="0"/>
              <w:rPr>
                <w:sz w:val="20"/>
                <w:szCs w:val="20"/>
                <w:color w:val="auto"/>
              </w:rPr>
            </w:pPr>
          </w:p>
        </w:tc>
      </w:tr>
      <w:tr>
        <w:trPr>
          <w:trHeight w:val="225"/>
        </w:trPr>
        <w:tc>
          <w:tcPr>
            <w:tcW w:w="664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 xml:space="preserve">Net income </w:t>
            </w:r>
            <w:r>
              <w:rPr>
                <w:rFonts w:ascii="Times New Roman" w:cs="Times New Roman" w:eastAsia="Times New Roman" w:hAnsi="Times New Roman"/>
                <w:sz w:val="16"/>
                <w:szCs w:val="16"/>
                <w:color w:val="BABCBE"/>
              </w:rPr>
              <w:t>.......................................................................................................................................</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2,628.5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2,280.2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1,367.1</w:t>
            </w:r>
          </w:p>
        </w:tc>
      </w:tr>
      <w:tr>
        <w:trPr>
          <w:trHeight w:val="240"/>
        </w:trPr>
        <w:tc>
          <w:tcPr>
            <w:tcW w:w="6640" w:type="dxa"/>
            <w:vAlign w:val="bottom"/>
            <w:shd w:val="clear" w:color="auto" w:fill="E3E4E5"/>
          </w:tcPr>
          <w:p>
            <w:pPr>
              <w:ind w:left="420"/>
              <w:spacing w:after="0"/>
              <w:rPr>
                <w:sz w:val="20"/>
                <w:szCs w:val="20"/>
                <w:color w:val="auto"/>
              </w:rPr>
            </w:pPr>
            <w:r>
              <w:rPr>
                <w:rFonts w:ascii="Times New Roman" w:cs="Times New Roman" w:eastAsia="Times New Roman" w:hAnsi="Times New Roman"/>
                <w:sz w:val="16"/>
                <w:szCs w:val="16"/>
                <w:color w:val="231F20"/>
              </w:rPr>
              <w:t>Adjustments to reconcile net income to cash provided by operating activities:</w:t>
            </w:r>
          </w:p>
        </w:tc>
        <w:tc>
          <w:tcPr>
            <w:tcW w:w="34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820" w:type="dxa"/>
            <w:vAlign w:val="bottom"/>
            <w:shd w:val="clear" w:color="auto" w:fill="E3E4E5"/>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-459740</wp:posOffset>
            </wp:positionV>
            <wp:extent cx="231140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4">
                      <a:extLst>
                        <a:ext uri="{28A0092B-C50C-407E-A947-70E740481C1C}"/>
                      </a:extLst>
                    </a:blip>
                    <a:srcRect/>
                    <a:stretch>
                      <a:fillRect/>
                    </a:stretch>
                  </pic:blipFill>
                  <pic:spPr bwMode="auto">
                    <a:xfrm>
                      <a:off x="0" y="0"/>
                      <a:ext cx="2311400" cy="25400"/>
                    </a:xfrm>
                    <a:prstGeom prst="rect">
                      <a:avLst/>
                    </a:prstGeom>
                    <a:noFill/>
                  </pic:spPr>
                </pic:pic>
              </a:graphicData>
            </a:graphic>
          </wp:anchor>
        </w:drawing>
      </w:r>
    </w:p>
    <w:p>
      <w:pPr>
        <w:sectPr>
          <w:pgSz w:w="11880" w:h="15480" w:orient="portrait"/>
          <w:cols w:equalWidth="0" w:num="1">
            <w:col w:w="10240"/>
          </w:cols>
          <w:pgMar w:left="820" w:top="386" w:right="820" w:bottom="0" w:gutter="0" w:footer="0" w:header="0"/>
        </w:sectPr>
      </w:pP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Depreciation, amortization and accretion</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26670</wp:posOffset>
                </wp:positionV>
                <wp:extent cx="6504940" cy="142875"/>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42875"/>
                        </a:xfrm>
                        <a:prstGeom prst="rect">
                          <a:avLst/>
                        </a:prstGeom>
                        <a:solidFill>
                          <a:srgbClr val="E3E4E5"/>
                        </a:solidFill>
                      </wps:spPr>
                      <wps:bodyPr/>
                    </wps:wsp>
                  </a:graphicData>
                </a:graphic>
              </wp:anchor>
            </w:drawing>
          </mc:Choice>
          <mc:Fallback>
            <w:pict>
              <v:rect id="Shape 178" o:spid="_x0000_s1203" style="position:absolute;margin-left:-0.0999pt;margin-top:2.1pt;width:512.2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Stock-based compensation expense </w:t>
      </w:r>
      <w:r>
        <w:rPr>
          <w:rFonts w:ascii="Times New Roman" w:cs="Times New Roman" w:eastAsia="Times New Roman" w:hAnsi="Times New Roman"/>
          <w:sz w:val="15"/>
          <w:szCs w:val="15"/>
          <w:color w:val="BABCBE"/>
        </w:rPr>
        <w:t>........................................................................................</w:t>
      </w:r>
    </w:p>
    <w:p>
      <w:pPr>
        <w:spacing w:after="0" w:line="53" w:lineRule="exact"/>
        <w:rPr>
          <w:sz w:val="20"/>
          <w:szCs w:val="20"/>
          <w:color w:val="auto"/>
        </w:rPr>
      </w:pPr>
    </w:p>
    <w:p>
      <w:pPr>
        <w:ind w:left="780" w:right="260"/>
        <w:spacing w:after="0" w:line="290" w:lineRule="auto"/>
        <w:rPr>
          <w:sz w:val="20"/>
          <w:szCs w:val="20"/>
          <w:color w:val="auto"/>
        </w:rPr>
      </w:pPr>
      <w:r>
        <w:rPr>
          <w:rFonts w:ascii="Times New Roman" w:cs="Times New Roman" w:eastAsia="Times New Roman" w:hAnsi="Times New Roman"/>
          <w:sz w:val="15"/>
          <w:szCs w:val="15"/>
          <w:color w:val="231F20"/>
        </w:rPr>
        <w:t>Loss (gain) on investments, unrealized foreign currency loss (gain) and other non-cash Impairments, net loss on sale of long-lived assets, non-cash restructuring and merger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-127635</wp:posOffset>
                </wp:positionV>
                <wp:extent cx="6504940" cy="23749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37490"/>
                        </a:xfrm>
                        <a:prstGeom prst="rect">
                          <a:avLst/>
                        </a:prstGeom>
                        <a:solidFill>
                          <a:srgbClr val="E3E4E5"/>
                        </a:solidFill>
                      </wps:spPr>
                      <wps:bodyPr/>
                    </wps:wsp>
                  </a:graphicData>
                </a:graphic>
              </wp:anchor>
            </w:drawing>
          </mc:Choice>
          <mc:Fallback>
            <w:pict>
              <v:rect id="Shape 179" o:spid="_x0000_s1204" style="position:absolute;margin-left:-0.0999pt;margin-top:-10.0499pt;width:512.2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left="780"/>
        <w:spacing w:after="0"/>
        <w:rPr>
          <w:sz w:val="20"/>
          <w:szCs w:val="20"/>
          <w:color w:val="auto"/>
        </w:rPr>
      </w:pPr>
      <w:r>
        <w:rPr>
          <w:rFonts w:ascii="Times New Roman" w:cs="Times New Roman" w:eastAsia="Times New Roman" w:hAnsi="Times New Roman"/>
          <w:sz w:val="15"/>
          <w:szCs w:val="15"/>
          <w:color w:val="231F20"/>
        </w:rPr>
        <w:t>related expenses</w:t>
      </w:r>
      <w:r>
        <w:rPr>
          <w:rFonts w:ascii="Times New Roman" w:cs="Times New Roman" w:eastAsia="Times New Roman" w:hAnsi="Times New Roman"/>
          <w:sz w:val="15"/>
          <w:szCs w:val="15"/>
          <w:color w:val="BABCBE"/>
        </w:rPr>
        <w:t>.......................................................................................................................</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Loss on early retirement of long-term obligations </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26670</wp:posOffset>
                </wp:positionV>
                <wp:extent cx="6504940" cy="16192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61925"/>
                        </a:xfrm>
                        <a:prstGeom prst="rect">
                          <a:avLst/>
                        </a:prstGeom>
                        <a:solidFill>
                          <a:srgbClr val="E3E4E5"/>
                        </a:solidFill>
                      </wps:spPr>
                      <wps:bodyPr/>
                    </wps:wsp>
                  </a:graphicData>
                </a:graphic>
              </wp:anchor>
            </w:drawing>
          </mc:Choice>
          <mc:Fallback>
            <w:pict>
              <v:rect id="Shape 180" o:spid="_x0000_s1205" style="position:absolute;margin-left:-0.0999pt;margin-top:2.1pt;width:512.2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Loss on sale of ATC TIPL </w:t>
      </w:r>
      <w:r>
        <w:rPr>
          <w:rFonts w:ascii="Times New Roman" w:cs="Times New Roman" w:eastAsia="Times New Roman" w:hAnsi="Times New Roman"/>
          <w:sz w:val="15"/>
          <w:szCs w:val="15"/>
          <w:color w:val="BABCBE"/>
        </w:rPr>
        <w:t>......................................................................................................</w:t>
      </w:r>
    </w:p>
    <w:p>
      <w:pPr>
        <w:spacing w:after="0" w:line="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Amortization of deferred financing costs, debt discounts and premiums and other non-cash</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interest </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0</wp:posOffset>
                </wp:positionV>
                <wp:extent cx="6504940" cy="14224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42240"/>
                        </a:xfrm>
                        <a:prstGeom prst="rect">
                          <a:avLst/>
                        </a:prstGeom>
                        <a:solidFill>
                          <a:srgbClr val="E3E4E5"/>
                        </a:solidFill>
                      </wps:spPr>
                      <wps:bodyPr/>
                    </wps:wsp>
                  </a:graphicData>
                </a:graphic>
              </wp:anchor>
            </w:drawing>
          </mc:Choice>
          <mc:Fallback>
            <w:pict>
              <v:rect id="Shape 181" o:spid="_x0000_s1206" style="position:absolute;margin-left:-0.0999pt;margin-top:0pt;width:512.2pt;height:1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Deferred income taxes</w:t>
      </w:r>
      <w:r>
        <w:rPr>
          <w:rFonts w:ascii="Times New Roman" w:cs="Times New Roman" w:eastAsia="Times New Roman" w:hAnsi="Times New Roman"/>
          <w:sz w:val="15"/>
          <w:szCs w:val="15"/>
          <w:color w:val="BABCBE"/>
        </w:rPr>
        <w:t>.............................................................................................................</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231F20"/>
        </w:rPr>
        <w:t>Changes in assets and liabilities, net of acquisitions: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9525</wp:posOffset>
                </wp:positionV>
                <wp:extent cx="6504940" cy="14287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42875"/>
                        </a:xfrm>
                        <a:prstGeom prst="rect">
                          <a:avLst/>
                        </a:prstGeom>
                        <a:solidFill>
                          <a:srgbClr val="E3E4E5"/>
                        </a:solidFill>
                      </wps:spPr>
                      <wps:bodyPr/>
                    </wps:wsp>
                  </a:graphicData>
                </a:graphic>
              </wp:anchor>
            </w:drawing>
          </mc:Choice>
          <mc:Fallback>
            <w:pict>
              <v:rect id="Shape 182" o:spid="_x0000_s1207" style="position:absolute;margin-left:-0.0999pt;margin-top:0.75pt;width:512.2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Accounts receivable </w:t>
      </w:r>
      <w:r>
        <w:rPr>
          <w:rFonts w:ascii="Times New Roman" w:cs="Times New Roman" w:eastAsia="Times New Roman" w:hAnsi="Times New Roman"/>
          <w:sz w:val="15"/>
          <w:szCs w:val="15"/>
          <w:color w:val="BABCBE"/>
        </w:rPr>
        <w:t>................................................................................................................</w:t>
      </w:r>
    </w:p>
    <w:p>
      <w:pPr>
        <w:spacing w:after="0" w:line="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Prepaid and other assets </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17145</wp:posOffset>
                </wp:positionV>
                <wp:extent cx="6504940" cy="142875"/>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42875"/>
                        </a:xfrm>
                        <a:prstGeom prst="rect">
                          <a:avLst/>
                        </a:prstGeom>
                        <a:solidFill>
                          <a:srgbClr val="E3E4E5"/>
                        </a:solidFill>
                      </wps:spPr>
                      <wps:bodyPr/>
                    </wps:wsp>
                  </a:graphicData>
                </a:graphic>
              </wp:anchor>
            </w:drawing>
          </mc:Choice>
          <mc:Fallback>
            <w:pict>
              <v:rect id="Shape 183" o:spid="_x0000_s1208" style="position:absolute;margin-left:-0.0999pt;margin-top:1.35pt;width:512.2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Deferred rent asset</w:t>
      </w:r>
      <w:r>
        <w:rPr>
          <w:rFonts w:ascii="Times New Roman" w:cs="Times New Roman" w:eastAsia="Times New Roman" w:hAnsi="Times New Roman"/>
          <w:sz w:val="15"/>
          <w:szCs w:val="15"/>
          <w:color w:val="BABCBE"/>
        </w:rPr>
        <w:t>...................................................................................................................</w:t>
      </w:r>
    </w:p>
    <w:p>
      <w:pPr>
        <w:spacing w:after="0" w:line="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Right-of-use asset and Operating lease liability, net</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17145</wp:posOffset>
                </wp:positionV>
                <wp:extent cx="6504940" cy="14287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42875"/>
                        </a:xfrm>
                        <a:prstGeom prst="rect">
                          <a:avLst/>
                        </a:prstGeom>
                        <a:solidFill>
                          <a:srgbClr val="E3E4E5"/>
                        </a:solidFill>
                      </wps:spPr>
                      <wps:bodyPr/>
                    </wps:wsp>
                  </a:graphicData>
                </a:graphic>
              </wp:anchor>
            </w:drawing>
          </mc:Choice>
          <mc:Fallback>
            <w:pict>
              <v:rect id="Shape 184" o:spid="_x0000_s1209" style="position:absolute;margin-left:-0.0999pt;margin-top:1.35pt;width:512.2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Accounts payable and accrued expenses</w:t>
      </w:r>
      <w:r>
        <w:rPr>
          <w:rFonts w:ascii="Times New Roman" w:cs="Times New Roman" w:eastAsia="Times New Roman" w:hAnsi="Times New Roman"/>
          <w:sz w:val="15"/>
          <w:szCs w:val="15"/>
          <w:color w:val="BABCBE"/>
        </w:rPr>
        <w:t>.................................................................................</w:t>
      </w:r>
    </w:p>
    <w:p>
      <w:pPr>
        <w:spacing w:after="0" w:line="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Accrued interest</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17145</wp:posOffset>
                </wp:positionV>
                <wp:extent cx="6504940" cy="14287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42875"/>
                        </a:xfrm>
                        <a:prstGeom prst="rect">
                          <a:avLst/>
                        </a:prstGeom>
                        <a:solidFill>
                          <a:srgbClr val="E3E4E5"/>
                        </a:solidFill>
                      </wps:spPr>
                      <wps:bodyPr/>
                    </wps:wsp>
                  </a:graphicData>
                </a:graphic>
              </wp:anchor>
            </w:drawing>
          </mc:Choice>
          <mc:Fallback>
            <w:pict>
              <v:rect id="Shape 185" o:spid="_x0000_s1210" style="position:absolute;margin-left:-0.0999pt;margin-top:1.35pt;width:512.2pt;height:1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Unearned revenue</w:t>
      </w:r>
      <w:r>
        <w:rPr>
          <w:rFonts w:ascii="Times New Roman" w:cs="Times New Roman" w:eastAsia="Times New Roman" w:hAnsi="Times New Roman"/>
          <w:sz w:val="15"/>
          <w:szCs w:val="15"/>
          <w:color w:val="BABCBE"/>
        </w:rPr>
        <w:t>....................................................................................................................</w:t>
      </w:r>
    </w:p>
    <w:p>
      <w:pPr>
        <w:spacing w:after="0" w:line="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231F20"/>
        </w:rPr>
        <w:t xml:space="preserve">Other non-current liabilities </w:t>
      </w:r>
      <w:r>
        <w:rPr>
          <w:rFonts w:ascii="Times New Roman" w:cs="Times New Roman" w:eastAsia="Times New Roman" w:hAnsi="Times New Roman"/>
          <w:sz w:val="15"/>
          <w:szCs w:val="15"/>
          <w:color w:val="BABCB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6518275" cy="177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5">
                      <a:extLst>
                        <a:ext uri="{28A0092B-C50C-407E-A947-70E740481C1C}"/>
                      </a:extLst>
                    </a:blip>
                    <a:srcRect/>
                    <a:stretch>
                      <a:fillRect/>
                    </a:stretch>
                  </pic:blipFill>
                  <pic:spPr bwMode="auto">
                    <a:xfrm>
                      <a:off x="0" y="0"/>
                      <a:ext cx="6518275" cy="177800"/>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231F20"/>
        </w:rPr>
        <w:t xml:space="preserve">Cash provided by operating activities </w:t>
      </w:r>
      <w:r>
        <w:rPr>
          <w:rFonts w:ascii="Times New Roman" w:cs="Times New Roman" w:eastAsia="Times New Roman" w:hAnsi="Times New Roman"/>
          <w:sz w:val="15"/>
          <w:szCs w:val="15"/>
          <w:color w:val="BABCBE"/>
        </w:rPr>
        <w: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231F20"/>
        </w:rPr>
        <w:t>CASH FLOWS FROM INVESTING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2,041.6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2,124.8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3,086.5</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174.2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195.7</w:t>
            </w:r>
          </w:p>
        </w:tc>
      </w:tr>
      <w:tr>
        <w:trPr>
          <w:trHeight w:val="24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606.7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(380.1)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279.0</w:t>
            </w:r>
          </w:p>
        </w:tc>
      </w:tr>
      <w:tr>
        <w:trPr>
          <w:trHeight w:val="37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739.9</w:t>
            </w:r>
          </w:p>
        </w:tc>
      </w:tr>
      <w:tr>
        <w:trPr>
          <w:trHeight w:val="24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0.3</w:t>
            </w: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1,245.5</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r>
      <w:tr>
        <w:trPr>
          <w:trHeight w:val="37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49.8</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52.3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(182.0)</w:t>
            </w:r>
          </w:p>
        </w:tc>
      </w:tr>
      <w:tr>
        <w:trPr>
          <w:trHeight w:val="450"/>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(34.5)</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(342.6)</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(276.3)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(472.0)</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(20.6)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(103.7)</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(65.6)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(11.9)</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128.6</w:t>
            </w:r>
          </w:p>
        </w:tc>
      </w:tr>
      <w:tr>
        <w:trPr>
          <w:trHeight w:val="22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(79.3)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31F20"/>
              </w:rPr>
              <w:t>(43.4)</w:t>
            </w:r>
          </w:p>
        </w:tc>
      </w:tr>
      <w:tr>
        <w:trPr>
          <w:trHeight w:val="231"/>
        </w:trPr>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50.2</w:t>
            </w:r>
          </w:p>
        </w:tc>
        <w:tc>
          <w:tcPr>
            <w:tcW w:w="80" w:type="dxa"/>
            <w:vAlign w:val="bottom"/>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21.9</w:t>
            </w:r>
          </w:p>
        </w:tc>
        <w:tc>
          <w:tcPr>
            <w:tcW w:w="80" w:type="dxa"/>
            <w:vAlign w:val="bottom"/>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65.6</w:t>
            </w:r>
          </w:p>
        </w:tc>
      </w:tr>
      <w:tr>
        <w:trPr>
          <w:trHeight w:val="220"/>
        </w:trPr>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5,464.0</w:t>
            </w:r>
          </w:p>
        </w:tc>
        <w:tc>
          <w:tcPr>
            <w:tcW w:w="80" w:type="dxa"/>
            <w:vAlign w:val="bottom"/>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5,290.5</w:t>
            </w:r>
          </w:p>
        </w:tc>
        <w:tc>
          <w:tcPr>
            <w:tcW w:w="80" w:type="dxa"/>
            <w:vAlign w:val="bottom"/>
          </w:tcPr>
          <w:p>
            <w:pPr>
              <w:spacing w:after="0"/>
              <w:rPr>
                <w:sz w:val="19"/>
                <w:szCs w:val="19"/>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4,722.4</w:t>
            </w:r>
          </w:p>
        </w:tc>
      </w:tr>
    </w:tbl>
    <w:p>
      <w:pPr>
        <w:spacing w:after="0" w:line="244" w:lineRule="exact"/>
        <w:rPr>
          <w:sz w:val="20"/>
          <w:szCs w:val="20"/>
          <w:color w:val="auto"/>
        </w:rPr>
      </w:pPr>
    </w:p>
    <w:p>
      <w:pPr>
        <w:sectPr>
          <w:pgSz w:w="11880" w:h="15480" w:orient="portrait"/>
          <w:cols w:equalWidth="0" w:num="2">
            <w:col w:w="6580" w:space="140"/>
            <w:col w:w="3520"/>
          </w:cols>
          <w:pgMar w:left="820" w:top="386" w:right="820" w:bottom="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Payments for purchase of property and equipment and construction activities </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19"/>
                <w:szCs w:val="19"/>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(1,680.4)</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(1,590.0)</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(1,798.1)</w:t>
            </w:r>
          </w:p>
        </w:tc>
        <w:tc>
          <w:tcPr>
            <w:tcW w:w="0" w:type="dxa"/>
            <w:vAlign w:val="bottom"/>
          </w:tcPr>
          <w:p>
            <w:pPr>
              <w:spacing w:after="0"/>
              <w:rPr>
                <w:sz w:val="1"/>
                <w:szCs w:val="1"/>
                <w:color w:val="auto"/>
              </w:rPr>
            </w:pPr>
          </w:p>
        </w:tc>
      </w:tr>
      <w:tr>
        <w:trPr>
          <w:trHeight w:val="237"/>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Payments for acquisitions, net of cash acquired</w:t>
            </w:r>
            <w:r>
              <w:rPr>
                <w:rFonts w:ascii="Times New Roman" w:cs="Times New Roman" w:eastAsia="Times New Roman" w:hAnsi="Times New Roman"/>
                <w:sz w:val="16"/>
                <w:szCs w:val="16"/>
                <w:color w:val="BABCBE"/>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(123.0)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(168.0)</w:t>
            </w:r>
          </w:p>
        </w:tc>
        <w:tc>
          <w:tcPr>
            <w:tcW w:w="0" w:type="dxa"/>
            <w:vAlign w:val="bottom"/>
          </w:tcPr>
          <w:p>
            <w:pPr>
              <w:spacing w:after="0"/>
              <w:rPr>
                <w:sz w:val="1"/>
                <w:szCs w:val="1"/>
                <w:color w:val="auto"/>
              </w:rPr>
            </w:pPr>
          </w:p>
        </w:tc>
      </w:tr>
      <w:tr>
        <w:trPr>
          <w:trHeight w:val="228"/>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Proceeds from sales of short-term investments and other non-current assets</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19"/>
                <w:szCs w:val="19"/>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294.6</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253.2</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17.3</w:t>
            </w:r>
          </w:p>
        </w:tc>
        <w:tc>
          <w:tcPr>
            <w:tcW w:w="0" w:type="dxa"/>
            <w:vAlign w:val="bottom"/>
          </w:tcPr>
          <w:p>
            <w:pPr>
              <w:spacing w:after="0"/>
              <w:rPr>
                <w:sz w:val="1"/>
                <w:szCs w:val="1"/>
                <w:color w:val="auto"/>
              </w:rPr>
            </w:pPr>
          </w:p>
        </w:tc>
      </w:tr>
      <w:tr>
        <w:trPr>
          <w:trHeight w:val="225"/>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Proceeds from the sale of ATC TIPL</w:t>
            </w:r>
            <w:r>
              <w:rPr>
                <w:rFonts w:ascii="Times New Roman" w:cs="Times New Roman" w:eastAsia="Times New Roman" w:hAnsi="Times New Roman"/>
                <w:sz w:val="16"/>
                <w:szCs w:val="16"/>
                <w:color w:val="BABCBE"/>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2,158.8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Deposits and other </w:t>
            </w:r>
            <w:r>
              <w:rPr>
                <w:rFonts w:ascii="Times New Roman" w:cs="Times New Roman" w:eastAsia="Times New Roman" w:hAnsi="Times New Roman"/>
                <w:sz w:val="16"/>
                <w:szCs w:val="16"/>
                <w:color w:val="BABCBE"/>
              </w:rPr>
              <w:t>............................................................................................................................</w:t>
            </w:r>
          </w:p>
        </w:tc>
        <w:tc>
          <w:tcPr>
            <w:tcW w:w="320" w:type="dxa"/>
            <w:vAlign w:val="bottom"/>
            <w:tcBorders>
              <w:bottom w:val="single" w:sz="8" w:color="231F20"/>
            </w:tcBorders>
            <w:shd w:val="clear" w:color="auto" w:fill="E3E4E5"/>
          </w:tcPr>
          <w:p>
            <w:pPr>
              <w:spacing w:after="0"/>
              <w:rPr>
                <w:sz w:val="20"/>
                <w:szCs w:val="20"/>
                <w:color w:val="auto"/>
              </w:rPr>
            </w:pPr>
          </w:p>
        </w:tc>
        <w:tc>
          <w:tcPr>
            <w:tcW w:w="8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(19.8)</w:t>
            </w:r>
          </w:p>
        </w:tc>
        <w:tc>
          <w:tcPr>
            <w:tcW w:w="80" w:type="dxa"/>
            <w:vAlign w:val="bottom"/>
            <w:tcBorders>
              <w:bottom w:val="single" w:sz="8" w:color="E3E4E5"/>
            </w:tcBorders>
            <w:shd w:val="clear" w:color="auto" w:fill="E3E4E5"/>
          </w:tcPr>
          <w:p>
            <w:pPr>
              <w:spacing w:after="0"/>
              <w:rPr>
                <w:sz w:val="20"/>
                <w:szCs w:val="20"/>
                <w:color w:val="auto"/>
              </w:rPr>
            </w:pPr>
          </w:p>
        </w:tc>
        <w:tc>
          <w:tcPr>
            <w:tcW w:w="280" w:type="dxa"/>
            <w:vAlign w:val="bottom"/>
            <w:tcBorders>
              <w:bottom w:val="single" w:sz="8" w:color="231F20"/>
            </w:tcBorders>
            <w:shd w:val="clear" w:color="auto" w:fill="E3E4E5"/>
          </w:tcPr>
          <w:p>
            <w:pPr>
              <w:spacing w:after="0"/>
              <w:rPr>
                <w:sz w:val="20"/>
                <w:szCs w:val="20"/>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(288.4)</w:t>
            </w:r>
          </w:p>
        </w:tc>
        <w:tc>
          <w:tcPr>
            <w:tcW w:w="80" w:type="dxa"/>
            <w:vAlign w:val="bottom"/>
            <w:tcBorders>
              <w:bottom w:val="single" w:sz="8" w:color="E3E4E5"/>
            </w:tcBorders>
            <w:shd w:val="clear" w:color="auto" w:fill="E3E4E5"/>
          </w:tcPr>
          <w:p>
            <w:pPr>
              <w:spacing w:after="0"/>
              <w:rPr>
                <w:sz w:val="20"/>
                <w:szCs w:val="20"/>
                <w:color w:val="auto"/>
              </w:rPr>
            </w:pPr>
          </w:p>
        </w:tc>
        <w:tc>
          <w:tcPr>
            <w:tcW w:w="280" w:type="dxa"/>
            <w:vAlign w:val="bottom"/>
            <w:tcBorders>
              <w:bottom w:val="single" w:sz="8" w:color="231F20"/>
            </w:tcBorders>
            <w:shd w:val="clear" w:color="auto" w:fill="E3E4E5"/>
          </w:tcPr>
          <w:p>
            <w:pPr>
              <w:spacing w:after="0"/>
              <w:rPr>
                <w:sz w:val="20"/>
                <w:szCs w:val="20"/>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253.3</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E3E4E5"/>
            </w:tcBorders>
          </w:tcPr>
          <w:p>
            <w:pPr>
              <w:jc w:val="right"/>
              <w:ind w:right="60"/>
              <w:spacing w:after="0"/>
              <w:rPr>
                <w:sz w:val="20"/>
                <w:szCs w:val="20"/>
                <w:color w:val="auto"/>
              </w:rPr>
            </w:pPr>
            <w:r>
              <w:rPr>
                <w:rFonts w:ascii="Times New Roman" w:cs="Times New Roman" w:eastAsia="Times New Roman" w:hAnsi="Times New Roman"/>
                <w:sz w:val="16"/>
                <w:szCs w:val="16"/>
                <w:color w:val="231F20"/>
                <w:w w:val="99"/>
              </w:rPr>
              <w:t xml:space="preserve">Cash (used for) provided by investing activities </w:t>
            </w:r>
            <w:r>
              <w:rPr>
                <w:rFonts w:ascii="Times New Roman" w:cs="Times New Roman" w:eastAsia="Times New Roman" w:hAnsi="Times New Roman"/>
                <w:sz w:val="16"/>
                <w:szCs w:val="16"/>
                <w:color w:val="BABCBE"/>
                <w:w w:val="99"/>
              </w:rPr>
              <w:t>.......................................................................................</w:t>
            </w:r>
          </w:p>
        </w:tc>
        <w:tc>
          <w:tcPr>
            <w:tcW w:w="32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(1,859.8)</w:t>
            </w:r>
          </w:p>
        </w:tc>
        <w:tc>
          <w:tcPr>
            <w:tcW w:w="80" w:type="dxa"/>
            <w:vAlign w:val="bottom"/>
            <w:tcBorders>
              <w:bottom w:val="single" w:sz="8" w:color="E3E4E5"/>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410.6</w:t>
            </w:r>
          </w:p>
        </w:tc>
        <w:tc>
          <w:tcPr>
            <w:tcW w:w="80" w:type="dxa"/>
            <w:vAlign w:val="bottom"/>
            <w:tcBorders>
              <w:bottom w:val="single" w:sz="8" w:color="E3E4E5"/>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(1,695.5)</w:t>
            </w:r>
          </w:p>
        </w:tc>
        <w:tc>
          <w:tcPr>
            <w:tcW w:w="0" w:type="dxa"/>
            <w:vAlign w:val="bottom"/>
          </w:tcPr>
          <w:p>
            <w:pPr>
              <w:spacing w:after="0"/>
              <w:rPr>
                <w:sz w:val="1"/>
                <w:szCs w:val="1"/>
                <w:color w:val="auto"/>
              </w:rPr>
            </w:pPr>
          </w:p>
        </w:tc>
      </w:tr>
      <w:tr>
        <w:trPr>
          <w:trHeight w:val="215"/>
        </w:trPr>
        <w:tc>
          <w:tcPr>
            <w:tcW w:w="6720" w:type="dxa"/>
            <w:vAlign w:val="bottom"/>
            <w:shd w:val="clear" w:color="auto" w:fill="E3E4E5"/>
          </w:tcPr>
          <w:p>
            <w:pPr>
              <w:ind w:left="60"/>
              <w:spacing w:after="0"/>
              <w:rPr>
                <w:sz w:val="20"/>
                <w:szCs w:val="20"/>
                <w:color w:val="auto"/>
              </w:rPr>
            </w:pPr>
            <w:r>
              <w:rPr>
                <w:rFonts w:ascii="Times New Roman" w:cs="Times New Roman" w:eastAsia="Times New Roman" w:hAnsi="Times New Roman"/>
                <w:sz w:val="16"/>
                <w:szCs w:val="16"/>
                <w:color w:val="231F20"/>
              </w:rPr>
              <w:t>CASH FLOWS FROM FINANCING ACTIVITIES</w:t>
            </w:r>
          </w:p>
        </w:tc>
        <w:tc>
          <w:tcPr>
            <w:tcW w:w="320" w:type="dxa"/>
            <w:vAlign w:val="bottom"/>
            <w:shd w:val="clear" w:color="auto" w:fill="E3E4E5"/>
          </w:tcPr>
          <w:p>
            <w:pPr>
              <w:spacing w:after="0"/>
              <w:rPr>
                <w:sz w:val="18"/>
                <w:szCs w:val="18"/>
                <w:color w:val="auto"/>
              </w:rPr>
            </w:pPr>
          </w:p>
        </w:tc>
        <w:tc>
          <w:tcPr>
            <w:tcW w:w="80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4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4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Proceeds from short-term borrowings, net </w:t>
            </w:r>
            <w:r>
              <w:rPr>
                <w:rFonts w:ascii="Times New Roman" w:cs="Times New Roman" w:eastAsia="Times New Roman" w:hAnsi="Times New Roman"/>
                <w:sz w:val="16"/>
                <w:szCs w:val="16"/>
                <w:color w:val="BABCBE"/>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148.7</w:t>
            </w:r>
          </w:p>
        </w:tc>
        <w:tc>
          <w:tcPr>
            <w:tcW w:w="0" w:type="dxa"/>
            <w:vAlign w:val="bottom"/>
          </w:tcPr>
          <w:p>
            <w:pPr>
              <w:spacing w:after="0"/>
              <w:rPr>
                <w:sz w:val="1"/>
                <w:szCs w:val="1"/>
                <w:color w:val="auto"/>
              </w:rPr>
            </w:pPr>
          </w:p>
        </w:tc>
      </w:tr>
      <w:tr>
        <w:trPr>
          <w:trHeight w:val="243"/>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Borrowings under credit facilities </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21"/>
                <w:szCs w:val="21"/>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6,077.3</w:t>
            </w:r>
          </w:p>
        </w:tc>
        <w:tc>
          <w:tcPr>
            <w:tcW w:w="80" w:type="dxa"/>
            <w:vAlign w:val="bottom"/>
            <w:shd w:val="clear" w:color="auto" w:fill="E3E4E5"/>
          </w:tcPr>
          <w:p>
            <w:pPr>
              <w:spacing w:after="0"/>
              <w:rPr>
                <w:sz w:val="21"/>
                <w:szCs w:val="21"/>
                <w:color w:val="auto"/>
              </w:rPr>
            </w:pPr>
          </w:p>
        </w:tc>
        <w:tc>
          <w:tcPr>
            <w:tcW w:w="280" w:type="dxa"/>
            <w:vAlign w:val="bottom"/>
            <w:shd w:val="clear" w:color="auto" w:fill="E3E4E5"/>
          </w:tcPr>
          <w:p>
            <w:pPr>
              <w:spacing w:after="0"/>
              <w:rPr>
                <w:sz w:val="21"/>
                <w:szCs w:val="21"/>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6,932.9</w:t>
            </w:r>
          </w:p>
        </w:tc>
        <w:tc>
          <w:tcPr>
            <w:tcW w:w="80" w:type="dxa"/>
            <w:vAlign w:val="bottom"/>
            <w:shd w:val="clear" w:color="auto" w:fill="E3E4E5"/>
          </w:tcPr>
          <w:p>
            <w:pPr>
              <w:spacing w:after="0"/>
              <w:rPr>
                <w:sz w:val="21"/>
                <w:szCs w:val="21"/>
                <w:color w:val="auto"/>
              </w:rPr>
            </w:pPr>
          </w:p>
        </w:tc>
        <w:tc>
          <w:tcPr>
            <w:tcW w:w="280" w:type="dxa"/>
            <w:vAlign w:val="bottom"/>
            <w:shd w:val="clear" w:color="auto" w:fill="E3E4E5"/>
          </w:tcPr>
          <w:p>
            <w:pPr>
              <w:spacing w:after="0"/>
              <w:rPr>
                <w:sz w:val="21"/>
                <w:szCs w:val="21"/>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6,120.0</w:t>
            </w:r>
          </w:p>
        </w:tc>
        <w:tc>
          <w:tcPr>
            <w:tcW w:w="0" w:type="dxa"/>
            <w:vAlign w:val="bottom"/>
          </w:tcPr>
          <w:p>
            <w:pPr>
              <w:spacing w:after="0"/>
              <w:rPr>
                <w:sz w:val="1"/>
                <w:szCs w:val="1"/>
                <w:color w:val="auto"/>
              </w:rPr>
            </w:pPr>
          </w:p>
        </w:tc>
      </w:tr>
      <w:tr>
        <w:trPr>
          <w:trHeight w:val="225"/>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Proceeds from issuance of senior notes, net</w:t>
            </w:r>
            <w:r>
              <w:rPr>
                <w:rFonts w:ascii="Times New Roman" w:cs="Times New Roman" w:eastAsia="Times New Roman" w:hAnsi="Times New Roman"/>
                <w:sz w:val="16"/>
                <w:szCs w:val="16"/>
                <w:color w:val="BABCBE"/>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3,000.6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3,568.6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5,678.3</w:t>
            </w:r>
          </w:p>
        </w:tc>
        <w:tc>
          <w:tcPr>
            <w:tcW w:w="0" w:type="dxa"/>
            <w:vAlign w:val="bottom"/>
          </w:tcPr>
          <w:p>
            <w:pPr>
              <w:spacing w:after="0"/>
              <w:rPr>
                <w:sz w:val="1"/>
                <w:szCs w:val="1"/>
                <w:color w:val="auto"/>
              </w:rPr>
            </w:pPr>
          </w:p>
        </w:tc>
      </w:tr>
      <w:tr>
        <w:trPr>
          <w:trHeight w:val="225"/>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Proceeds from issuance of securities in securitization transaction</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19"/>
                <w:szCs w:val="19"/>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1,300.0</w:t>
            </w:r>
          </w:p>
        </w:tc>
        <w:tc>
          <w:tcPr>
            <w:tcW w:w="0" w:type="dxa"/>
            <w:vAlign w:val="bottom"/>
          </w:tcPr>
          <w:p>
            <w:pPr>
              <w:spacing w:after="0"/>
              <w:rPr>
                <w:sz w:val="1"/>
                <w:szCs w:val="1"/>
                <w:color w:val="auto"/>
              </w:rPr>
            </w:pPr>
          </w:p>
        </w:tc>
      </w:tr>
      <w:tr>
        <w:trPr>
          <w:trHeight w:val="186"/>
        </w:trPr>
        <w:tc>
          <w:tcPr>
            <w:tcW w:w="6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Repayments of notes payable, credit facilities, senior notes, secured debt, term loans and finance</w:t>
            </w: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(9,450.1)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(12,429.6)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(13,230.3)</w:t>
            </w:r>
          </w:p>
        </w:tc>
        <w:tc>
          <w:tcPr>
            <w:tcW w:w="0" w:type="dxa"/>
            <w:vAlign w:val="bottom"/>
          </w:tcPr>
          <w:p>
            <w:pPr>
              <w:spacing w:after="0"/>
              <w:rPr>
                <w:sz w:val="1"/>
                <w:szCs w:val="1"/>
                <w:color w:val="auto"/>
              </w:rPr>
            </w:pPr>
          </w:p>
        </w:tc>
      </w:tr>
      <w:tr>
        <w:trPr>
          <w:trHeight w:val="214"/>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leases </w:t>
            </w:r>
            <w:r>
              <w:rPr>
                <w:rFonts w:ascii="Times New Roman" w:cs="Times New Roman" w:eastAsia="Times New Roman" w:hAnsi="Times New Roman"/>
                <w:sz w:val="16"/>
                <w:szCs w:val="16"/>
                <w:color w:val="BABCBE"/>
              </w:rPr>
              <w:t>................................................................................................................................................</w:t>
            </w: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Contributions from noncontrolling interest holders </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21"/>
                <w:szCs w:val="21"/>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148.1</w:t>
            </w:r>
          </w:p>
        </w:tc>
        <w:tc>
          <w:tcPr>
            <w:tcW w:w="80" w:type="dxa"/>
            <w:vAlign w:val="bottom"/>
            <w:shd w:val="clear" w:color="auto" w:fill="E3E4E5"/>
          </w:tcPr>
          <w:p>
            <w:pPr>
              <w:spacing w:after="0"/>
              <w:rPr>
                <w:sz w:val="21"/>
                <w:szCs w:val="21"/>
                <w:color w:val="auto"/>
              </w:rPr>
            </w:pPr>
          </w:p>
        </w:tc>
        <w:tc>
          <w:tcPr>
            <w:tcW w:w="280" w:type="dxa"/>
            <w:vAlign w:val="bottom"/>
            <w:shd w:val="clear" w:color="auto" w:fill="E3E4E5"/>
          </w:tcPr>
          <w:p>
            <w:pPr>
              <w:spacing w:after="0"/>
              <w:rPr>
                <w:sz w:val="21"/>
                <w:szCs w:val="21"/>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104.7</w:t>
            </w:r>
          </w:p>
        </w:tc>
        <w:tc>
          <w:tcPr>
            <w:tcW w:w="80" w:type="dxa"/>
            <w:vAlign w:val="bottom"/>
            <w:shd w:val="clear" w:color="auto" w:fill="E3E4E5"/>
          </w:tcPr>
          <w:p>
            <w:pPr>
              <w:spacing w:after="0"/>
              <w:rPr>
                <w:sz w:val="21"/>
                <w:szCs w:val="21"/>
                <w:color w:val="auto"/>
              </w:rPr>
            </w:pPr>
          </w:p>
        </w:tc>
        <w:tc>
          <w:tcPr>
            <w:tcW w:w="280" w:type="dxa"/>
            <w:vAlign w:val="bottom"/>
            <w:shd w:val="clear" w:color="auto" w:fill="E3E4E5"/>
          </w:tcPr>
          <w:p>
            <w:pPr>
              <w:spacing w:after="0"/>
              <w:rPr>
                <w:sz w:val="21"/>
                <w:szCs w:val="21"/>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4.1</w:t>
            </w:r>
          </w:p>
        </w:tc>
        <w:tc>
          <w:tcPr>
            <w:tcW w:w="0" w:type="dxa"/>
            <w:vAlign w:val="bottom"/>
          </w:tcPr>
          <w:p>
            <w:pPr>
              <w:spacing w:after="0"/>
              <w:rPr>
                <w:sz w:val="1"/>
                <w:szCs w:val="1"/>
                <w:color w:val="auto"/>
              </w:rPr>
            </w:pPr>
          </w:p>
        </w:tc>
      </w:tr>
      <w:tr>
        <w:trPr>
          <w:trHeight w:val="237"/>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Distributions to noncontrolling interest holders</w:t>
            </w:r>
            <w:r>
              <w:rPr>
                <w:rFonts w:ascii="Times New Roman" w:cs="Times New Roman" w:eastAsia="Times New Roman" w:hAnsi="Times New Roman"/>
                <w:sz w:val="16"/>
                <w:szCs w:val="16"/>
                <w:color w:val="BABCBE"/>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(270.8)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(390.8)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(46.5)</w:t>
            </w:r>
          </w:p>
        </w:tc>
        <w:tc>
          <w:tcPr>
            <w:tcW w:w="0" w:type="dxa"/>
            <w:vAlign w:val="bottom"/>
          </w:tcPr>
          <w:p>
            <w:pPr>
              <w:spacing w:after="0"/>
              <w:rPr>
                <w:sz w:val="1"/>
                <w:szCs w:val="1"/>
                <w:color w:val="auto"/>
              </w:rPr>
            </w:pPr>
          </w:p>
        </w:tc>
      </w:tr>
      <w:tr>
        <w:trPr>
          <w:trHeight w:val="228"/>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Purchases of common stock </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19"/>
                <w:szCs w:val="19"/>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(364.6)</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25"/>
        </w:trPr>
        <w:tc>
          <w:tcPr>
            <w:tcW w:w="6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Proceeds from stock options and employee stock purchase plan</w:t>
            </w:r>
            <w:r>
              <w:rPr>
                <w:rFonts w:ascii="Times New Roman" w:cs="Times New Roman" w:eastAsia="Times New Roman" w:hAnsi="Times New Roman"/>
                <w:sz w:val="16"/>
                <w:szCs w:val="16"/>
                <w:color w:val="BABCBE"/>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22.1</w:t>
            </w:r>
          </w:p>
        </w:tc>
        <w:tc>
          <w:tcPr>
            <w:tcW w:w="0" w:type="dxa"/>
            <w:vAlign w:val="bottom"/>
          </w:tcPr>
          <w:p>
            <w:pPr>
              <w:spacing w:after="0"/>
              <w:rPr>
                <w:sz w:val="1"/>
                <w:szCs w:val="1"/>
                <w:color w:val="auto"/>
              </w:rPr>
            </w:pPr>
          </w:p>
        </w:tc>
      </w:tr>
      <w:tr>
        <w:trPr>
          <w:trHeight w:val="240"/>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Distributions paid on common stock</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20"/>
                <w:szCs w:val="20"/>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(3,157.2)</w:t>
            </w:r>
          </w:p>
        </w:tc>
        <w:tc>
          <w:tcPr>
            <w:tcW w:w="80" w:type="dxa"/>
            <w:vAlign w:val="bottom"/>
            <w:shd w:val="clear" w:color="auto" w:fill="E3E4E5"/>
          </w:tcPr>
          <w:p>
            <w:pPr>
              <w:spacing w:after="0"/>
              <w:rPr>
                <w:sz w:val="20"/>
                <w:szCs w:val="20"/>
                <w:color w:val="auto"/>
              </w:rPr>
            </w:pPr>
          </w:p>
        </w:tc>
        <w:tc>
          <w:tcPr>
            <w:tcW w:w="280" w:type="dxa"/>
            <w:vAlign w:val="bottom"/>
            <w:shd w:val="clear" w:color="auto" w:fill="E3E4E5"/>
          </w:tcPr>
          <w:p>
            <w:pPr>
              <w:spacing w:after="0"/>
              <w:rPr>
                <w:sz w:val="20"/>
                <w:szCs w:val="20"/>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(3,074.9)</w:t>
            </w:r>
          </w:p>
        </w:tc>
        <w:tc>
          <w:tcPr>
            <w:tcW w:w="80" w:type="dxa"/>
            <w:vAlign w:val="bottom"/>
            <w:shd w:val="clear" w:color="auto" w:fill="E3E4E5"/>
          </w:tcPr>
          <w:p>
            <w:pPr>
              <w:spacing w:after="0"/>
              <w:rPr>
                <w:sz w:val="20"/>
                <w:szCs w:val="20"/>
                <w:color w:val="auto"/>
              </w:rPr>
            </w:pPr>
          </w:p>
        </w:tc>
        <w:tc>
          <w:tcPr>
            <w:tcW w:w="280" w:type="dxa"/>
            <w:vAlign w:val="bottom"/>
            <w:shd w:val="clear" w:color="auto" w:fill="E3E4E5"/>
          </w:tcPr>
          <w:p>
            <w:pPr>
              <w:spacing w:after="0"/>
              <w:rPr>
                <w:sz w:val="20"/>
                <w:szCs w:val="20"/>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(2,949.3)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E3E4E5"/>
            </w:tcBorders>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Deferred financing costs and other financing activities </w:t>
            </w:r>
            <w:r>
              <w:rPr>
                <w:rFonts w:ascii="Times New Roman" w:cs="Times New Roman" w:eastAsia="Times New Roman" w:hAnsi="Times New Roman"/>
                <w:sz w:val="16"/>
                <w:szCs w:val="16"/>
                <w:color w:val="BABCBE"/>
              </w:rPr>
              <w:t>...................................................................</w:t>
            </w:r>
          </w:p>
        </w:tc>
        <w:tc>
          <w:tcPr>
            <w:tcW w:w="3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(233.5)</w:t>
            </w:r>
          </w:p>
        </w:tc>
        <w:tc>
          <w:tcPr>
            <w:tcW w:w="8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(218.5)</w:t>
            </w:r>
          </w:p>
        </w:tc>
        <w:tc>
          <w:tcPr>
            <w:tcW w:w="8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(144.5)</w:t>
            </w:r>
          </w:p>
        </w:tc>
        <w:tc>
          <w:tcPr>
            <w:tcW w:w="0" w:type="dxa"/>
            <w:vAlign w:val="bottom"/>
          </w:tcPr>
          <w:p>
            <w:pPr>
              <w:spacing w:after="0"/>
              <w:rPr>
                <w:sz w:val="1"/>
                <w:szCs w:val="1"/>
                <w:color w:val="auto"/>
              </w:rPr>
            </w:pPr>
          </w:p>
        </w:tc>
      </w:tr>
      <w:tr>
        <w:trPr>
          <w:trHeight w:val="240"/>
        </w:trPr>
        <w:tc>
          <w:tcPr>
            <w:tcW w:w="6720" w:type="dxa"/>
            <w:vAlign w:val="bottom"/>
            <w:tcBorders>
              <w:bottom w:val="single" w:sz="8" w:color="E3E4E5"/>
            </w:tcBorders>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Cash used for financing activities </w:t>
            </w:r>
            <w:r>
              <w:rPr>
                <w:rFonts w:ascii="Times New Roman" w:cs="Times New Roman" w:eastAsia="Times New Roman" w:hAnsi="Times New Roman"/>
                <w:sz w:val="16"/>
                <w:szCs w:val="16"/>
                <w:color w:val="BABCBE"/>
              </w:rPr>
              <w:t>.............................................................................................................</w:t>
            </w:r>
          </w:p>
        </w:tc>
        <w:tc>
          <w:tcPr>
            <w:tcW w:w="320" w:type="dxa"/>
            <w:vAlign w:val="bottom"/>
            <w:tcBorders>
              <w:bottom w:val="single" w:sz="8" w:color="231F20"/>
            </w:tcBorders>
            <w:shd w:val="clear" w:color="auto" w:fill="E3E4E5"/>
          </w:tcPr>
          <w:p>
            <w:pPr>
              <w:spacing w:after="0"/>
              <w:rPr>
                <w:sz w:val="20"/>
                <w:szCs w:val="20"/>
                <w:color w:val="auto"/>
              </w:rPr>
            </w:pPr>
          </w:p>
        </w:tc>
        <w:tc>
          <w:tcPr>
            <w:tcW w:w="8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(4,208.5)</w:t>
            </w:r>
          </w:p>
        </w:tc>
        <w:tc>
          <w:tcPr>
            <w:tcW w:w="80" w:type="dxa"/>
            <w:vAlign w:val="bottom"/>
            <w:tcBorders>
              <w:bottom w:val="single" w:sz="8" w:color="E3E4E5"/>
            </w:tcBorders>
            <w:shd w:val="clear" w:color="auto" w:fill="E3E4E5"/>
          </w:tcPr>
          <w:p>
            <w:pPr>
              <w:spacing w:after="0"/>
              <w:rPr>
                <w:sz w:val="20"/>
                <w:szCs w:val="20"/>
                <w:color w:val="auto"/>
              </w:rPr>
            </w:pPr>
          </w:p>
        </w:tc>
        <w:tc>
          <w:tcPr>
            <w:tcW w:w="280" w:type="dxa"/>
            <w:vAlign w:val="bottom"/>
            <w:tcBorders>
              <w:bottom w:val="single" w:sz="8" w:color="231F20"/>
            </w:tcBorders>
            <w:shd w:val="clear" w:color="auto" w:fill="E3E4E5"/>
          </w:tcPr>
          <w:p>
            <w:pPr>
              <w:spacing w:after="0"/>
              <w:rPr>
                <w:sz w:val="20"/>
                <w:szCs w:val="20"/>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(5,452.4)</w:t>
            </w:r>
          </w:p>
        </w:tc>
        <w:tc>
          <w:tcPr>
            <w:tcW w:w="80" w:type="dxa"/>
            <w:vAlign w:val="bottom"/>
            <w:tcBorders>
              <w:bottom w:val="single" w:sz="8" w:color="E3E4E5"/>
            </w:tcBorders>
            <w:shd w:val="clear" w:color="auto" w:fill="E3E4E5"/>
          </w:tcPr>
          <w:p>
            <w:pPr>
              <w:spacing w:after="0"/>
              <w:rPr>
                <w:sz w:val="20"/>
                <w:szCs w:val="20"/>
                <w:color w:val="auto"/>
              </w:rPr>
            </w:pPr>
          </w:p>
        </w:tc>
        <w:tc>
          <w:tcPr>
            <w:tcW w:w="280" w:type="dxa"/>
            <w:vAlign w:val="bottom"/>
            <w:tcBorders>
              <w:bottom w:val="single" w:sz="8" w:color="231F20"/>
            </w:tcBorders>
            <w:shd w:val="clear" w:color="auto" w:fill="E3E4E5"/>
          </w:tcPr>
          <w:p>
            <w:pPr>
              <w:spacing w:after="0"/>
              <w:rPr>
                <w:sz w:val="20"/>
                <w:szCs w:val="20"/>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(3,097.4)</w:t>
            </w:r>
          </w:p>
        </w:tc>
        <w:tc>
          <w:tcPr>
            <w:tcW w:w="0" w:type="dxa"/>
            <w:vAlign w:val="bottom"/>
          </w:tcPr>
          <w:p>
            <w:pPr>
              <w:spacing w:after="0"/>
              <w:rPr>
                <w:sz w:val="1"/>
                <w:szCs w:val="1"/>
                <w:color w:val="auto"/>
              </w:rPr>
            </w:pPr>
          </w:p>
        </w:tc>
      </w:tr>
      <w:tr>
        <w:trPr>
          <w:trHeight w:val="156"/>
        </w:trPr>
        <w:tc>
          <w:tcPr>
            <w:tcW w:w="672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color w:val="231F20"/>
              </w:rPr>
              <w:t>Net effect of changes in foreign currency exchange rates on cash and cash equivalents, and restricted</w:t>
            </w:r>
          </w:p>
        </w:tc>
        <w:tc>
          <w:tcPr>
            <w:tcW w:w="3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101.3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(233.9)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31F20"/>
              </w:rPr>
              <w:t>23.2</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E3E4E5"/>
            </w:tcBorders>
          </w:tcPr>
          <w:p>
            <w:pPr>
              <w:jc w:val="right"/>
              <w:ind w:right="60"/>
              <w:spacing w:after="0"/>
              <w:rPr>
                <w:sz w:val="20"/>
                <w:szCs w:val="20"/>
                <w:color w:val="auto"/>
              </w:rPr>
            </w:pPr>
            <w:r>
              <w:rPr>
                <w:rFonts w:ascii="Times New Roman" w:cs="Times New Roman" w:eastAsia="Times New Roman" w:hAnsi="Times New Roman"/>
                <w:sz w:val="16"/>
                <w:szCs w:val="16"/>
                <w:color w:val="231F20"/>
              </w:rPr>
              <w:t>cash</w:t>
            </w:r>
            <w:r>
              <w:rPr>
                <w:rFonts w:ascii="Times New Roman" w:cs="Times New Roman" w:eastAsia="Times New Roman" w:hAnsi="Times New Roman"/>
                <w:sz w:val="16"/>
                <w:szCs w:val="16"/>
                <w:color w:val="BABCBE"/>
              </w:rPr>
              <w:t>............................................................................................................................................................</w:t>
            </w:r>
          </w:p>
        </w:tc>
        <w:tc>
          <w:tcPr>
            <w:tcW w:w="32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E3E4E5"/>
          </w:tcPr>
          <w:p>
            <w:pPr>
              <w:ind w:left="60"/>
              <w:spacing w:after="0" w:line="176" w:lineRule="exact"/>
              <w:rPr>
                <w:sz w:val="20"/>
                <w:szCs w:val="20"/>
                <w:color w:val="auto"/>
              </w:rPr>
            </w:pPr>
            <w:r>
              <w:rPr>
                <w:rFonts w:ascii="Times New Roman" w:cs="Times New Roman" w:eastAsia="Times New Roman" w:hAnsi="Times New Roman"/>
                <w:sz w:val="16"/>
                <w:szCs w:val="16"/>
                <w:color w:val="231F20"/>
              </w:rPr>
              <w:t>NET (DECREASE) INCREASE IN CASH AND CASH EQUIVALENTS, AND RESTRICTED</w:t>
            </w:r>
          </w:p>
        </w:tc>
        <w:tc>
          <w:tcPr>
            <w:tcW w:w="320" w:type="dxa"/>
            <w:vAlign w:val="bottom"/>
            <w:shd w:val="clear" w:color="auto" w:fill="E3E4E5"/>
          </w:tcPr>
          <w:p>
            <w:pPr>
              <w:spacing w:after="0"/>
              <w:rPr>
                <w:sz w:val="15"/>
                <w:szCs w:val="15"/>
                <w:color w:val="auto"/>
              </w:rPr>
            </w:pPr>
          </w:p>
        </w:tc>
        <w:tc>
          <w:tcPr>
            <w:tcW w:w="80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(503.0)</w:t>
            </w:r>
          </w:p>
        </w:tc>
        <w:tc>
          <w:tcPr>
            <w:tcW w:w="80" w:type="dxa"/>
            <w:vAlign w:val="bottom"/>
            <w:shd w:val="clear" w:color="auto" w:fill="E3E4E5"/>
          </w:tcPr>
          <w:p>
            <w:pPr>
              <w:spacing w:after="0"/>
              <w:rPr>
                <w:sz w:val="15"/>
                <w:szCs w:val="15"/>
                <w:color w:val="auto"/>
              </w:rPr>
            </w:pPr>
          </w:p>
        </w:tc>
        <w:tc>
          <w:tcPr>
            <w:tcW w:w="280" w:type="dxa"/>
            <w:vAlign w:val="bottom"/>
            <w:shd w:val="clear" w:color="auto" w:fill="E3E4E5"/>
          </w:tcPr>
          <w:p>
            <w:pPr>
              <w:spacing w:after="0"/>
              <w:rPr>
                <w:sz w:val="15"/>
                <w:szCs w:val="15"/>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14.8</w:t>
            </w:r>
          </w:p>
        </w:tc>
        <w:tc>
          <w:tcPr>
            <w:tcW w:w="80" w:type="dxa"/>
            <w:vAlign w:val="bottom"/>
            <w:shd w:val="clear" w:color="auto" w:fill="E3E4E5"/>
          </w:tcPr>
          <w:p>
            <w:pPr>
              <w:spacing w:after="0"/>
              <w:rPr>
                <w:sz w:val="15"/>
                <w:szCs w:val="15"/>
                <w:color w:val="auto"/>
              </w:rPr>
            </w:pPr>
          </w:p>
        </w:tc>
        <w:tc>
          <w:tcPr>
            <w:tcW w:w="280" w:type="dxa"/>
            <w:vAlign w:val="bottom"/>
            <w:shd w:val="clear" w:color="auto" w:fill="E3E4E5"/>
          </w:tcPr>
          <w:p>
            <w:pPr>
              <w:spacing w:after="0"/>
              <w:rPr>
                <w:sz w:val="15"/>
                <w:szCs w:val="15"/>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(47.3)</w:t>
            </w:r>
          </w:p>
        </w:tc>
        <w:tc>
          <w:tcPr>
            <w:tcW w:w="0" w:type="dxa"/>
            <w:vAlign w:val="bottom"/>
          </w:tcPr>
          <w:p>
            <w:pPr>
              <w:spacing w:after="0"/>
              <w:rPr>
                <w:sz w:val="1"/>
                <w:szCs w:val="1"/>
                <w:color w:val="auto"/>
              </w:rPr>
            </w:pPr>
          </w:p>
        </w:tc>
      </w:tr>
      <w:tr>
        <w:trPr>
          <w:trHeight w:val="189"/>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 xml:space="preserve">CASH </w:t>
            </w:r>
            <w:r>
              <w:rPr>
                <w:rFonts w:ascii="Times New Roman" w:cs="Times New Roman" w:eastAsia="Times New Roman" w:hAnsi="Times New Roman"/>
                <w:sz w:val="16"/>
                <w:szCs w:val="16"/>
                <w:color w:val="BABCBE"/>
              </w:rPr>
              <w:t>........................................................................................................................................................</w:t>
            </w:r>
          </w:p>
        </w:tc>
        <w:tc>
          <w:tcPr>
            <w:tcW w:w="320" w:type="dxa"/>
            <w:vAlign w:val="bottom"/>
            <w:shd w:val="clear" w:color="auto" w:fill="E3E4E5"/>
          </w:tcPr>
          <w:p>
            <w:pPr>
              <w:spacing w:after="0"/>
              <w:rPr>
                <w:sz w:val="16"/>
                <w:szCs w:val="16"/>
                <w:color w:val="auto"/>
              </w:rPr>
            </w:pPr>
          </w:p>
        </w:tc>
        <w:tc>
          <w:tcPr>
            <w:tcW w:w="800" w:type="dxa"/>
            <w:vAlign w:val="bottom"/>
            <w:vMerge w:val="continue"/>
            <w:shd w:val="clear" w:color="auto" w:fill="E3E4E5"/>
          </w:tcPr>
          <w:p>
            <w:pPr>
              <w:spacing w:after="0"/>
              <w:rPr>
                <w:sz w:val="16"/>
                <w:szCs w:val="16"/>
                <w:color w:val="auto"/>
              </w:rPr>
            </w:pPr>
          </w:p>
        </w:tc>
        <w:tc>
          <w:tcPr>
            <w:tcW w:w="80" w:type="dxa"/>
            <w:vAlign w:val="bottom"/>
            <w:shd w:val="clear" w:color="auto" w:fill="E3E4E5"/>
          </w:tcPr>
          <w:p>
            <w:pPr>
              <w:spacing w:after="0"/>
              <w:rPr>
                <w:sz w:val="16"/>
                <w:szCs w:val="16"/>
                <w:color w:val="auto"/>
              </w:rPr>
            </w:pPr>
          </w:p>
        </w:tc>
        <w:tc>
          <w:tcPr>
            <w:tcW w:w="280" w:type="dxa"/>
            <w:vAlign w:val="bottom"/>
            <w:shd w:val="clear" w:color="auto" w:fill="E3E4E5"/>
          </w:tcPr>
          <w:p>
            <w:pPr>
              <w:spacing w:after="0"/>
              <w:rPr>
                <w:sz w:val="16"/>
                <w:szCs w:val="16"/>
                <w:color w:val="auto"/>
              </w:rPr>
            </w:pPr>
          </w:p>
        </w:tc>
        <w:tc>
          <w:tcPr>
            <w:tcW w:w="840" w:type="dxa"/>
            <w:vAlign w:val="bottom"/>
            <w:vMerge w:val="continue"/>
            <w:shd w:val="clear" w:color="auto" w:fill="E3E4E5"/>
          </w:tcPr>
          <w:p>
            <w:pPr>
              <w:spacing w:after="0"/>
              <w:rPr>
                <w:sz w:val="16"/>
                <w:szCs w:val="16"/>
                <w:color w:val="auto"/>
              </w:rPr>
            </w:pPr>
          </w:p>
        </w:tc>
        <w:tc>
          <w:tcPr>
            <w:tcW w:w="80" w:type="dxa"/>
            <w:vAlign w:val="bottom"/>
            <w:shd w:val="clear" w:color="auto" w:fill="E3E4E5"/>
          </w:tcPr>
          <w:p>
            <w:pPr>
              <w:spacing w:after="0"/>
              <w:rPr>
                <w:sz w:val="16"/>
                <w:szCs w:val="16"/>
                <w:color w:val="auto"/>
              </w:rPr>
            </w:pPr>
          </w:p>
        </w:tc>
        <w:tc>
          <w:tcPr>
            <w:tcW w:w="280" w:type="dxa"/>
            <w:vAlign w:val="bottom"/>
            <w:shd w:val="clear" w:color="auto" w:fill="E3E4E5"/>
          </w:tcPr>
          <w:p>
            <w:pPr>
              <w:spacing w:after="0"/>
              <w:rPr>
                <w:sz w:val="16"/>
                <w:szCs w:val="16"/>
                <w:color w:val="auto"/>
              </w:rPr>
            </w:pPr>
          </w:p>
        </w:tc>
        <w:tc>
          <w:tcPr>
            <w:tcW w:w="840" w:type="dxa"/>
            <w:vAlign w:val="bottom"/>
            <w:vMerge w:val="continue"/>
            <w:shd w:val="clear" w:color="auto" w:fill="E3E4E5"/>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E3E4E5"/>
            </w:tcBorders>
          </w:tcPr>
          <w:p>
            <w:pPr>
              <w:jc w:val="right"/>
              <w:ind w:right="60"/>
              <w:spacing w:after="0"/>
              <w:rPr>
                <w:sz w:val="20"/>
                <w:szCs w:val="20"/>
                <w:color w:val="auto"/>
              </w:rPr>
            </w:pPr>
            <w:r>
              <w:rPr>
                <w:rFonts w:ascii="Times New Roman" w:cs="Times New Roman" w:eastAsia="Times New Roman" w:hAnsi="Times New Roman"/>
                <w:sz w:val="16"/>
                <w:szCs w:val="16"/>
                <w:color w:val="231F20"/>
              </w:rPr>
              <w:t>CASH AND CASH EQUIVALENTS, AND RESTRICTED CASH, BEGINNING OF YEAR</w:t>
            </w:r>
            <w:r>
              <w:rPr>
                <w:rFonts w:ascii="Times New Roman" w:cs="Times New Roman" w:eastAsia="Times New Roman" w:hAnsi="Times New Roman"/>
                <w:sz w:val="16"/>
                <w:szCs w:val="16"/>
                <w:color w:val="BABCBE"/>
              </w:rPr>
              <w:t>.............</w:t>
            </w:r>
          </w:p>
        </w:tc>
        <w:tc>
          <w:tcPr>
            <w:tcW w:w="3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2,108.2</w:t>
            </w:r>
          </w:p>
        </w:tc>
        <w:tc>
          <w:tcPr>
            <w:tcW w:w="8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2,093.4</w:t>
            </w:r>
          </w:p>
        </w:tc>
        <w:tc>
          <w:tcPr>
            <w:tcW w:w="80" w:type="dxa"/>
            <w:vAlign w:val="bottom"/>
            <w:tcBorders>
              <w:bottom w:val="single" w:sz="8" w:color="E3E4E5"/>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2,140.7</w:t>
            </w:r>
          </w:p>
        </w:tc>
        <w:tc>
          <w:tcPr>
            <w:tcW w:w="0" w:type="dxa"/>
            <w:vAlign w:val="bottom"/>
          </w:tcPr>
          <w:p>
            <w:pPr>
              <w:spacing w:after="0"/>
              <w:rPr>
                <w:sz w:val="1"/>
                <w:szCs w:val="1"/>
                <w:color w:val="auto"/>
              </w:rPr>
            </w:pPr>
          </w:p>
        </w:tc>
      </w:tr>
      <w:tr>
        <w:trPr>
          <w:trHeight w:val="220"/>
        </w:trPr>
        <w:tc>
          <w:tcPr>
            <w:tcW w:w="67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16"/>
                <w:szCs w:val="16"/>
                <w:color w:val="231F20"/>
              </w:rPr>
              <w:t>CASH AND CASH EQUIVALENTS, AND RESTRICTED CASH, END OF YEAR</w:t>
            </w:r>
            <w:r>
              <w:rPr>
                <w:rFonts w:ascii="Times New Roman" w:cs="Times New Roman" w:eastAsia="Times New Roman" w:hAnsi="Times New Roman"/>
                <w:sz w:val="16"/>
                <w:szCs w:val="16"/>
                <w:color w:val="BABCBE"/>
              </w:rPr>
              <w:t>...........................</w:t>
            </w:r>
          </w:p>
        </w:tc>
        <w:tc>
          <w:tcPr>
            <w:tcW w:w="320" w:type="dxa"/>
            <w:vAlign w:val="bottom"/>
            <w:shd w:val="clear" w:color="auto" w:fill="E3E4E5"/>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1,605.2</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2,108.2</w:t>
            </w:r>
          </w:p>
        </w:tc>
        <w:tc>
          <w:tcPr>
            <w:tcW w:w="36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16"/>
                <w:szCs w:val="16"/>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2,093.4</w:t>
            </w:r>
          </w:p>
        </w:tc>
        <w:tc>
          <w:tcPr>
            <w:tcW w:w="0" w:type="dxa"/>
            <w:vAlign w:val="bottom"/>
          </w:tcPr>
          <w:p>
            <w:pPr>
              <w:spacing w:after="0"/>
              <w:rPr>
                <w:sz w:val="1"/>
                <w:szCs w:val="1"/>
                <w:color w:val="auto"/>
              </w:rPr>
            </w:pPr>
          </w:p>
        </w:tc>
      </w:tr>
      <w:tr>
        <w:trPr>
          <w:trHeight w:val="20"/>
        </w:trPr>
        <w:tc>
          <w:tcPr>
            <w:tcW w:w="672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-3021965</wp:posOffset>
            </wp:positionV>
            <wp:extent cx="226377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6">
                      <a:extLst>
                        <a:ext uri="{28A0092B-C50C-407E-A947-70E740481C1C}"/>
                      </a:extLst>
                    </a:blip>
                    <a:srcRect/>
                    <a:stretch>
                      <a:fillRect/>
                    </a:stretch>
                  </pic:blipFill>
                  <pic:spPr bwMode="auto">
                    <a:xfrm>
                      <a:off x="0" y="0"/>
                      <a:ext cx="2263775" cy="254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-2869565</wp:posOffset>
            </wp:positionV>
            <wp:extent cx="226377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7">
                      <a:extLst>
                        <a:ext uri="{28A0092B-C50C-407E-A947-70E740481C1C}"/>
                      </a:extLst>
                    </a:blip>
                    <a:srcRect/>
                    <a:stretch>
                      <a:fillRect/>
                    </a:stretch>
                  </pic:blipFill>
                  <pic:spPr bwMode="auto">
                    <a:xfrm>
                      <a:off x="0" y="0"/>
                      <a:ext cx="2263775" cy="254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-983615</wp:posOffset>
            </wp:positionV>
            <wp:extent cx="226377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8">
                      <a:extLst>
                        <a:ext uri="{28A0092B-C50C-407E-A947-70E740481C1C}"/>
                      </a:extLst>
                    </a:blip>
                    <a:srcRect/>
                    <a:stretch>
                      <a:fillRect/>
                    </a:stretch>
                  </pic:blipFill>
                  <pic:spPr bwMode="auto">
                    <a:xfrm>
                      <a:off x="0" y="0"/>
                      <a:ext cx="2263775" cy="254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-831215</wp:posOffset>
            </wp:positionV>
            <wp:extent cx="226377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9">
                      <a:extLst>
                        <a:ext uri="{28A0092B-C50C-407E-A947-70E740481C1C}"/>
                      </a:extLst>
                    </a:blip>
                    <a:srcRect/>
                    <a:stretch>
                      <a:fillRect/>
                    </a:stretch>
                  </pic:blipFill>
                  <pic:spPr bwMode="auto">
                    <a:xfrm>
                      <a:off x="0" y="0"/>
                      <a:ext cx="2263775" cy="254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-574040</wp:posOffset>
            </wp:positionV>
            <wp:extent cx="226377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0">
                      <a:extLst>
                        <a:ext uri="{28A0092B-C50C-407E-A947-70E740481C1C}"/>
                      </a:extLst>
                    </a:blip>
                    <a:srcRect/>
                    <a:stretch>
                      <a:fillRect/>
                    </a:stretch>
                  </pic:blipFill>
                  <pic:spPr bwMode="auto">
                    <a:xfrm>
                      <a:off x="0" y="0"/>
                      <a:ext cx="2263775" cy="254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-183515</wp:posOffset>
            </wp:positionV>
            <wp:extent cx="226377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1">
                      <a:extLst>
                        <a:ext uri="{28A0092B-C50C-407E-A947-70E740481C1C}"/>
                      </a:extLst>
                    </a:blip>
                    <a:srcRect/>
                    <a:stretch>
                      <a:fillRect/>
                    </a:stretch>
                  </pic:blipFill>
                  <pic:spPr bwMode="auto">
                    <a:xfrm>
                      <a:off x="0" y="0"/>
                      <a:ext cx="2263775" cy="254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-43815</wp:posOffset>
            </wp:positionV>
            <wp:extent cx="226377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2">
                      <a:extLst>
                        <a:ext uri="{28A0092B-C50C-407E-A947-70E740481C1C}"/>
                      </a:extLst>
                    </a:blip>
                    <a:srcRect/>
                    <a:stretch>
                      <a:fillRect/>
                    </a:stretch>
                  </pic:blipFill>
                  <pic:spPr bwMode="auto">
                    <a:xfrm>
                      <a:off x="0" y="0"/>
                      <a:ext cx="2263775" cy="2540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consolidated financial statements.</w:t>
      </w:r>
    </w:p>
    <w:p>
      <w:pPr>
        <w:sectPr>
          <w:pgSz w:w="11880" w:h="15480" w:orient="portrait"/>
          <w:cols w:equalWidth="0" w:num="1">
            <w:col w:w="10240"/>
          </w:cols>
          <w:pgMar w:left="820" w:top="386"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1880" w:h="15480" w:orient="portrait"/>
          <w:cols w:equalWidth="0" w:num="1">
            <w:col w:w="10240"/>
          </w:cols>
          <w:pgMar w:left="820" w:top="386" w:right="820" w:bottom="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31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231F20"/>
        </w:rPr>
        <w:t>1.</w:t>
      </w:r>
      <w:r>
        <w:rPr>
          <w:sz w:val="20"/>
          <w:szCs w:val="20"/>
          <w:color w:val="auto"/>
        </w:rPr>
        <w:tab/>
      </w:r>
      <w:r>
        <w:rPr>
          <w:rFonts w:ascii="Times New Roman" w:cs="Times New Roman" w:eastAsia="Times New Roman" w:hAnsi="Times New Roman"/>
          <w:sz w:val="19"/>
          <w:szCs w:val="19"/>
          <w:b w:val="1"/>
          <w:bCs w:val="1"/>
          <w:color w:val="231F20"/>
        </w:rPr>
        <w:t>BUSINESS AND SUMMARY OF SIGNIFICANT ACCOUNTING POLICIES</w:t>
      </w:r>
    </w:p>
    <w:p>
      <w:pPr>
        <w:spacing w:after="0" w:line="2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i w:val="1"/>
          <w:iCs w:val="1"/>
          <w:color w:val="231F20"/>
        </w:rPr>
        <w:t>Business</w:t>
      </w:r>
      <w:r>
        <w:rPr>
          <w:rFonts w:ascii="Times New Roman" w:cs="Times New Roman" w:eastAsia="Times New Roman" w:hAnsi="Times New Roman"/>
          <w:sz w:val="20"/>
          <w:szCs w:val="20"/>
          <w:color w:val="231F20"/>
        </w:rPr>
        <w:t>—American Tower Corporation (together with its subsidiaries, “ATC” or the “Company”) is one of the largest global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real estate investment trusts and a leading independent owner, operator and developer of multitenant communications real estate. The Company’s primary business is the leasing of space on communications sites to wireless service providers, radio and television broadcast companies, wireless data providers, government agencies and municipalities and tenants in a number of other industries. The Company refers to this business, inclusive of its data center business discussed below, as its property operations. Additionally, the Company offers tower-related services in the United States, which the Company refers to as its services operations. These services include site application, zoning and permitting (“AZP”), structural and mount analyses, and construction management services, together with program management offerings that support customer deployment needs from project scoping through construction. The Company’s services operations primarily support the Company’s site leasing business, including through the addition of new tenants and equipment on its sites. The Company’s customers include its tenants, licensees and other payers.</w:t>
      </w:r>
    </w:p>
    <w:p>
      <w:pPr>
        <w:spacing w:after="0" w:line="13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The Company’s portfolio primarily consists of towers that it owns and towers that it operates pursuant to long-term lease arrangements, as well as distributed antenna system (“DAS”) networks, which provide seamless coverage solutions in certain in-building and outdoor wireless environments. In addition to the communications sites in its portfolio, the Company manages rooftop and tower sites for property owners under various contractual arrangements. The Company also holds other telecommunications infrastructure, fiber and property interests that it leases primarily to communications service providers and third-party tower operators and holds a portfolio of highly interconnected data center facilities and related assets in the United States that the Company provides for the leasing of space primarily to enterprises, network operators, cloud providers and supporting service providers.</w:t>
      </w:r>
    </w:p>
    <w:p>
      <w:pPr>
        <w:spacing w:after="0" w:line="13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231F20"/>
        </w:rPr>
        <w:t>American Tower Corporation is a holding company that conducts its operations through its directly and indirectly owned subsidiaries and joint ventures. ATC’s principal domestic operating subsidiaries are American Towers LLC and SpectraSite Communications, LLC. ATC conducts its international operations primarily through its subsidiary, American Tower International, Inc., which in turn conducts operations through its various international holding and operating subsidiaries and joint ventures.</w:t>
      </w:r>
    </w:p>
    <w:p>
      <w:pPr>
        <w:spacing w:after="0" w:line="1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231F20"/>
        </w:rPr>
        <w:t>The Company operates as a real estate investment trust for U.S. federal income tax purposes (“REIT”). Accordingly, the Company generally is not required to pay U.S. federal income taxes on income generated by its REIT operations, including the income derived from leasing space on its towers and in its data centers, as it receives a dividends paid deduction for distributions to stockholders that offsets its REIT taxable income and gains. However, the Company remains obligated to pay U.S. federal income taxes on earnings from its domestic taxable REIT subsidiaries (“TRSs”). In addition, the Company’s international assets and operations, regardless of their classification for U.S. tax purposes, continue to be subject to taxation in the jurisdictions where those assets are held or those operations are conducted.</w:t>
      </w:r>
    </w:p>
    <w:p>
      <w:pPr>
        <w:spacing w:after="0" w:line="12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231F20"/>
        </w:rPr>
        <w:t>The use of TRSs enables the Company to continue to engage in certain businesses and jurisdictions while complying with REIT qualification requirements. The Company may, from time to time, change the election of previously designated TRSs to be included as part of the REIT. As of December 31, 2025, the Company’s REIT-qualified businesses included its U.S. tower leasing business, a majority of its U.S. DAS networks business, its Services and Data Centers segments, as well as most of its operations in Canada, Costa Rica, France, Germany, Ghana, Kenya, Mexico, Nigeria, South Africa, Spain and Uganda.</w:t>
      </w:r>
    </w:p>
    <w:p>
      <w:pPr>
        <w:spacing w:after="0" w:line="11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i w:val="1"/>
          <w:iCs w:val="1"/>
          <w:color w:val="231F20"/>
        </w:rPr>
        <w:t>Principles of Consolidation and Basis of Presentation</w:t>
      </w:r>
      <w:r>
        <w:rPr>
          <w:rFonts w:ascii="Times New Roman" w:cs="Times New Roman" w:eastAsia="Times New Roman" w:hAnsi="Times New Roman"/>
          <w:sz w:val="20"/>
          <w:szCs w:val="20"/>
          <w:color w:val="231F20"/>
        </w:rPr>
        <w:t>—The accompanying consolidated financial statements include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accounts of the Company and those entities in which it has a controlling interest. Investments in entities that the Company does not control are accounted for using the equity method or as investments in equity securities, depending upon the Company’s ability to exercise significant influence over operating and financial policies. All intercompany accounts and transactions have been eliminated.</w:t>
      </w:r>
    </w:p>
    <w:p>
      <w:pPr>
        <w:spacing w:after="0" w:line="12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231F20"/>
        </w:rPr>
        <w:t>As of December 31, 2025, the Company holds (i) a 52% controlling interest in subsidiaries whose holdings consist of the Company’s operations in France, Germany and Spain (such subsidiaries collectively, “ATC Europe”) (Allianz and La Caisse (each as defined in note 14) hold the noncontrolling interests), (ii) a 51% controlling interest in a joint venture whose holdings consist of the Company’s operations in Bangladesh (Confidence Tower Holdings Ltd. (“Confidence Group”) holds the noncontrolling interest) and (iii) a controlling common equity interest of approximately 71% in the Company’s U.S. data center business (Stonepeak (as defined and further discussed in note 14) holds approximately 29% of the outstanding common equity and 100% of the outstanding mandatorily convertible preferred equity). As of December 31, 2025, ATC Europe holds an 87% and an 83% controlling interest in subsidiaries that consist of the Company’s operations in Germany and Spain, respectively</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F-8</w:t>
      </w:r>
    </w:p>
    <w:p>
      <w:pPr>
        <w:sectPr>
          <w:pgSz w:w="11880" w:h="15480" w:orient="portrait"/>
          <w:cols w:equalWidth="0" w:num="1">
            <w:col w:w="10040"/>
          </w:cols>
          <w:pgMar w:left="920" w:top="418" w:right="920" w:bottom="0" w:gutter="0" w:footer="0" w:header="0"/>
          <w:type w:val="continuous"/>
        </w:sectPr>
      </w:pPr>
    </w:p>
    <w:bookmarkStart w:id="98" w:name="page99"/>
    <w:bookmarkEnd w:id="98"/>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160"/>
        <w:spacing w:after="0" w:line="273" w:lineRule="auto"/>
        <w:rPr>
          <w:sz w:val="20"/>
          <w:szCs w:val="20"/>
          <w:color w:val="auto"/>
        </w:rPr>
      </w:pPr>
      <w:r>
        <w:rPr>
          <w:rFonts w:ascii="Times New Roman" w:cs="Times New Roman" w:eastAsia="Times New Roman" w:hAnsi="Times New Roman"/>
          <w:sz w:val="20"/>
          <w:szCs w:val="20"/>
          <w:color w:val="231F20"/>
        </w:rPr>
        <w:t>(PGGM holds the noncontrolling interests). See note 14 for a discussion of changes to the Company’s noncontrolling interests during the years ended December 31, 2025 and 2024.</w:t>
      </w:r>
    </w:p>
    <w:p>
      <w:pPr>
        <w:spacing w:after="0" w:line="102" w:lineRule="exact"/>
        <w:rPr>
          <w:sz w:val="20"/>
          <w:szCs w:val="20"/>
          <w:color w:val="auto"/>
        </w:rPr>
      </w:pPr>
    </w:p>
    <w:p>
      <w:pPr>
        <w:ind w:left="7" w:right="80"/>
        <w:spacing w:after="0" w:line="271" w:lineRule="auto"/>
        <w:rPr>
          <w:sz w:val="20"/>
          <w:szCs w:val="20"/>
          <w:color w:val="auto"/>
        </w:rPr>
      </w:pPr>
      <w:r>
        <w:rPr>
          <w:rFonts w:ascii="Times New Roman" w:cs="Times New Roman" w:eastAsia="Times New Roman" w:hAnsi="Times New Roman"/>
          <w:sz w:val="19"/>
          <w:szCs w:val="19"/>
          <w:i w:val="1"/>
          <w:iCs w:val="1"/>
          <w:color w:val="231F20"/>
        </w:rPr>
        <w:t>Sale of South Africa Fiber</w:t>
      </w:r>
      <w:r>
        <w:rPr>
          <w:rFonts w:ascii="Times New Roman" w:cs="Times New Roman" w:eastAsia="Times New Roman" w:hAnsi="Times New Roman"/>
          <w:sz w:val="19"/>
          <w:szCs w:val="19"/>
          <w:color w:val="231F20"/>
        </w:rPr>
        <w:t>—On March 6, 2025, the Company, through its subsidiary ATC South Africa Wireless Infrastructure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Proprietary Limited, completed the sale of its fiber assets in South Africa (“South Africa Fiber”) for total consideration of</w:t>
      </w:r>
    </w:p>
    <w:p>
      <w:pPr>
        <w:ind w:left="7" w:right="80"/>
        <w:spacing w:after="0" w:line="262" w:lineRule="auto"/>
        <w:rPr>
          <w:sz w:val="20"/>
          <w:szCs w:val="20"/>
          <w:color w:val="auto"/>
        </w:rPr>
      </w:pPr>
      <w:r>
        <w:rPr>
          <w:rFonts w:ascii="Times New Roman" w:cs="Times New Roman" w:eastAsia="Times New Roman" w:hAnsi="Times New Roman"/>
          <w:sz w:val="19"/>
          <w:szCs w:val="19"/>
          <w:color w:val="231F20"/>
        </w:rPr>
        <w:t>2.5 billion South African Rand (“ZAR”) (approximately $137.7 million at the date of closing), resulting in a gain on the sale of approximately $53.6 million, which is included in Other operating income in the accompanying consolidated statements of operations. As a result of the transaction, the Company disposed of $6.1 million of goodwill based on the relative fair value of South Africa Fiber and the portion of the applicable goodwill reporting unit that was expected to be retained. Prior to the divestiture, South Africa Fiber’s operating results were included within the Africa &amp; APAC property segment.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294"/>
        </w:trPr>
        <w:tc>
          <w:tcPr>
            <w:tcW w:w="77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Proceeds received at closing</w:t>
            </w:r>
          </w:p>
        </w:tc>
        <w:tc>
          <w:tcPr>
            <w:tcW w:w="900" w:type="dxa"/>
            <w:vAlign w:val="bottom"/>
            <w:shd w:val="clear" w:color="auto" w:fill="E3E4E5"/>
          </w:tcPr>
          <w:p>
            <w:pPr>
              <w:jc w:val="right"/>
              <w:ind w:right="642"/>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137.7</w:t>
            </w:r>
          </w:p>
        </w:tc>
      </w:tr>
      <w:tr>
        <w:trPr>
          <w:trHeight w:val="298"/>
        </w:trPr>
        <w:tc>
          <w:tcPr>
            <w:tcW w:w="776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Net assets at closing</w:t>
            </w:r>
          </w:p>
        </w:tc>
        <w:tc>
          <w:tcPr>
            <w:tcW w:w="90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(84.1)</w:t>
            </w:r>
          </w:p>
        </w:tc>
      </w:tr>
      <w:tr>
        <w:trPr>
          <w:trHeight w:val="308"/>
        </w:trPr>
        <w:tc>
          <w:tcPr>
            <w:tcW w:w="77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Total gain on sale included in Other operating expenses (1)</w:t>
            </w:r>
          </w:p>
        </w:tc>
        <w:tc>
          <w:tcPr>
            <w:tcW w:w="900" w:type="dxa"/>
            <w:vAlign w:val="bottom"/>
            <w:tcBorders>
              <w:bottom w:val="single" w:sz="8" w:color="231F20"/>
            </w:tcBorders>
            <w:shd w:val="clear" w:color="auto" w:fill="E3E4E5"/>
          </w:tcPr>
          <w:p>
            <w:pPr>
              <w:jc w:val="right"/>
              <w:ind w:right="642"/>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53.6</w:t>
            </w:r>
          </w:p>
        </w:tc>
      </w:tr>
      <w:tr>
        <w:trPr>
          <w:trHeight w:val="179"/>
        </w:trPr>
        <w:tc>
          <w:tcPr>
            <w:tcW w:w="7760" w:type="dxa"/>
            <w:vAlign w:val="bottom"/>
          </w:tcPr>
          <w:p>
            <w:pPr>
              <w:jc w:val="right"/>
              <w:ind w:right="6792"/>
              <w:spacing w:after="0"/>
              <w:rPr>
                <w:sz w:val="20"/>
                <w:szCs w:val="20"/>
                <w:color w:val="auto"/>
              </w:rPr>
            </w:pPr>
            <w:r>
              <w:rPr>
                <w:rFonts w:ascii="Times New Roman" w:cs="Times New Roman" w:eastAsia="Times New Roman" w:hAnsi="Times New Roman"/>
                <w:sz w:val="12"/>
                <w:szCs w:val="12"/>
                <w:color w:val="231F20"/>
                <w:w w:val="95"/>
              </w:rPr>
              <w:t>_______________</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-340360</wp:posOffset>
            </wp:positionV>
            <wp:extent cx="13976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3">
                      <a:extLst>
                        <a:ext uri="{28A0092B-C50C-407E-A947-70E740481C1C}"/>
                      </a:extLst>
                    </a:blip>
                    <a:srcRect/>
                    <a:stretch>
                      <a:fillRect/>
                    </a:stretch>
                  </pic:blipFill>
                  <pic:spPr bwMode="auto">
                    <a:xfrm>
                      <a:off x="0" y="0"/>
                      <a:ext cx="1397635" cy="2540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-156845</wp:posOffset>
            </wp:positionV>
            <wp:extent cx="1397635" cy="50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4">
                      <a:extLst>
                        <a:ext uri="{28A0092B-C50C-407E-A947-70E740481C1C}"/>
                      </a:extLst>
                    </a:blip>
                    <a:srcRect/>
                    <a:stretch>
                      <a:fillRect/>
                    </a:stretch>
                  </pic:blipFill>
                  <pic:spPr bwMode="auto">
                    <a:xfrm>
                      <a:off x="0" y="0"/>
                      <a:ext cx="1397635" cy="50165"/>
                    </a:xfrm>
                    <a:prstGeom prst="rect">
                      <a:avLst/>
                    </a:prstGeom>
                    <a:noFill/>
                  </pic:spPr>
                </pic:pic>
              </a:graphicData>
            </a:graphic>
          </wp:anchor>
        </w:drawing>
      </w:r>
    </w:p>
    <w:p>
      <w:pPr>
        <w:ind w:left="347" w:hanging="347"/>
        <w:spacing w:after="0"/>
        <w:tabs>
          <w:tab w:leader="none" w:pos="347" w:val="left"/>
        </w:tabs>
        <w:numPr>
          <w:ilvl w:val="0"/>
          <w:numId w:val="7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348.7 million ZAR (approximately $19.2 million at the date of closing) of taxes.</w:t>
      </w:r>
    </w:p>
    <w:p>
      <w:pPr>
        <w:spacing w:after="0" w:line="129" w:lineRule="exact"/>
        <w:rPr>
          <w:sz w:val="20"/>
          <w:szCs w:val="20"/>
          <w:color w:val="auto"/>
        </w:rPr>
      </w:pPr>
    </w:p>
    <w:p>
      <w:pPr>
        <w:ind w:left="7" w:right="200"/>
        <w:spacing w:after="0" w:line="255" w:lineRule="auto"/>
        <w:rPr>
          <w:sz w:val="20"/>
          <w:szCs w:val="20"/>
          <w:color w:val="auto"/>
        </w:rPr>
      </w:pPr>
      <w:r>
        <w:rPr>
          <w:rFonts w:ascii="Times New Roman" w:cs="Times New Roman" w:eastAsia="Times New Roman" w:hAnsi="Times New Roman"/>
          <w:sz w:val="20"/>
          <w:szCs w:val="20"/>
          <w:i w:val="1"/>
          <w:iCs w:val="1"/>
          <w:color w:val="231F20"/>
        </w:rPr>
        <w:t>Reportable Segments—</w:t>
      </w:r>
      <w:r>
        <w:rPr>
          <w:rFonts w:ascii="Times New Roman" w:cs="Times New Roman" w:eastAsia="Times New Roman" w:hAnsi="Times New Roman"/>
          <w:sz w:val="20"/>
          <w:szCs w:val="20"/>
          <w:color w:val="231F20"/>
        </w:rPr>
        <w:t>The Company reports its results in six segments: U.S. &amp; Canada property (which includes all assets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United States and Canada, other than the Company’s data center facilities and related assets), Africa &amp; Asia-Pacific (“APAC”) property, Europe property, Latin America property, Data Centers and Services, which are discussed further in note 19.</w:t>
      </w:r>
    </w:p>
    <w:p>
      <w:pPr>
        <w:spacing w:after="0" w:line="120" w:lineRule="exact"/>
        <w:rPr>
          <w:sz w:val="20"/>
          <w:szCs w:val="20"/>
          <w:color w:val="auto"/>
        </w:rPr>
      </w:pPr>
    </w:p>
    <w:p>
      <w:pPr>
        <w:ind w:left="7" w:right="40"/>
        <w:spacing w:after="0" w:line="249" w:lineRule="auto"/>
        <w:rPr>
          <w:sz w:val="20"/>
          <w:szCs w:val="20"/>
          <w:color w:val="auto"/>
        </w:rPr>
      </w:pPr>
      <w:r>
        <w:rPr>
          <w:rFonts w:ascii="Times New Roman" w:cs="Times New Roman" w:eastAsia="Times New Roman" w:hAnsi="Times New Roman"/>
          <w:sz w:val="20"/>
          <w:szCs w:val="20"/>
          <w:i w:val="1"/>
          <w:iCs w:val="1"/>
          <w:color w:val="231F20"/>
        </w:rPr>
        <w:t>Significant Accounting Policies and Use of Estimates</w:t>
      </w:r>
      <w:r>
        <w:rPr>
          <w:rFonts w:ascii="Times New Roman" w:cs="Times New Roman" w:eastAsia="Times New Roman" w:hAnsi="Times New Roman"/>
          <w:sz w:val="20"/>
          <w:szCs w:val="20"/>
          <w:color w:val="231F20"/>
        </w:rPr>
        <w:t>—The preparation of financial statements in conformity with accounting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principles generally accepted in the United States (“GAAP”) requires management to make estimates and assumptions that affect the amounts reported in the consolidated financial statements and accompanying notes. Actual results may differ from those estimates, and such differences could be material to the accompanying consolidated financial statements. The significant estimates in the accompanying consolidated financial statements include impairment of long-lived assets (including goodwill), revenue recognition, rent expense and lease accounting and income taxes. The Company considers events or transactions that occur after the balance sheet date but before the financial statements are issued as additional evidence for certain estimates or to identify matters that require additional disclosure.</w:t>
      </w:r>
    </w:p>
    <w:p>
      <w:pPr>
        <w:spacing w:after="0" w:line="130" w:lineRule="exact"/>
        <w:rPr>
          <w:sz w:val="20"/>
          <w:szCs w:val="20"/>
          <w:color w:val="auto"/>
        </w:rPr>
      </w:pPr>
    </w:p>
    <w:p>
      <w:pPr>
        <w:ind w:left="7" w:right="100"/>
        <w:spacing w:after="0" w:line="260" w:lineRule="auto"/>
        <w:rPr>
          <w:sz w:val="20"/>
          <w:szCs w:val="20"/>
          <w:color w:val="auto"/>
        </w:rPr>
      </w:pPr>
      <w:r>
        <w:rPr>
          <w:rFonts w:ascii="Times New Roman" w:cs="Times New Roman" w:eastAsia="Times New Roman" w:hAnsi="Times New Roman"/>
          <w:sz w:val="20"/>
          <w:szCs w:val="20"/>
          <w:i w:val="1"/>
          <w:iCs w:val="1"/>
          <w:color w:val="231F20"/>
        </w:rPr>
        <w:t>Accounts Receivable and Deferred Rent Asset</w:t>
      </w:r>
      <w:r>
        <w:rPr>
          <w:rFonts w:ascii="Times New Roman" w:cs="Times New Roman" w:eastAsia="Times New Roman" w:hAnsi="Times New Roman"/>
          <w:sz w:val="20"/>
          <w:szCs w:val="20"/>
          <w:color w:val="231F20"/>
        </w:rPr>
        <w:t>—The Company derives the largest portion of its revenues, corresponding trade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receivables and the related deferred rent asset from a relatively small number of customers in the telecommunications industry, and 59% of its current-year revenues were derived from four customers.</w:t>
      </w:r>
    </w:p>
    <w:p>
      <w:pPr>
        <w:spacing w:after="0" w:line="117" w:lineRule="exact"/>
        <w:rPr>
          <w:sz w:val="20"/>
          <w:szCs w:val="20"/>
          <w:color w:val="auto"/>
        </w:rPr>
      </w:pPr>
    </w:p>
    <w:p>
      <w:pPr>
        <w:ind w:left="7"/>
        <w:spacing w:after="0" w:line="273" w:lineRule="auto"/>
        <w:rPr>
          <w:sz w:val="20"/>
          <w:szCs w:val="20"/>
          <w:color w:val="auto"/>
        </w:rPr>
      </w:pPr>
      <w:r>
        <w:rPr>
          <w:rFonts w:ascii="Times New Roman" w:cs="Times New Roman" w:eastAsia="Times New Roman" w:hAnsi="Times New Roman"/>
          <w:sz w:val="20"/>
          <w:szCs w:val="20"/>
          <w:color w:val="231F20"/>
        </w:rPr>
        <w:t>The Company’s deferred rent asset is associated with non-cancellable tenant leases that contain fixed escalation clauses over the terms of the applicable lease for which revenue is recognized on a straight-line basis over the lease term.</w:t>
      </w:r>
    </w:p>
    <w:p>
      <w:pPr>
        <w:spacing w:after="0" w:line="65" w:lineRule="exact"/>
        <w:rPr>
          <w:sz w:val="20"/>
          <w:szCs w:val="20"/>
          <w:color w:val="auto"/>
        </w:rPr>
      </w:pPr>
    </w:p>
    <w:p>
      <w:pPr>
        <w:ind w:left="7" w:right="100"/>
        <w:spacing w:after="0" w:line="264" w:lineRule="auto"/>
        <w:rPr>
          <w:sz w:val="20"/>
          <w:szCs w:val="20"/>
          <w:color w:val="auto"/>
        </w:rPr>
      </w:pPr>
      <w:r>
        <w:rPr>
          <w:rFonts w:ascii="Times New Roman" w:cs="Times New Roman" w:eastAsia="Times New Roman" w:hAnsi="Times New Roman"/>
          <w:sz w:val="19"/>
          <w:szCs w:val="19"/>
          <w:color w:val="231F20"/>
        </w:rPr>
        <w:t>The Company mitigates its concentrations of credit risk with respect to trade receivables and the related deferred rent assets by actively monitoring the creditworthiness of its customers. In recognizing customer revenue, the Company assesses the collectibility of both the amounts billed and the portion recognized in advance of billing on a straight-line basis. This assessment takes customer credit risk and business and industry conditions into consideration to ultimately determine the collectibility of the amounts billed. To the extent the amounts, based on management’s estimates, may not be collectible, revenue recognition is deferred until such point as the uncertainty is resolved. Any amounts that were previously recognized as revenue and are subsequently determined to present a risk of collection are reserved as bad debt expense included in Selling, general, administrative and development expense in the accompanying consolidated statements of operations.</w:t>
      </w:r>
    </w:p>
    <w:p>
      <w:pPr>
        <w:spacing w:after="0" w:line="77" w:lineRule="exact"/>
        <w:rPr>
          <w:sz w:val="20"/>
          <w:szCs w:val="20"/>
          <w:color w:val="auto"/>
        </w:rPr>
      </w:pPr>
    </w:p>
    <w:p>
      <w:pPr>
        <w:ind w:left="7" w:right="80"/>
        <w:spacing w:after="0" w:line="250" w:lineRule="auto"/>
        <w:rPr>
          <w:sz w:val="20"/>
          <w:szCs w:val="20"/>
          <w:color w:val="auto"/>
        </w:rPr>
      </w:pPr>
      <w:r>
        <w:rPr>
          <w:rFonts w:ascii="Times New Roman" w:cs="Times New Roman" w:eastAsia="Times New Roman" w:hAnsi="Times New Roman"/>
          <w:sz w:val="20"/>
          <w:szCs w:val="20"/>
          <w:color w:val="231F20"/>
        </w:rPr>
        <w:t>Accounts receivable is reported net of allowances for doubtful accounts related to estimated losses resulting from a customer’s inability to make required payments and allowances for amounts invoiced whose collectibility is not reasonably assured. These allowances are generally estimated based on payment patterns, days past due and collection history, and incorporate changes in economic conditions that may not be reflected in historical trends, such as customers in bankruptcy, liquidation or reorganization. Receivables are written-off against the allowances or reserves when they are determined to be uncollectible. Such determination includes analysis and consideration of the particular conditions of the account. Changes in the allowances were as follows:</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231F20"/>
        </w:rPr>
        <w:t>F-9</w:t>
      </w:r>
    </w:p>
    <w:p>
      <w:pPr>
        <w:sectPr>
          <w:pgSz w:w="11880" w:h="15480" w:orient="portrait"/>
          <w:cols w:equalWidth="0" w:num="1">
            <w:col w:w="10047"/>
          </w:cols>
          <w:pgMar w:left="913" w:top="418" w:right="920" w:bottom="0" w:gutter="0" w:footer="0" w:header="0"/>
          <w:type w:val="continuous"/>
        </w:sectPr>
      </w:pPr>
    </w:p>
    <w:bookmarkStart w:id="99" w:name="page100"/>
    <w:bookmarkEnd w:id="99"/>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15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460" w:type="dxa"/>
            <w:vAlign w:val="bottom"/>
            <w:tcBorders>
              <w:bottom w:val="single" w:sz="8" w:color="231F20"/>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0" w:type="dxa"/>
            <w:vAlign w:val="bottom"/>
            <w:tcBorders>
              <w:bottom w:val="single" w:sz="8" w:color="231F20"/>
            </w:tcBorders>
          </w:tcPr>
          <w:p>
            <w:pPr>
              <w:spacing w:after="0"/>
              <w:rPr>
                <w:sz w:val="18"/>
                <w:szCs w:val="18"/>
                <w:color w:val="auto"/>
              </w:rPr>
            </w:pPr>
          </w:p>
        </w:tc>
      </w:tr>
      <w:tr>
        <w:trPr>
          <w:trHeight w:val="215"/>
        </w:trPr>
        <w:tc>
          <w:tcPr>
            <w:tcW w:w="64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0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0"/>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Balance as of January 1,</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404.1</w:t>
            </w:r>
          </w:p>
        </w:tc>
        <w:tc>
          <w:tcPr>
            <w:tcW w:w="36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325.2</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217.8</w:t>
            </w: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Current year increases </w:t>
            </w:r>
            <w:r>
              <w:rPr>
                <w:rFonts w:ascii="Times New Roman" w:cs="Times New Roman" w:eastAsia="Times New Roman" w:hAnsi="Times New Roman"/>
                <w:sz w:val="20"/>
                <w:szCs w:val="20"/>
                <w:color w:val="BABCBE"/>
                <w:w w:val="98"/>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66.5</w:t>
            </w:r>
          </w:p>
        </w:tc>
      </w:tr>
      <w:tr>
        <w:trPr>
          <w:trHeight w:val="308"/>
        </w:trPr>
        <w:tc>
          <w:tcPr>
            <w:tcW w:w="64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Write-offs, recoveries and other (1) </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(134.1)</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(51.6)</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8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40.9</w:t>
            </w:r>
          </w:p>
        </w:tc>
      </w:tr>
      <w:tr>
        <w:trPr>
          <w:trHeight w:val="221"/>
        </w:trPr>
        <w:tc>
          <w:tcPr>
            <w:tcW w:w="648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231F20"/>
                <w:w w:val="98"/>
              </w:rPr>
              <w:t>Balance as of December 31,</w:t>
            </w:r>
            <w:r>
              <w:rPr>
                <w:rFonts w:ascii="Times New Roman" w:cs="Times New Roman" w:eastAsia="Times New Roman" w:hAnsi="Times New Roman"/>
                <w:sz w:val="20"/>
                <w:szCs w:val="20"/>
                <w:color w:val="BABCBE"/>
                <w:w w:val="98"/>
              </w:rPr>
              <w:t>.....................................................................................</w:t>
            </w:r>
          </w:p>
        </w:tc>
        <w:tc>
          <w:tcPr>
            <w:tcW w:w="280" w:type="dxa"/>
            <w:vAlign w:val="bottom"/>
          </w:tcPr>
          <w:p>
            <w:pPr>
              <w:jc w:val="right"/>
              <w:ind w:right="42"/>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430.4</w:t>
            </w:r>
          </w:p>
        </w:tc>
        <w:tc>
          <w:tcPr>
            <w:tcW w:w="360" w:type="dxa"/>
            <w:vAlign w:val="bottom"/>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404.1</w:t>
            </w:r>
          </w:p>
        </w:tc>
        <w:tc>
          <w:tcPr>
            <w:tcW w:w="400" w:type="dxa"/>
            <w:vAlign w:val="bottom"/>
            <w:gridSpan w:val="2"/>
          </w:tcPr>
          <w:p>
            <w:pPr>
              <w:jc w:val="right"/>
              <w:ind w:right="18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325.2</w:t>
            </w:r>
          </w:p>
        </w:tc>
      </w:tr>
      <w:tr>
        <w:trPr>
          <w:trHeight w:val="20"/>
        </w:trPr>
        <w:tc>
          <w:tcPr>
            <w:tcW w:w="64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-749300</wp:posOffset>
            </wp:positionV>
            <wp:extent cx="227520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5">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-208280</wp:posOffset>
            </wp:positionV>
            <wp:extent cx="227520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6">
                      <a:extLst>
                        <a:ext uri="{28A0092B-C50C-407E-A947-70E740481C1C}"/>
                      </a:extLst>
                    </a:blip>
                    <a:srcRect/>
                    <a:stretch>
                      <a:fillRect/>
                    </a:stretch>
                  </pic:blipFill>
                  <pic:spPr bwMode="auto">
                    <a:xfrm>
                      <a:off x="0" y="0"/>
                      <a:ext cx="2275205" cy="25400"/>
                    </a:xfrm>
                    <a:prstGeom prst="rect">
                      <a:avLst/>
                    </a:prstGeom>
                    <a:noFill/>
                  </pic:spPr>
                </pic:pic>
              </a:graphicData>
            </a:graphic>
          </wp:anchor>
        </w:drawing>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31" w:lineRule="exact"/>
        <w:rPr>
          <w:sz w:val="20"/>
          <w:szCs w:val="20"/>
          <w:color w:val="auto"/>
        </w:rPr>
      </w:pPr>
    </w:p>
    <w:p>
      <w:pPr>
        <w:ind w:left="347" w:hanging="347"/>
        <w:spacing w:after="0"/>
        <w:tabs>
          <w:tab w:leader="none" w:pos="347" w:val="left"/>
        </w:tabs>
        <w:numPr>
          <w:ilvl w:val="0"/>
          <w:numId w:val="7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primarily relates to balances in the Company’s Latin America property segment.</w:t>
      </w:r>
    </w:p>
    <w:p>
      <w:pPr>
        <w:spacing w:after="0" w:line="167" w:lineRule="exact"/>
        <w:rPr>
          <w:sz w:val="20"/>
          <w:szCs w:val="20"/>
          <w:color w:val="auto"/>
        </w:rPr>
      </w:pPr>
    </w:p>
    <w:p>
      <w:pPr>
        <w:ind w:left="7" w:right="40"/>
        <w:spacing w:after="0" w:line="250" w:lineRule="auto"/>
        <w:rPr>
          <w:sz w:val="20"/>
          <w:szCs w:val="20"/>
          <w:color w:val="auto"/>
        </w:rPr>
      </w:pPr>
      <w:r>
        <w:rPr>
          <w:rFonts w:ascii="Times New Roman" w:cs="Times New Roman" w:eastAsia="Times New Roman" w:hAnsi="Times New Roman"/>
          <w:sz w:val="20"/>
          <w:szCs w:val="20"/>
          <w:i w:val="1"/>
          <w:iCs w:val="1"/>
          <w:color w:val="231F20"/>
        </w:rPr>
        <w:t>Functional Currency</w:t>
      </w:r>
      <w:r>
        <w:rPr>
          <w:rFonts w:ascii="Times New Roman" w:cs="Times New Roman" w:eastAsia="Times New Roman" w:hAnsi="Times New Roman"/>
          <w:sz w:val="20"/>
          <w:szCs w:val="20"/>
          <w:color w:val="231F20"/>
        </w:rPr>
        <w:t>—The functional currency of each of the Company’s foreign operating subsidiaries is normally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respective local currency, except for Argentina, Costa Rica, Ghana and Nigeria, where the functional currency is the U.S. Dollar. All foreign currency assets and liabilities held by the subsidiaries are translated into U.S. Dollars at the exchange rate in effect at the end of the applicable fiscal reporting period and all foreign currency revenues and expenses are translated at the average monthly exchange rates. Translation adjustments are reflected in equity as a component of Accumulated other comprehensive loss (“AOCL”) in the consolidated balance sheets and included as a component of Comprehensive income in the consolidated statements of comprehensive income.</w:t>
      </w:r>
    </w:p>
    <w:p>
      <w:pPr>
        <w:spacing w:after="0" w:line="128" w:lineRule="exact"/>
        <w:rPr>
          <w:sz w:val="20"/>
          <w:szCs w:val="20"/>
          <w:color w:val="auto"/>
        </w:rPr>
      </w:pPr>
    </w:p>
    <w:p>
      <w:pPr>
        <w:ind w:left="7" w:right="220"/>
        <w:spacing w:after="0" w:line="272" w:lineRule="auto"/>
        <w:rPr>
          <w:sz w:val="20"/>
          <w:szCs w:val="20"/>
          <w:color w:val="auto"/>
        </w:rPr>
      </w:pPr>
      <w:r>
        <w:rPr>
          <w:rFonts w:ascii="Times New Roman" w:cs="Times New Roman" w:eastAsia="Times New Roman" w:hAnsi="Times New Roman"/>
          <w:sz w:val="19"/>
          <w:szCs w:val="19"/>
          <w:color w:val="231F20"/>
        </w:rPr>
        <w:t>Gains and losses on foreign currency transactions are reflected in Other expense in the consolidated statements of operations. However, the effect from fluctuations in foreign currency exchange rates on intercompany debt for which repayment is not anticipated in the foreseeable future is reflected in AOCL as well as Euro (“EUR”) dominated debt designated as a net investment hedge, in the consolidated balance sheets and included as a component of Comprehensive income.</w:t>
      </w:r>
    </w:p>
    <w:p>
      <w:pPr>
        <w:spacing w:after="0" w:line="1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Company recorded the following net foreign currency (gains) losses:</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460" w:type="dxa"/>
            <w:vAlign w:val="bottom"/>
            <w:tcBorders>
              <w:bottom w:val="single" w:sz="8" w:color="231F20"/>
            </w:tcBorders>
            <w:gridSpan w:val="6"/>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0" w:type="dxa"/>
            <w:vAlign w:val="bottom"/>
            <w:tcBorders>
              <w:bottom w:val="single" w:sz="8" w:color="231F20"/>
            </w:tcBorders>
          </w:tcPr>
          <w:p>
            <w:pPr>
              <w:spacing w:after="0"/>
              <w:rPr>
                <w:sz w:val="18"/>
                <w:szCs w:val="18"/>
                <w:color w:val="auto"/>
              </w:rPr>
            </w:pPr>
          </w:p>
        </w:tc>
      </w:tr>
      <w:tr>
        <w:trPr>
          <w:trHeight w:val="274"/>
        </w:trPr>
        <w:tc>
          <w:tcPr>
            <w:tcW w:w="64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Foreign currency (gains) losses recorded in AOCL</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(523.4)</w:t>
            </w:r>
          </w:p>
        </w:tc>
        <w:tc>
          <w:tcPr>
            <w:tcW w:w="360" w:type="dxa"/>
            <w:vAlign w:val="bottom"/>
            <w:gridSpan w:val="2"/>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660.8</w:t>
            </w:r>
          </w:p>
        </w:tc>
        <w:tc>
          <w:tcPr>
            <w:tcW w:w="400" w:type="dxa"/>
            <w:vAlign w:val="bottom"/>
            <w:gridSpan w:val="2"/>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(103.9)</w:t>
            </w:r>
          </w:p>
        </w:tc>
      </w:tr>
      <w:tr>
        <w:trPr>
          <w:trHeight w:val="284"/>
        </w:trPr>
        <w:tc>
          <w:tcPr>
            <w:tcW w:w="64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8"/>
              </w:rPr>
              <w:t>Foreign currency losses (gains) recorded in Other expense</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809.4</w:t>
            </w:r>
          </w:p>
        </w:tc>
        <w:tc>
          <w:tcPr>
            <w:tcW w:w="8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(308.3)</w:t>
            </w:r>
          </w:p>
        </w:tc>
        <w:tc>
          <w:tcPr>
            <w:tcW w:w="6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330.6</w:t>
            </w:r>
          </w:p>
        </w:tc>
      </w:tr>
      <w:tr>
        <w:trPr>
          <w:trHeight w:val="294"/>
        </w:trPr>
        <w:tc>
          <w:tcPr>
            <w:tcW w:w="64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Total foreign currency losses </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286.0</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352.5</w:t>
            </w:r>
          </w:p>
        </w:tc>
        <w:tc>
          <w:tcPr>
            <w:tcW w:w="6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-590550</wp:posOffset>
            </wp:positionV>
            <wp:extent cx="227520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7">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-217170</wp:posOffset>
            </wp:positionV>
            <wp:extent cx="227520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8">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-43180</wp:posOffset>
            </wp:positionV>
            <wp:extent cx="2275205" cy="50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9">
                      <a:extLst>
                        <a:ext uri="{28A0092B-C50C-407E-A947-70E740481C1C}"/>
                      </a:extLst>
                    </a:blip>
                    <a:srcRect/>
                    <a:stretch>
                      <a:fillRect/>
                    </a:stretch>
                  </pic:blipFill>
                  <pic:spPr bwMode="auto">
                    <a:xfrm>
                      <a:off x="0" y="0"/>
                      <a:ext cx="2275205" cy="50165"/>
                    </a:xfrm>
                    <a:prstGeom prst="rect">
                      <a:avLst/>
                    </a:prstGeom>
                    <a:noFill/>
                  </pic:spPr>
                </pic:pic>
              </a:graphicData>
            </a:graphic>
          </wp:anchor>
        </w:drawing>
      </w:r>
    </w:p>
    <w:p>
      <w:pPr>
        <w:spacing w:after="0" w:line="143" w:lineRule="exact"/>
        <w:rPr>
          <w:sz w:val="20"/>
          <w:szCs w:val="20"/>
          <w:color w:val="auto"/>
        </w:rPr>
      </w:pPr>
    </w:p>
    <w:p>
      <w:pPr>
        <w:jc w:val="both"/>
        <w:ind w:left="7" w:right="220"/>
        <w:spacing w:after="0" w:line="260" w:lineRule="auto"/>
        <w:rPr>
          <w:sz w:val="20"/>
          <w:szCs w:val="20"/>
          <w:color w:val="auto"/>
        </w:rPr>
      </w:pPr>
      <w:r>
        <w:rPr>
          <w:rFonts w:ascii="Times New Roman" w:cs="Times New Roman" w:eastAsia="Times New Roman" w:hAnsi="Times New Roman"/>
          <w:sz w:val="20"/>
          <w:szCs w:val="20"/>
          <w:i w:val="1"/>
          <w:iCs w:val="1"/>
          <w:color w:val="231F20"/>
        </w:rPr>
        <w:t>Cash and Cash Equivalents</w:t>
      </w:r>
      <w:r>
        <w:rPr>
          <w:rFonts w:ascii="Times New Roman" w:cs="Times New Roman" w:eastAsia="Times New Roman" w:hAnsi="Times New Roman"/>
          <w:sz w:val="20"/>
          <w:szCs w:val="20"/>
          <w:color w:val="231F20"/>
        </w:rPr>
        <w:t>—Cash and cash equivalents include cash on hand, demand deposits and short-term investments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with original maturities of three months or less. The Company maintains its deposits at high-quality financial institutions and monitors the credit ratings of those institutions.</w:t>
      </w:r>
    </w:p>
    <w:p>
      <w:pPr>
        <w:spacing w:after="0" w:line="115" w:lineRule="exact"/>
        <w:rPr>
          <w:sz w:val="20"/>
          <w:szCs w:val="20"/>
          <w:color w:val="auto"/>
        </w:rPr>
      </w:pPr>
    </w:p>
    <w:p>
      <w:pPr>
        <w:ind w:left="7" w:right="160"/>
        <w:spacing w:after="0" w:line="275" w:lineRule="auto"/>
        <w:rPr>
          <w:sz w:val="20"/>
          <w:szCs w:val="20"/>
          <w:color w:val="auto"/>
        </w:rPr>
      </w:pPr>
      <w:r>
        <w:rPr>
          <w:rFonts w:ascii="Times New Roman" w:cs="Times New Roman" w:eastAsia="Times New Roman" w:hAnsi="Times New Roman"/>
          <w:sz w:val="20"/>
          <w:szCs w:val="20"/>
          <w:i w:val="1"/>
          <w:iCs w:val="1"/>
          <w:color w:val="231F20"/>
        </w:rPr>
        <w:t>Restricted Cash—</w:t>
      </w:r>
      <w:r>
        <w:rPr>
          <w:rFonts w:ascii="Times New Roman" w:cs="Times New Roman" w:eastAsia="Times New Roman" w:hAnsi="Times New Roman"/>
          <w:sz w:val="20"/>
          <w:szCs w:val="20"/>
          <w:color w:val="231F20"/>
        </w:rPr>
        <w:t>Restricted cash includes cash pledged as collateral to secure obligations and all cash whose use is otherwise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limited by contractual provisions.</w:t>
      </w:r>
    </w:p>
    <w:p>
      <w:pPr>
        <w:spacing w:after="0" w:line="102" w:lineRule="exact"/>
        <w:rPr>
          <w:sz w:val="20"/>
          <w:szCs w:val="20"/>
          <w:color w:val="auto"/>
        </w:rPr>
      </w:pPr>
    </w:p>
    <w:p>
      <w:pPr>
        <w:ind w:left="7" w:right="120"/>
        <w:spacing w:after="0" w:line="273" w:lineRule="auto"/>
        <w:rPr>
          <w:sz w:val="20"/>
          <w:szCs w:val="20"/>
          <w:color w:val="auto"/>
        </w:rPr>
      </w:pPr>
      <w:r>
        <w:rPr>
          <w:rFonts w:ascii="Times New Roman" w:cs="Times New Roman" w:eastAsia="Times New Roman" w:hAnsi="Times New Roman"/>
          <w:sz w:val="20"/>
          <w:szCs w:val="20"/>
          <w:color w:val="231F20"/>
        </w:rPr>
        <w:t>The reconciliation of cash and cash equivalents and restricted cash reported within the applicable balance sheet that sum to the total of the same such amounts shown in the statements of cash flows is as follows:</w:t>
      </w:r>
    </w:p>
    <w:p>
      <w:pPr>
        <w:spacing w:after="0" w:line="79"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460" w:type="dxa"/>
            <w:vAlign w:val="bottom"/>
            <w:tcBorders>
              <w:bottom w:val="single" w:sz="8" w:color="231F20"/>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0" w:type="dxa"/>
            <w:vAlign w:val="bottom"/>
            <w:tcBorders>
              <w:bottom w:val="single" w:sz="8" w:color="231F20"/>
            </w:tcBorders>
          </w:tcPr>
          <w:p>
            <w:pPr>
              <w:spacing w:after="0"/>
              <w:rPr>
                <w:sz w:val="18"/>
                <w:szCs w:val="18"/>
                <w:color w:val="auto"/>
              </w:rPr>
            </w:pPr>
          </w:p>
        </w:tc>
      </w:tr>
      <w:tr>
        <w:trPr>
          <w:trHeight w:val="274"/>
        </w:trPr>
        <w:tc>
          <w:tcPr>
            <w:tcW w:w="646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6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Cash and cash equivalents </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1,474.8</w:t>
            </w:r>
          </w:p>
        </w:tc>
        <w:tc>
          <w:tcPr>
            <w:tcW w:w="340" w:type="dxa"/>
            <w:vAlign w:val="bottom"/>
            <w:gridSpan w:val="2"/>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1,999.6</w:t>
            </w:r>
          </w:p>
        </w:tc>
        <w:tc>
          <w:tcPr>
            <w:tcW w:w="400" w:type="dxa"/>
            <w:vAlign w:val="bottom"/>
            <w:gridSpan w:val="2"/>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1,753.7</w:t>
            </w:r>
          </w:p>
        </w:tc>
      </w:tr>
      <w:tr>
        <w:trPr>
          <w:trHeight w:val="288"/>
        </w:trPr>
        <w:tc>
          <w:tcPr>
            <w:tcW w:w="64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Restricted cash </w:t>
            </w:r>
            <w:r>
              <w:rPr>
                <w:rFonts w:ascii="Times New Roman" w:cs="Times New Roman" w:eastAsia="Times New Roman" w:hAnsi="Times New Roman"/>
                <w:sz w:val="20"/>
                <w:szCs w:val="20"/>
                <w:color w:val="BABCBE"/>
                <w:w w:val="98"/>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119.7</w:t>
            </w:r>
          </w:p>
        </w:tc>
      </w:tr>
      <w:tr>
        <w:trPr>
          <w:trHeight w:val="300"/>
        </w:trPr>
        <w:tc>
          <w:tcPr>
            <w:tcW w:w="6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Cash and cash equivalents included in assets of discontinued operations</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219.6</w:t>
            </w:r>
          </w:p>
        </w:tc>
      </w:tr>
      <w:tr>
        <w:trPr>
          <w:trHeight w:val="299"/>
        </w:trPr>
        <w:tc>
          <w:tcPr>
            <w:tcW w:w="646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8"/>
              </w:rPr>
              <w:t>Restricted cash included in assets of discontinued operations</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0.4</w:t>
            </w:r>
          </w:p>
        </w:tc>
      </w:tr>
      <w:tr>
        <w:trPr>
          <w:trHeight w:val="294"/>
        </w:trPr>
        <w:tc>
          <w:tcPr>
            <w:tcW w:w="64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Total cash, cash equivalents and restricted cash</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1,605.2</w:t>
            </w:r>
          </w:p>
        </w:tc>
        <w:tc>
          <w:tcPr>
            <w:tcW w:w="6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2,108.2</w:t>
            </w:r>
          </w:p>
        </w:tc>
        <w:tc>
          <w:tcPr>
            <w:tcW w:w="8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-973455</wp:posOffset>
            </wp:positionV>
            <wp:extent cx="227520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0">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-217170</wp:posOffset>
            </wp:positionV>
            <wp:extent cx="227520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1">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-43180</wp:posOffset>
            </wp:positionV>
            <wp:extent cx="2275205" cy="501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2">
                      <a:extLst>
                        <a:ext uri="{28A0092B-C50C-407E-A947-70E740481C1C}"/>
                      </a:extLst>
                    </a:blip>
                    <a:srcRect/>
                    <a:stretch>
                      <a:fillRect/>
                    </a:stretch>
                  </pic:blipFill>
                  <pic:spPr bwMode="auto">
                    <a:xfrm>
                      <a:off x="0" y="0"/>
                      <a:ext cx="2275205" cy="50165"/>
                    </a:xfrm>
                    <a:prstGeom prst="rect">
                      <a:avLst/>
                    </a:prstGeom>
                    <a:noFill/>
                  </pic:spPr>
                </pic:pic>
              </a:graphicData>
            </a:graphic>
          </wp:anchor>
        </w:drawing>
      </w:r>
    </w:p>
    <w:p>
      <w:pPr>
        <w:spacing w:after="0" w:line="143" w:lineRule="exact"/>
        <w:rPr>
          <w:sz w:val="20"/>
          <w:szCs w:val="20"/>
          <w:color w:val="auto"/>
        </w:rPr>
      </w:pPr>
    </w:p>
    <w:p>
      <w:pPr>
        <w:ind w:left="7"/>
        <w:spacing w:after="0" w:line="250" w:lineRule="auto"/>
        <w:rPr>
          <w:sz w:val="20"/>
          <w:szCs w:val="20"/>
          <w:color w:val="auto"/>
        </w:rPr>
      </w:pPr>
      <w:r>
        <w:rPr>
          <w:rFonts w:ascii="Times New Roman" w:cs="Times New Roman" w:eastAsia="Times New Roman" w:hAnsi="Times New Roman"/>
          <w:sz w:val="20"/>
          <w:szCs w:val="20"/>
          <w:i w:val="1"/>
          <w:iCs w:val="1"/>
          <w:color w:val="231F20"/>
        </w:rPr>
        <w:t>Property and Equipment</w:t>
      </w:r>
      <w:r>
        <w:rPr>
          <w:rFonts w:ascii="Times New Roman" w:cs="Times New Roman" w:eastAsia="Times New Roman" w:hAnsi="Times New Roman"/>
          <w:sz w:val="20"/>
          <w:szCs w:val="20"/>
          <w:color w:val="231F20"/>
        </w:rPr>
        <w:t>—Property and equipment is recorded at cost or, in the case of acquired properties, at estimated fair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value on the date acquired. Cost for self-constructed sites includes direct materials and labor and certain indirect costs associated with construction of the site, such as transportation costs, employee benefits and payroll taxes. The Company begins the capitalization of costs during the pre-construction period, which is the period during which costs are incurred to evaluate the site, and continues to capitalize costs until the site is substantially completed and ready for occupancy by a customer. Labor and related costs capitalized for the years ended December 31, 2025, 2024 and 2023 were $70.4 million, $67.4 million and $62.1 million, respectively.</w:t>
      </w:r>
    </w:p>
    <w:p>
      <w:pPr>
        <w:sectPr>
          <w:pgSz w:w="11880" w:h="15480" w:orient="portrait"/>
          <w:cols w:equalWidth="0" w:num="1">
            <w:col w:w="10027"/>
          </w:cols>
          <w:pgMar w:left="913" w:top="41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231F20"/>
        </w:rPr>
        <w:t>F-10</w:t>
      </w:r>
    </w:p>
    <w:p>
      <w:pPr>
        <w:sectPr>
          <w:pgSz w:w="11880" w:h="15480" w:orient="portrait"/>
          <w:cols w:equalWidth="0" w:num="1">
            <w:col w:w="10027"/>
          </w:cols>
          <w:pgMar w:left="913" w:top="418" w:right="940" w:bottom="0"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20"/>
          <w:szCs w:val="20"/>
          <w:color w:val="231F20"/>
        </w:rPr>
        <w:t>Expenditures for repairs and maintenance are expensed as incurred. Augmentation and improvements that extend an asset’s useful life or enhance capacity are capitalized.</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Depreciation expense is recorded using the straight-line method over the assets’ estimated useful lives. The Company estimates that the useful life of its tower assets is thirty years, before taking into account residual value. Additionally, certain of the Company’s intangible assets are amortized on a similar basis to its tower assets, as the estimated useful lives of such intangible assets correlate to the useful life of the towers.</w:t>
      </w:r>
    </w:p>
    <w:p>
      <w:pPr>
        <w:spacing w:after="0" w:line="12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Towers or assets acquired through finance leases are recorded net at the present value of future minimum lease payments or the fair value of the leased asset at the inception of the lease. Property and equipment and assets held under finance leases are amortized over the shorter of the applicable lease term or the estimated useful life of the respective assets for periods generally not exceeding thirty years.</w:t>
      </w:r>
    </w:p>
    <w:p>
      <w:pPr>
        <w:spacing w:after="0" w:line="12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231F20"/>
        </w:rPr>
        <w:t>The Company reviews its asset portfolio for indicators of impairment on an individual site basis. Impairments primarily result from a site not having current tenant leases or from having expenses in excess of revenues. The Company reviews other long-lived assets for impairment at least annually or whenever events, changes in circumstances or other evidence indicate that the carrying amount of the Company’s assets may not be recoverable. The Company records impairment charges, which are discussed in note 15, in Other operating expenses in the consolidated statements of operations in the period in which the Company identifies such impairment.</w:t>
      </w:r>
    </w:p>
    <w:p>
      <w:pPr>
        <w:spacing w:after="0" w:line="12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i w:val="1"/>
          <w:iCs w:val="1"/>
          <w:color w:val="231F20"/>
        </w:rPr>
        <w:t>Goodwill and Other Intangible Assets</w:t>
      </w:r>
      <w:r>
        <w:rPr>
          <w:rFonts w:ascii="Times New Roman" w:cs="Times New Roman" w:eastAsia="Times New Roman" w:hAnsi="Times New Roman"/>
          <w:sz w:val="20"/>
          <w:szCs w:val="20"/>
          <w:color w:val="231F20"/>
        </w:rPr>
        <w:t>—The Company reviews goodwill for impairment at least annually (as of December 31)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or whenever events or circumstances indicate the carrying value of an asset may not be recoverable.</w:t>
      </w:r>
    </w:p>
    <w:p>
      <w:pPr>
        <w:spacing w:after="0" w:line="10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231F20"/>
        </w:rPr>
        <w:t>Goodwill is recorded in the applicable segment and assessed for impairment at the reporting unit level. The Company employs a discounted cash flow analysis when testing goodwill for impairment. The key assumptions utilized in the discounted cash flow analysis include current operating performance, terminal revenue growth rate, management’s expectations of future operating results and cash requirements, the current weighted average cost of capital and an expected tax rate. The Company compares the fair value of the reporting unit, as calculated under an income approach using future discounted cash flows, to the carrying amount of the applicable reporting unit. If the carrying amount exceeds the fair value, an impairment loss would be recognized for the amount of the excess. The loss recognized is limited to the total amount of goodwill allocated to that reporting unit.</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231F20"/>
        </w:rPr>
        <w:t>During the year ended December 31, 2023, the Company concluded that a triggering event occurred with respect to its India reporting unit. As a result, the Company performed a goodwill impairment test based on information observed during its review of strategic alternatives for this reporting unit. The result of the Company’s goodwill impairment test indicated that the carrying amount of the Company's India reporting unit exceeded its estimated fair value. As a result, the Company recorded a goodwill impairment charge of $322.0 million during the quarter ended September 30, 2023, which is recorded in Loss from discontinued operations in the accompanying consolidated statements of operations for the year ended December 31, 2023.</w:t>
      </w:r>
    </w:p>
    <w:p>
      <w:pPr>
        <w:spacing w:after="0" w:line="1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The results of the annual goodwill impairment test as of December 31, 2023 indicated that the carrying amount of the Company’s Spain reporting unit exceeded its estimated fair value. As a result, the Company recorded a goodwill impairment charge of $80.0 million. The goodwill impairment charge for the Spain reporting unit is recorded in Goodwill impairment in the accompanying consolidated statements of operations for the year ended December 31, 2023.</w:t>
      </w:r>
    </w:p>
    <w:p>
      <w:pPr>
        <w:spacing w:after="0" w:line="1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231F20"/>
        </w:rPr>
        <w:t>For the year ended December 31, 2025, the Company estimated the fair value of the Bangladesh reporting unit using, among other things, indications of value received from third parties in connection with the Company’s review of various strategic alternatives for its Bangladesh operations. As a result, the Company recorded a goodwill impairment charge of $6.5 million. The goodwill impairment charge for the Bangladesh reporting unit is recorded in Other operating expense in the accompanying consolidated statements of operations for the year ended December 31, 2025.</w:t>
      </w:r>
    </w:p>
    <w:p>
      <w:pPr>
        <w:spacing w:after="0" w:line="12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color w:val="231F20"/>
        </w:rPr>
        <w:t>During the years ended December 31, 2025, 2024 and 2023, no other goodwill impairment was identified, as the fair value of each of the reporting units was in excess of its carrying amount.</w:t>
      </w:r>
    </w:p>
    <w:p>
      <w:pPr>
        <w:spacing w:after="0" w:line="104"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20"/>
          <w:szCs w:val="20"/>
          <w:color w:val="231F20"/>
        </w:rPr>
        <w:t>Intangible assets that are separable from goodwill and are deemed to have a definite life are amortized over their useful lives, generally ranging from two to thirty years and are evaluated separately for impairment at least annually or whenever events or circumstances indicate that the carrying amount of an asset may not be recoverable.</w:t>
      </w:r>
    </w:p>
    <w:p>
      <w:pPr>
        <w:spacing w:after="0" w:line="118"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9"/>
          <w:szCs w:val="19"/>
          <w:color w:val="231F20"/>
        </w:rPr>
        <w:t>The Company reviews its network location intangible assets for indicators of impairment on an individual tower basis. Impairments primarily result from a site not having current tenant leases or from having expenses in excess of revenues. The Company monitors its tenant-related intangible assets on a tenant by tenant basis for indicators of impairment, such as high</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F-11</w:t>
      </w:r>
    </w:p>
    <w:p>
      <w:pPr>
        <w:sectPr>
          <w:pgSz w:w="11880" w:h="15480" w:orient="portrait"/>
          <w:cols w:equalWidth="0" w:num="1">
            <w:col w:w="10040"/>
          </w:cols>
          <w:pgMar w:left="920" w:top="418" w:right="920" w:bottom="0"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levels of turnover or attrition, the customer’s ability to meet its contractual obligations, non-renewal of a significant number of contracts or the cancellation or termination of a relationship. The Company assesses recoverability by determining whether the carrying amount of the related assets will be recovered primarily through projected undiscounted future cash flows. If the Company determines that the carrying amount of an asset may not be recoverable, the Company measures any impairment loss based on the projected future discounted cash flows to be provided from the asset or available market information relative to the asset’s fair value, as compared to the asset’s carrying amount. The Company records impairment charges, which are discussed in note 15, in Other operating expenses in the consolidated statements of operations in the period in which the Company identifies such impairment.</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i w:val="1"/>
          <w:iCs w:val="1"/>
          <w:color w:val="231F20"/>
        </w:rPr>
        <w:t>Fair Value Measurements</w:t>
      </w:r>
      <w:r>
        <w:rPr>
          <w:rFonts w:ascii="Times New Roman" w:cs="Times New Roman" w:eastAsia="Times New Roman" w:hAnsi="Times New Roman"/>
          <w:sz w:val="20"/>
          <w:szCs w:val="20"/>
          <w:color w:val="231F20"/>
        </w:rPr>
        <w:t>—The Company determines the fair value of its financial instruments based on the fair value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hierarchy, which requires an entity to maximize the use of observable inputs and minimize the use of unobservable inputs when measuring fair value.</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i w:val="1"/>
          <w:iCs w:val="1"/>
          <w:color w:val="231F20"/>
        </w:rPr>
        <w:t>Asset Retirement Obligations</w:t>
      </w:r>
      <w:r>
        <w:rPr>
          <w:rFonts w:ascii="Times New Roman" w:cs="Times New Roman" w:eastAsia="Times New Roman" w:hAnsi="Times New Roman"/>
          <w:sz w:val="20"/>
          <w:szCs w:val="20"/>
          <w:color w:val="231F20"/>
        </w:rPr>
        <w:t>—When required, the Company recognizes the fair value of obligations to remove its assets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remediate the leased space upon which certain of its assets are located. Generally, the associated retirement costs are capitalized as part of the carrying amount of the related assets and depreciated over their estimated useful lives and the liability is accreted through the obligation’s estimated settlement date. Fair value estimates of asset retirement obligations generally involve discounting of estimated future cash flows associated with remediation costs. Periodic accretion of such liabilities due to the passage of time is included in Depreciation, amortization and accretion expense in the consolidated statements of operations. Adjustments are also made to the asset retirement obligation liability to reflect changes in the estimates of timing and amount of expected cash flows, with an offsetting adjustment made to the related long-lived tangible asset. The significant assumptions used in estimating the Company’s aggregate asset retirement obligation are: timing of asset removals; cost of asset removals; timing and number of site lease renewals; expected inflation rates; and credit-adjusted, risk-free interest rates that approximate the Company’s incremental borrowing rate.</w:t>
      </w:r>
    </w:p>
    <w:p>
      <w:pPr>
        <w:spacing w:after="0" w:line="13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—As a REIT, the Company generally is not subject to U.S. federal income taxes on income generated by its REIT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operations as it receives a dividends paid deduction for distributions to stockholders that generally offsets its REIT income and gains. However, the Company remains obligated to pay U.S. federal income taxes on certain earnings and continues to be subject to taxation in its foreign jurisdictions.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in income in the period that includes the enactment date.</w:t>
      </w:r>
    </w:p>
    <w:p>
      <w:pPr>
        <w:spacing w:after="0" w:line="13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The Company periodically reviews its deferred tax assets, and provides valuation allowances if, based on the available evidence, it is more likely than not that some or all of the deferred tax assets will not be realized. Management assesses the available positive and negative evidence to estimate if sufficient future taxable income will be generated to use the existing deferred tax assets. Valuation allowances would be reversed as a reduction to the provision for income taxes if related deferred tax assets are deemed realizable based on changes in facts and circumstances relevant to the assets’ recoverability.</w:t>
      </w:r>
    </w:p>
    <w:p>
      <w:pPr>
        <w:spacing w:after="0" w:line="1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The Company estimates the liabilities from uncertain tax positions, which are recorded in Other non-current liabilities in the consolidated balance sheet, unless expected to be paid within one year. The Company reports penalties and tax-related interest expense and interest income from tax refunds as a component of the income tax provision in the consolidated statements of operations.</w:t>
      </w:r>
    </w:p>
    <w:p>
      <w:pPr>
        <w:spacing w:after="0" w:line="12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9"/>
          <w:szCs w:val="19"/>
          <w:i w:val="1"/>
          <w:iCs w:val="1"/>
          <w:color w:val="231F20"/>
        </w:rPr>
        <w:t>Other Comprehensive Income (Loss)</w:t>
      </w:r>
      <w:r>
        <w:rPr>
          <w:rFonts w:ascii="Times New Roman" w:cs="Times New Roman" w:eastAsia="Times New Roman" w:hAnsi="Times New Roman"/>
          <w:sz w:val="19"/>
          <w:szCs w:val="19"/>
          <w:color w:val="231F20"/>
        </w:rPr>
        <w:t>—Other comprehensive income (loss) refers to items excluded from net income that are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recorded as an adjustment to equity, net of tax. The Company’s other comprehensive income (loss) primarily consisted of changes in fair value of effective derivative cash flow hedges, foreign currency translation adjustments, reclassification of unrealized losses on effective derivative cash flow hedges and other items. The AOCL balance included accumulated foreign currency translation losses of $4.8 billion, $6.0 billion and $5.7 billion as of December 31, 2025, 2024 and 2023, respectively.</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i w:val="1"/>
          <w:iCs w:val="1"/>
          <w:color w:val="231F20"/>
        </w:rPr>
        <w:t>Distributions</w:t>
      </w:r>
      <w:r>
        <w:rPr>
          <w:rFonts w:ascii="Times New Roman" w:cs="Times New Roman" w:eastAsia="Times New Roman" w:hAnsi="Times New Roman"/>
          <w:sz w:val="20"/>
          <w:szCs w:val="20"/>
          <w:color w:val="231F20"/>
        </w:rPr>
        <w:t>—As a REIT, the Company must annually distribute to its stockholders an amount equal to at least 90% of its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REIT taxable income (determined before the deduction for distributed earnings and excluding any net capital gain). Generally, the Company has distributed, and expects to continue to distribute, all or substantially all of its REIT taxable income after taking into consideration its utilization of net operating losses (“NOLs”).</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F-12</w:t>
      </w:r>
    </w:p>
    <w:p>
      <w:pPr>
        <w:sectPr>
          <w:pgSz w:w="11880" w:h="15480" w:orient="portrait"/>
          <w:cols w:equalWidth="0" w:num="1">
            <w:col w:w="10040"/>
          </w:cols>
          <w:pgMar w:left="920" w:top="418" w:right="92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231F20"/>
        </w:rPr>
        <w:t>The amount, timing and frequency of future distributions will be at the sole discretion of the Board of Directors and will depend upon various factors, a number of which may be beyond the Company’s control, including the Company’s financial condition and operating cash flows, the amount required to maintain its qualification for taxation as a REIT and reduce any income and excise taxes that the Company otherwise would be required to pay, limitations on distributions in the Company’s existing and future debt and preferred equity instruments, the Company’s ability to utilize NOLs to offset the Company’s distribution requirements, limitations on its ability to fund distributions using cash generated through its TRSs and other factors that the Board of Directors may deem relevant.</w:t>
      </w:r>
    </w:p>
    <w:p>
      <w:pPr>
        <w:spacing w:after="0" w:line="12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i w:val="1"/>
          <w:iCs w:val="1"/>
          <w:color w:val="231F20"/>
        </w:rPr>
        <w:t>Acquisitions</w:t>
      </w:r>
      <w:r>
        <w:rPr>
          <w:rFonts w:ascii="Times New Roman" w:cs="Times New Roman" w:eastAsia="Times New Roman" w:hAnsi="Times New Roman"/>
          <w:sz w:val="19"/>
          <w:szCs w:val="19"/>
          <w:color w:val="231F20"/>
        </w:rPr>
        <w:t>—For acquisitions that meet the definition of a business combination, the Company applies the acquisition method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of accounting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 All other acquisitions are accounted for as asset acquisitions and the purchase price is allocated to the net assets acquired with no recognition of goodwill. The purchase price is not subsequently adjusted.</w:t>
      </w:r>
    </w:p>
    <w:p>
      <w:pPr>
        <w:spacing w:after="0" w:line="1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231F20"/>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taking into consideration such factors as age, condition and the economic useful life and productive capacity of the asset. When determining the fair value of intangible assets acquired and liabilities assumed, the Company must estimate the timing and amount of future cash flows, including rate and terms of renewal and attrition, and apply the applicable discount rate.</w:t>
      </w:r>
    </w:p>
    <w:p>
      <w:pPr>
        <w:spacing w:after="0" w:line="12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i w:val="1"/>
          <w:iCs w:val="1"/>
          <w:color w:val="231F20"/>
        </w:rPr>
        <w:t>Net Investment Hedge</w:t>
      </w:r>
      <w:r>
        <w:rPr>
          <w:rFonts w:ascii="Times New Roman" w:cs="Times New Roman" w:eastAsia="Times New Roman" w:hAnsi="Times New Roman"/>
          <w:sz w:val="20"/>
          <w:szCs w:val="20"/>
          <w:color w:val="231F20"/>
        </w:rPr>
        <w:t>—The Company is exposed to the impact of foreign currency exchange rate fluctuations on the value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investments in its foreign subsidiaries whose functional currencies are other than the USD. The Company has designated a portion of its EUR denominated senior unsecured notes as a non-derivative net investment hedge on the Company’s net investments in its European subsidiaries, whose functional currency is the EUR, to mitigate against the effect of exchange rate fluctuations on the translation of foreign currency balances to the USD.</w:t>
      </w:r>
    </w:p>
    <w:p>
      <w:pPr>
        <w:spacing w:after="0" w:line="12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231F20"/>
        </w:rPr>
        <w:t>For the portion of the EUR denominated senior unsecured notes that are designated as a net investment hedge and meet effectiveness requirements, the changes in carrying value of the notes attributable to the change in foreign currency spot rates are recorded as foreign currency translation adjustments in Accumulated other comprehensive loss, where they offset foreign currency translation gains and losses recorded on the Company’s net investments in its European subsidiaries. To the extent foreign currency-denominated notes designated as net investment hedges are ineffective, changes in carrying value attributable to the change in spot rates would be recorded in earnings. Changes in carrying value attributable to the change in spot rates for the portion of EUR denominated senior unsecured notes not designated as part of the net investment hedge are recorded in earnings.</w:t>
      </w:r>
    </w:p>
    <w:p>
      <w:pPr>
        <w:spacing w:after="0" w:line="12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i w:val="1"/>
          <w:iCs w:val="1"/>
          <w:color w:val="231F20"/>
        </w:rPr>
        <w:t>Revenue</w:t>
      </w:r>
      <w:r>
        <w:rPr>
          <w:rFonts w:ascii="Times New Roman" w:cs="Times New Roman" w:eastAsia="Times New Roman" w:hAnsi="Times New Roman"/>
          <w:sz w:val="19"/>
          <w:szCs w:val="19"/>
          <w:color w:val="231F20"/>
        </w:rPr>
        <w:t>—The Company’s revenue is derived from leasing the right to use its communications sites, the land on which the sites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are located, the land underlying its customers’ sites and the space in its data center facilities (the “lease component”) and from the reimbursement of costs incurred by the Company in operating the communications sites and data center facilities and supporting its customers’ equipment as well as other services and contractual rights (the “non-lease component”). Most of the Company’s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the Company separately determines the stand-alone selling prices and pattern of revenue recognition for each performance obligation. Revenue related to DAS networks and fiber and other related assets results from agreements with customers that are generally not accounted for as leases.</w:t>
      </w:r>
    </w:p>
    <w:p>
      <w:pPr>
        <w:spacing w:after="0" w:line="12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231F20"/>
        </w:rPr>
        <w:t>The Company’s revenue from leasing arrangements, including fixed escalation clauses present in non-cancellable lease arrangements, is reported on a straight-line basis over the term of the respective leases when collectibility is probable. Escalation clauses tied to a consumer price index (“CPI”), or other inflation-based indices, and other variable incentives present in lease agreements with the Company’s tenants, are excluded from the straight-line calculation. Total property straight-line revenues for the years ended December 31, 2025, 2024 and 2023 were $101.0 million, $277.6 million and $465.4 million, respectively.</w:t>
      </w:r>
    </w:p>
    <w:p>
      <w:pPr>
        <w:spacing w:after="0" w:line="12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9"/>
          <w:szCs w:val="19"/>
          <w:i w:val="1"/>
          <w:iCs w:val="1"/>
          <w:color w:val="231F20"/>
        </w:rPr>
        <w:t>Non-lease property revenue—</w:t>
      </w:r>
      <w:r>
        <w:rPr>
          <w:rFonts w:ascii="Times New Roman" w:cs="Times New Roman" w:eastAsia="Times New Roman" w:hAnsi="Times New Roman"/>
          <w:sz w:val="19"/>
          <w:szCs w:val="19"/>
          <w:color w:val="231F20"/>
        </w:rPr>
        <w:t>Non-lease property revenue consists primarily of revenue generated from DAS networks, fiber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and other property related revenue. DAS networks and fiber arrangements generally require that the Company provide the tenant the right to use available capacity on the applicable communications infrastructure. Performance obligations are satisfied</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F-13</w:t>
      </w:r>
    </w:p>
    <w:p>
      <w:pPr>
        <w:sectPr>
          <w:pgSz w:w="11880" w:h="15480" w:orient="portrait"/>
          <w:cols w:equalWidth="0" w:num="1">
            <w:col w:w="10040"/>
          </w:cols>
          <w:pgMar w:left="920" w:top="418" w:right="920" w:bottom="0" w:gutter="0" w:footer="0" w:header="0"/>
          <w:type w:val="continuous"/>
        </w:sectPr>
      </w:pPr>
    </w:p>
    <w:bookmarkStart w:id="103" w:name="page104"/>
    <w:bookmarkEnd w:id="103"/>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line="252" w:lineRule="auto"/>
        <w:rPr>
          <w:sz w:val="20"/>
          <w:szCs w:val="20"/>
          <w:color w:val="auto"/>
        </w:rPr>
      </w:pPr>
      <w:r>
        <w:rPr>
          <w:rFonts w:ascii="Times New Roman" w:cs="Times New Roman" w:eastAsia="Times New Roman" w:hAnsi="Times New Roman"/>
          <w:sz w:val="20"/>
          <w:szCs w:val="20"/>
          <w:color w:val="231F20"/>
        </w:rPr>
        <w:t>over time for the duration of the arrangements. Non-lease property revenue also includes revenue generated from interconnection offerings in the Company’s data center facilities. Interconnection offerings are generally contracted on a month-to-month basis and are cancellable by the Company or the data center customer at any time. Performance obligations are satisfied over time for the duration of the arrangements. Other property related revenue streams, which include site inspections, are not material on either an individual or consolidated basis.</w:t>
      </w:r>
    </w:p>
    <w:p>
      <w:pPr>
        <w:spacing w:after="0" w:line="124" w:lineRule="exact"/>
        <w:rPr>
          <w:sz w:val="20"/>
          <w:szCs w:val="20"/>
          <w:color w:val="auto"/>
        </w:rPr>
      </w:pPr>
    </w:p>
    <w:p>
      <w:pPr>
        <w:ind w:left="7" w:right="120"/>
        <w:spacing w:after="0" w:line="267" w:lineRule="auto"/>
        <w:rPr>
          <w:sz w:val="20"/>
          <w:szCs w:val="20"/>
          <w:color w:val="auto"/>
        </w:rPr>
      </w:pPr>
      <w:r>
        <w:rPr>
          <w:rFonts w:ascii="Times New Roman" w:cs="Times New Roman" w:eastAsia="Times New Roman" w:hAnsi="Times New Roman"/>
          <w:sz w:val="19"/>
          <w:szCs w:val="19"/>
          <w:i w:val="1"/>
          <w:iCs w:val="1"/>
          <w:color w:val="231F20"/>
        </w:rPr>
        <w:t>Services revenue—</w:t>
      </w:r>
      <w:r>
        <w:rPr>
          <w:rFonts w:ascii="Times New Roman" w:cs="Times New Roman" w:eastAsia="Times New Roman" w:hAnsi="Times New Roman"/>
          <w:sz w:val="19"/>
          <w:szCs w:val="19"/>
          <w:color w:val="231F20"/>
        </w:rPr>
        <w:t>The Company offers tower-related services in the United States. These services include AZP, structural and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mount analyses, and construction management services, together with program management offerings that support customer deployment needs from project scoping through construction. There is a single performance obligation related to AZP and construction management, and revenue is recognized over time based on milestones achieved, which are determined based on costs expected to be incurred. Structural and mount analyses services may have more than one performance obligation, contingent upon the number of contracted services. Revenue is recognized at the point in time the services are completed.</w:t>
      </w:r>
    </w:p>
    <w:p>
      <w:pPr>
        <w:spacing w:after="0" w:line="111" w:lineRule="exact"/>
        <w:rPr>
          <w:sz w:val="20"/>
          <w:szCs w:val="20"/>
          <w:color w:val="auto"/>
        </w:rPr>
      </w:pPr>
    </w:p>
    <w:p>
      <w:pPr>
        <w:ind w:left="7" w:right="400"/>
        <w:spacing w:after="0" w:line="259" w:lineRule="auto"/>
        <w:rPr>
          <w:sz w:val="20"/>
          <w:szCs w:val="20"/>
          <w:color w:val="auto"/>
        </w:rPr>
      </w:pPr>
      <w:r>
        <w:rPr>
          <w:rFonts w:ascii="Times New Roman" w:cs="Times New Roman" w:eastAsia="Times New Roman" w:hAnsi="Times New Roman"/>
          <w:sz w:val="20"/>
          <w:szCs w:val="20"/>
          <w:color w:val="231F20"/>
        </w:rPr>
        <w:t>Some of the Company’s contracts with customers contain multiple performance obligations. For these arrangements, the Company allocates revenue to each performance obligation based on its relative standalone selling price, which is typically based on the price charged to customers in a stand-alone transaction.</w:t>
      </w:r>
    </w:p>
    <w:p>
      <w:pPr>
        <w:spacing w:after="0" w:line="118" w:lineRule="exact"/>
        <w:rPr>
          <w:sz w:val="20"/>
          <w:szCs w:val="20"/>
          <w:color w:val="auto"/>
        </w:rPr>
      </w:pPr>
    </w:p>
    <w:p>
      <w:pPr>
        <w:ind w:left="7" w:right="100"/>
        <w:spacing w:after="0" w:line="254" w:lineRule="auto"/>
        <w:rPr>
          <w:sz w:val="20"/>
          <w:szCs w:val="20"/>
          <w:color w:val="auto"/>
        </w:rPr>
      </w:pPr>
      <w:r>
        <w:rPr>
          <w:rFonts w:ascii="Times New Roman" w:cs="Times New Roman" w:eastAsia="Times New Roman" w:hAnsi="Times New Roman"/>
          <w:sz w:val="20"/>
          <w:szCs w:val="20"/>
          <w:color w:val="231F20"/>
        </w:rPr>
        <w:t>Since most of the Company’s contracts are leases, costs to enter into lease arrangements are capitalized under the applicable lease accounting guidance. Costs incurred to obtain non-lease contracts that are capitalized primarily relate to DAS networks and are not material to the consolidated financial statements. The Company has excluded sales tax, value added tax and similar taxes from non-lease revenue.</w:t>
      </w:r>
    </w:p>
    <w:p>
      <w:pPr>
        <w:spacing w:after="0" w:line="124" w:lineRule="exact"/>
        <w:rPr>
          <w:sz w:val="20"/>
          <w:szCs w:val="20"/>
          <w:color w:val="auto"/>
        </w:rPr>
      </w:pPr>
    </w:p>
    <w:p>
      <w:pPr>
        <w:ind w:left="7" w:right="320"/>
        <w:spacing w:after="0" w:line="273" w:lineRule="auto"/>
        <w:rPr>
          <w:sz w:val="20"/>
          <w:szCs w:val="20"/>
          <w:color w:val="auto"/>
        </w:rPr>
      </w:pPr>
      <w:r>
        <w:rPr>
          <w:rFonts w:ascii="Times New Roman" w:cs="Times New Roman" w:eastAsia="Times New Roman" w:hAnsi="Times New Roman"/>
          <w:sz w:val="20"/>
          <w:szCs w:val="20"/>
          <w:color w:val="231F20"/>
        </w:rPr>
        <w:t>Revenue is disaggregated by geography in a manner consistent with the Company’s business segments, which are discussed further in note 19. A summary of revenue disaggregated by source and geography is as follows:</w:t>
      </w:r>
    </w:p>
    <w:p>
      <w:pPr>
        <w:spacing w:after="0" w:line="16"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rPr>
              <w:t>U.S. &amp;</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Africa &amp;</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w w:val="98"/>
              </w:rPr>
              <w:t>Europe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w w:val="96"/>
              </w:rPr>
              <w:t>Latin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rPr>
              <w:t>Data</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166"/>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231F20"/>
                <w:w w:val="97"/>
              </w:rPr>
              <w:t>Canada</w:t>
            </w:r>
          </w:p>
        </w:tc>
        <w:tc>
          <w:tcPr>
            <w:tcW w:w="20" w:type="dxa"/>
            <w:vAlign w:val="bottom"/>
            <w:tcBorders>
              <w:bottom w:val="single" w:sz="8" w:color="E3E4E5"/>
            </w:tcBorders>
          </w:tcPr>
          <w:p>
            <w:pPr>
              <w:spacing w:after="0"/>
              <w:rPr>
                <w:sz w:val="18"/>
                <w:szCs w:val="18"/>
                <w:color w:val="auto"/>
              </w:rPr>
            </w:pPr>
          </w:p>
        </w:tc>
        <w:tc>
          <w:tcPr>
            <w:tcW w:w="4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231F20"/>
                <w:w w:val="98"/>
              </w:rPr>
              <w:t>APAC</w:t>
            </w:r>
          </w:p>
        </w:tc>
        <w:tc>
          <w:tcPr>
            <w:tcW w:w="20" w:type="dxa"/>
            <w:vAlign w:val="bottom"/>
            <w:tcBorders>
              <w:bottom w:val="single" w:sz="8" w:color="E3E4E5"/>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America</w:t>
            </w:r>
          </w:p>
        </w:tc>
        <w:tc>
          <w:tcPr>
            <w:tcW w:w="20" w:type="dxa"/>
            <w:vAlign w:val="bottom"/>
            <w:tcBorders>
              <w:bottom w:val="single" w:sz="8" w:color="E3E4E5"/>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231F20"/>
              </w:rPr>
              <w:t>Centers</w:t>
            </w:r>
          </w:p>
        </w:tc>
        <w:tc>
          <w:tcPr>
            <w:tcW w:w="20" w:type="dxa"/>
            <w:vAlign w:val="bottom"/>
            <w:tcBorders>
              <w:bottom w:val="single" w:sz="8" w:color="E3E4E5"/>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Non-lease property revenue</w:t>
            </w:r>
            <w:r>
              <w:rPr>
                <w:rFonts w:ascii="Times New Roman" w:cs="Times New Roman" w:eastAsia="Times New Roman" w:hAnsi="Times New Roman"/>
                <w:sz w:val="20"/>
                <w:szCs w:val="20"/>
                <w:color w:val="BABCBE"/>
                <w:w w:val="99"/>
              </w:rPr>
              <w:t>........................................</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292.8</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117.6</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151.5</w:t>
            </w:r>
          </w:p>
        </w:tc>
        <w:tc>
          <w:tcPr>
            <w:tcW w:w="240" w:type="dxa"/>
            <w:vAlign w:val="bottom"/>
            <w:gridSpan w:val="4"/>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596.3</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9"/>
              </w:rPr>
              <w:t>Services revenue</w:t>
            </w:r>
            <w:r>
              <w:rPr>
                <w:rFonts w:ascii="Times New Roman" w:cs="Times New Roman" w:eastAsia="Times New Roman" w:hAnsi="Times New Roman"/>
                <w:sz w:val="20"/>
                <w:szCs w:val="20"/>
                <w:color w:val="BABCBE"/>
                <w:w w:val="99"/>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339.6</w:t>
            </w:r>
          </w:p>
        </w:tc>
        <w:tc>
          <w:tcPr>
            <w:tcW w:w="20" w:type="dxa"/>
            <w:vAlign w:val="bottom"/>
            <w:tcBorders>
              <w:bottom w:val="single" w:sz="8" w:color="E3E4E5"/>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339.6</w:t>
            </w:r>
          </w:p>
        </w:tc>
        <w:tc>
          <w:tcPr>
            <w:tcW w:w="0" w:type="dxa"/>
            <w:vAlign w:val="bottom"/>
          </w:tcPr>
          <w:p>
            <w:pPr>
              <w:spacing w:after="0"/>
              <w:rPr>
                <w:sz w:val="1"/>
                <w:szCs w:val="1"/>
                <w:color w:val="auto"/>
              </w:rPr>
            </w:pPr>
          </w:p>
        </w:tc>
      </w:tr>
      <w:tr>
        <w:trPr>
          <w:trHeight w:val="28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Total non-lease revenue</w:t>
            </w:r>
            <w:r>
              <w:rPr>
                <w:rFonts w:ascii="Times New Roman" w:cs="Times New Roman" w:eastAsia="Times New Roman" w:hAnsi="Times New Roman"/>
                <w:sz w:val="20"/>
                <w:szCs w:val="20"/>
                <w:color w:val="BABCBE"/>
                <w:w w:val="99"/>
              </w:rPr>
              <w:t>..............................................</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632.4</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117.6</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151.5</w:t>
            </w:r>
          </w:p>
        </w:tc>
        <w:tc>
          <w:tcPr>
            <w:tcW w:w="240" w:type="dxa"/>
            <w:vAlign w:val="bottom"/>
            <w:gridSpan w:val="4"/>
            <w:shd w:val="clear" w:color="auto" w:fill="E3E4E5"/>
          </w:tcPr>
          <w:p>
            <w:pP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935.9</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9"/>
              </w:rPr>
              <w:t>Property lease revenue</w:t>
            </w:r>
            <w:r>
              <w:rPr>
                <w:rFonts w:ascii="Times New Roman" w:cs="Times New Roman" w:eastAsia="Times New Roman" w:hAnsi="Times New Roman"/>
                <w:sz w:val="20"/>
                <w:szCs w:val="20"/>
                <w:color w:val="BABCBE"/>
                <w:w w:val="99"/>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4,955.9</w:t>
            </w:r>
          </w:p>
        </w:tc>
        <w:tc>
          <w:tcPr>
            <w:tcW w:w="20" w:type="dxa"/>
            <w:vAlign w:val="bottom"/>
            <w:tcBorders>
              <w:bottom w:val="single" w:sz="8" w:color="E3E4E5"/>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1,398.9</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927.3</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1,525.0</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901.6</w:t>
            </w:r>
          </w:p>
        </w:tc>
        <w:tc>
          <w:tcPr>
            <w:tcW w:w="20" w:type="dxa"/>
            <w:vAlign w:val="bottom"/>
            <w:tcBorders>
              <w:bottom w:val="single" w:sz="8" w:color="E3E4E5"/>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9,708.7</w:t>
            </w:r>
          </w:p>
        </w:tc>
        <w:tc>
          <w:tcPr>
            <w:tcW w:w="0" w:type="dxa"/>
            <w:vAlign w:val="bottom"/>
          </w:tcPr>
          <w:p>
            <w:pPr>
              <w:spacing w:after="0"/>
              <w:rPr>
                <w:sz w:val="1"/>
                <w:szCs w:val="1"/>
                <w:color w:val="auto"/>
              </w:rPr>
            </w:pPr>
          </w:p>
        </w:tc>
      </w:tr>
      <w:tr>
        <w:trPr>
          <w:trHeight w:val="29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shd w:val="clear" w:color="auto" w:fill="E3E4E5"/>
              </w:rPr>
              <w:t xml:space="preserve">Total revenue </w:t>
            </w:r>
            <w:r>
              <w:rPr>
                <w:rFonts w:ascii="Times New Roman" w:cs="Times New Roman" w:eastAsia="Times New Roman" w:hAnsi="Times New Roman"/>
                <w:sz w:val="20"/>
                <w:szCs w:val="20"/>
                <w:color w:val="BABCBE"/>
                <w:w w:val="98"/>
                <w:shd w:val="clear" w:color="auto" w:fill="E3E4E5"/>
              </w:rPr>
              <w:t>..............................................................</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5,588.3</w:t>
            </w:r>
          </w:p>
        </w:tc>
        <w:tc>
          <w:tcPr>
            <w:tcW w:w="960" w:type="dxa"/>
            <w:vAlign w:val="bottom"/>
            <w:gridSpan w:val="5"/>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$ 1,422.9</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937.7</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1,642.6</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1,053.1</w:t>
            </w:r>
          </w:p>
        </w:tc>
        <w:tc>
          <w:tcPr>
            <w:tcW w:w="960" w:type="dxa"/>
            <w:vAlign w:val="bottom"/>
            <w:gridSpan w:val="5"/>
            <w:shd w:val="clear" w:color="auto" w:fill="E3E4E5"/>
          </w:tcPr>
          <w:p>
            <w:pPr>
              <w:ind w:left="120"/>
              <w:spacing w:after="0"/>
              <w:rPr>
                <w:sz w:val="20"/>
                <w:szCs w:val="20"/>
                <w:color w:val="auto"/>
              </w:rPr>
            </w:pPr>
            <w:r>
              <w:rPr>
                <w:rFonts w:ascii="Times New Roman" w:cs="Times New Roman" w:eastAsia="Times New Roman" w:hAnsi="Times New Roman"/>
                <w:sz w:val="20"/>
                <w:szCs w:val="20"/>
                <w:u w:val="single" w:color="auto"/>
                <w:color w:val="231F20"/>
                <w:shd w:val="clear" w:color="auto" w:fill="E3E4E5"/>
              </w:rPr>
              <w:t>$</w:t>
            </w:r>
            <w:r>
              <w:rPr>
                <w:rFonts w:ascii="Times New Roman" w:cs="Times New Roman" w:eastAsia="Times New Roman" w:hAnsi="Times New Roman"/>
                <w:sz w:val="20"/>
                <w:szCs w:val="20"/>
                <w:color w:val="231F20"/>
                <w:shd w:val="clear" w:color="auto" w:fill="E3E4E5"/>
              </w:rPr>
              <w:t>10,644.6</w:t>
            </w:r>
          </w:p>
        </w:tc>
        <w:tc>
          <w:tcPr>
            <w:tcW w:w="0" w:type="dxa"/>
            <w:vAlign w:val="bottom"/>
          </w:tcPr>
          <w:p>
            <w:pPr>
              <w:spacing w:after="0"/>
              <w:rPr>
                <w:sz w:val="1"/>
                <w:szCs w:val="1"/>
                <w:color w:val="auto"/>
              </w:rPr>
            </w:pPr>
          </w:p>
        </w:tc>
      </w:tr>
      <w:tr>
        <w:trPr>
          <w:trHeight w:val="495"/>
        </w:trPr>
        <w:tc>
          <w:tcPr>
            <w:tcW w:w="4240" w:type="dxa"/>
            <w:vAlign w:val="bottom"/>
            <w:tcBorders>
              <w:top w:val="single" w:sz="8" w:color="E3E4E5"/>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tc>
        <w:tc>
          <w:tcPr>
            <w:tcW w:w="60" w:type="dxa"/>
            <w:vAlign w:val="bottom"/>
            <w:tcBorders>
              <w:top w:val="single" w:sz="8" w:color="E3E4E5"/>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20" w:type="dxa"/>
            <w:vAlign w:val="bottom"/>
            <w:tcBorders>
              <w:top w:val="single" w:sz="8" w:color="231F20"/>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w w:val="96"/>
              </w:rPr>
              <w:t>U.S. &amp;</w:t>
            </w:r>
          </w:p>
        </w:tc>
        <w:tc>
          <w:tcPr>
            <w:tcW w:w="20" w:type="dxa"/>
            <w:vAlign w:val="bottom"/>
            <w:tcBorders>
              <w:top w:val="single" w:sz="8" w:color="E3E4E5"/>
            </w:tcBorders>
          </w:tcPr>
          <w:p>
            <w:pPr>
              <w:spacing w:after="0"/>
              <w:rPr>
                <w:sz w:val="24"/>
                <w:szCs w:val="24"/>
                <w:color w:val="auto"/>
              </w:rPr>
            </w:pPr>
          </w:p>
        </w:tc>
        <w:tc>
          <w:tcPr>
            <w:tcW w:w="40" w:type="dxa"/>
            <w:vAlign w:val="bottom"/>
            <w:tcBorders>
              <w:top w:val="single" w:sz="8" w:color="E3E4E5"/>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20" w:type="dxa"/>
            <w:vAlign w:val="bottom"/>
            <w:tcBorders>
              <w:top w:val="single" w:sz="8" w:color="231F20"/>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231F20"/>
                <w:w w:val="98"/>
              </w:rPr>
              <w:t>Africa &amp;</w:t>
            </w:r>
          </w:p>
        </w:tc>
        <w:tc>
          <w:tcPr>
            <w:tcW w:w="20" w:type="dxa"/>
            <w:vAlign w:val="bottom"/>
            <w:tcBorders>
              <w:top w:val="single" w:sz="8" w:color="E3E4E5"/>
            </w:tcBorders>
          </w:tcPr>
          <w:p>
            <w:pPr>
              <w:spacing w:after="0"/>
              <w:rPr>
                <w:sz w:val="24"/>
                <w:szCs w:val="24"/>
                <w:color w:val="auto"/>
              </w:rPr>
            </w:pPr>
          </w:p>
        </w:tc>
        <w:tc>
          <w:tcPr>
            <w:tcW w:w="60" w:type="dxa"/>
            <w:vAlign w:val="bottom"/>
            <w:tcBorders>
              <w:top w:val="single" w:sz="8" w:color="E3E4E5"/>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20" w:type="dxa"/>
            <w:vAlign w:val="bottom"/>
            <w:tcBorders>
              <w:top w:val="single" w:sz="8" w:color="231F20"/>
            </w:tcBorders>
            <w:vMerge w:val="restart"/>
          </w:tcPr>
          <w:p>
            <w:pPr>
              <w:jc w:val="right"/>
              <w:ind w:right="85"/>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20" w:type="dxa"/>
            <w:vAlign w:val="bottom"/>
            <w:tcBorders>
              <w:top w:val="single" w:sz="8" w:color="E3E4E5"/>
            </w:tcBorders>
          </w:tcPr>
          <w:p>
            <w:pPr>
              <w:spacing w:after="0"/>
              <w:rPr>
                <w:sz w:val="24"/>
                <w:szCs w:val="24"/>
                <w:color w:val="auto"/>
              </w:rPr>
            </w:pPr>
          </w:p>
        </w:tc>
        <w:tc>
          <w:tcPr>
            <w:tcW w:w="60" w:type="dxa"/>
            <w:vAlign w:val="bottom"/>
            <w:tcBorders>
              <w:top w:val="single" w:sz="8" w:color="E3E4E5"/>
            </w:tcBorders>
          </w:tcPr>
          <w:p>
            <w:pPr>
              <w:spacing w:after="0"/>
              <w:rPr>
                <w:sz w:val="24"/>
                <w:szCs w:val="24"/>
                <w:color w:val="auto"/>
              </w:rPr>
            </w:pPr>
          </w:p>
        </w:tc>
        <w:tc>
          <w:tcPr>
            <w:tcW w:w="20" w:type="dxa"/>
            <w:vAlign w:val="bottom"/>
            <w:tcBorders>
              <w:top w:val="single" w:sz="8" w:color="E3E4E5"/>
            </w:tcBorders>
          </w:tcPr>
          <w:p>
            <w:pPr>
              <w:spacing w:after="0"/>
              <w:rPr>
                <w:sz w:val="24"/>
                <w:szCs w:val="24"/>
                <w:color w:val="auto"/>
              </w:rPr>
            </w:pPr>
          </w:p>
        </w:tc>
        <w:tc>
          <w:tcPr>
            <w:tcW w:w="140" w:type="dxa"/>
            <w:vAlign w:val="bottom"/>
            <w:tcBorders>
              <w:top w:val="single" w:sz="8" w:color="E3E4E5"/>
            </w:tcBorders>
          </w:tcPr>
          <w:p>
            <w:pPr>
              <w:spacing w:after="0"/>
              <w:rPr>
                <w:sz w:val="24"/>
                <w:szCs w:val="24"/>
                <w:color w:val="auto"/>
              </w:rPr>
            </w:pPr>
          </w:p>
        </w:tc>
        <w:tc>
          <w:tcPr>
            <w:tcW w:w="720" w:type="dxa"/>
            <w:vAlign w:val="bottom"/>
            <w:tcBorders>
              <w:top w:val="single" w:sz="8" w:color="E3E4E5"/>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231F20"/>
                <w:w w:val="96"/>
              </w:rPr>
              <w:t>Latin</w:t>
            </w:r>
          </w:p>
        </w:tc>
        <w:tc>
          <w:tcPr>
            <w:tcW w:w="20" w:type="dxa"/>
            <w:vAlign w:val="bottom"/>
            <w:tcBorders>
              <w:top w:val="single" w:sz="8" w:color="231F20"/>
            </w:tcBorders>
          </w:tcPr>
          <w:p>
            <w:pPr>
              <w:spacing w:after="0"/>
              <w:rPr>
                <w:sz w:val="24"/>
                <w:szCs w:val="24"/>
                <w:color w:val="auto"/>
              </w:rPr>
            </w:pPr>
          </w:p>
        </w:tc>
        <w:tc>
          <w:tcPr>
            <w:tcW w:w="60" w:type="dxa"/>
            <w:vAlign w:val="bottom"/>
            <w:tcBorders>
              <w:top w:val="single" w:sz="8" w:color="231F20"/>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160" w:type="dxa"/>
            <w:vAlign w:val="bottom"/>
            <w:tcBorders>
              <w:top w:val="single" w:sz="8" w:color="231F20"/>
            </w:tcBorders>
          </w:tcPr>
          <w:p>
            <w:pPr>
              <w:spacing w:after="0"/>
              <w:rPr>
                <w:sz w:val="24"/>
                <w:szCs w:val="24"/>
                <w:color w:val="auto"/>
              </w:rPr>
            </w:pPr>
          </w:p>
        </w:tc>
        <w:tc>
          <w:tcPr>
            <w:tcW w:w="720" w:type="dxa"/>
            <w:vAlign w:val="bottom"/>
            <w:tcBorders>
              <w:top w:val="single" w:sz="8" w:color="231F20"/>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w w:val="97"/>
              </w:rPr>
              <w:t>Data</w:t>
            </w:r>
          </w:p>
        </w:tc>
        <w:tc>
          <w:tcPr>
            <w:tcW w:w="20" w:type="dxa"/>
            <w:vAlign w:val="bottom"/>
            <w:tcBorders>
              <w:top w:val="single" w:sz="8" w:color="E3E4E5"/>
            </w:tcBorders>
          </w:tcPr>
          <w:p>
            <w:pPr>
              <w:spacing w:after="0"/>
              <w:rPr>
                <w:sz w:val="24"/>
                <w:szCs w:val="24"/>
                <w:color w:val="auto"/>
              </w:rPr>
            </w:pPr>
          </w:p>
        </w:tc>
        <w:tc>
          <w:tcPr>
            <w:tcW w:w="60" w:type="dxa"/>
            <w:vAlign w:val="bottom"/>
            <w:tcBorders>
              <w:top w:val="single" w:sz="8" w:color="E3E4E5"/>
            </w:tcBorders>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720" w:type="dxa"/>
            <w:vAlign w:val="bottom"/>
            <w:tcBorders>
              <w:top w:val="single" w:sz="8" w:color="231F20"/>
            </w:tcBorders>
            <w:vMerge w:val="restart"/>
          </w:tcPr>
          <w:p>
            <w:pPr>
              <w:jc w:val="right"/>
              <w:ind w:right="166"/>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w w:val="97"/>
              </w:rPr>
              <w:t>Canada</w:t>
            </w:r>
          </w:p>
        </w:tc>
        <w:tc>
          <w:tcPr>
            <w:tcW w:w="20" w:type="dxa"/>
            <w:vAlign w:val="bottom"/>
            <w:tcBorders>
              <w:bottom w:val="single" w:sz="8" w:color="231F20"/>
            </w:tcBorders>
          </w:tcPr>
          <w:p>
            <w:pPr>
              <w:spacing w:after="0"/>
              <w:rPr>
                <w:sz w:val="18"/>
                <w:szCs w:val="18"/>
                <w:color w:val="auto"/>
              </w:rPr>
            </w:pPr>
          </w:p>
        </w:tc>
        <w:tc>
          <w:tcPr>
            <w:tcW w:w="40" w:type="dxa"/>
            <w:vAlign w:val="bottom"/>
            <w:tcBorders>
              <w:bottom w:val="single" w:sz="8" w:color="E3E4E5"/>
            </w:tcBorders>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8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APAC (1)</w:t>
            </w:r>
          </w:p>
        </w:tc>
        <w:tc>
          <w:tcPr>
            <w:tcW w:w="2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8"/>
              </w:rPr>
              <w:t>America</w:t>
            </w:r>
          </w:p>
        </w:tc>
        <w:tc>
          <w:tcPr>
            <w:tcW w:w="2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231F20"/>
                <w:w w:val="97"/>
              </w:rPr>
              <w:t>Centers</w:t>
            </w:r>
          </w:p>
        </w:tc>
        <w:tc>
          <w:tcPr>
            <w:tcW w:w="2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Non-lease property revenue</w:t>
            </w:r>
            <w:r>
              <w:rPr>
                <w:rFonts w:ascii="Times New Roman" w:cs="Times New Roman" w:eastAsia="Times New Roman" w:hAnsi="Times New Roman"/>
                <w:sz w:val="20"/>
                <w:szCs w:val="20"/>
                <w:color w:val="BABCBE"/>
                <w:w w:val="99"/>
              </w:rPr>
              <w:t>........................................</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297.4</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29.5</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109.2</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132.7</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580.9</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9"/>
              </w:rPr>
              <w:t>Services revenue</w:t>
            </w:r>
            <w:r>
              <w:rPr>
                <w:rFonts w:ascii="Times New Roman" w:cs="Times New Roman" w:eastAsia="Times New Roman" w:hAnsi="Times New Roman"/>
                <w:sz w:val="20"/>
                <w:szCs w:val="20"/>
                <w:color w:val="BABCBE"/>
                <w:w w:val="99"/>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193.7</w:t>
            </w: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193.7</w:t>
            </w:r>
          </w:p>
        </w:tc>
        <w:tc>
          <w:tcPr>
            <w:tcW w:w="0" w:type="dxa"/>
            <w:vAlign w:val="bottom"/>
          </w:tcPr>
          <w:p>
            <w:pPr>
              <w:spacing w:after="0"/>
              <w:rPr>
                <w:sz w:val="1"/>
                <w:szCs w:val="1"/>
                <w:color w:val="auto"/>
              </w:rPr>
            </w:pPr>
          </w:p>
        </w:tc>
      </w:tr>
      <w:tr>
        <w:trPr>
          <w:trHeight w:val="28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Total non-lease revenue</w:t>
            </w:r>
            <w:r>
              <w:rPr>
                <w:rFonts w:ascii="Times New Roman" w:cs="Times New Roman" w:eastAsia="Times New Roman" w:hAnsi="Times New Roman"/>
                <w:sz w:val="20"/>
                <w:szCs w:val="20"/>
                <w:color w:val="BABCBE"/>
                <w:w w:val="99"/>
              </w:rPr>
              <w:t>..............................................</w:t>
            </w:r>
          </w:p>
        </w:tc>
        <w:tc>
          <w:tcPr>
            <w:tcW w:w="24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491.1</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29.5</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109.2</w:t>
            </w:r>
          </w:p>
        </w:tc>
        <w:tc>
          <w:tcPr>
            <w:tcW w:w="26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132.7</w:t>
            </w:r>
          </w:p>
        </w:tc>
        <w:tc>
          <w:tcPr>
            <w:tcW w:w="240" w:type="dxa"/>
            <w:vAlign w:val="bottom"/>
            <w:gridSpan w:val="4"/>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774.6</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9"/>
              </w:rPr>
              <w:t>Property lease revenue</w:t>
            </w:r>
            <w:r>
              <w:rPr>
                <w:rFonts w:ascii="Times New Roman" w:cs="Times New Roman" w:eastAsia="Times New Roman" w:hAnsi="Times New Roman"/>
                <w:sz w:val="20"/>
                <w:szCs w:val="20"/>
                <w:color w:val="BABCBE"/>
                <w:w w:val="99"/>
              </w:rPr>
              <w:t>................................................</w:t>
            </w: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4,950.7</w:t>
            </w: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1,178.5</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822.6</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1,608.7</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792.1</w:t>
            </w: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9,352.6</w:t>
            </w:r>
          </w:p>
        </w:tc>
        <w:tc>
          <w:tcPr>
            <w:tcW w:w="0" w:type="dxa"/>
            <w:vAlign w:val="bottom"/>
          </w:tcPr>
          <w:p>
            <w:pPr>
              <w:spacing w:after="0"/>
              <w:rPr>
                <w:sz w:val="1"/>
                <w:szCs w:val="1"/>
                <w:color w:val="auto"/>
              </w:rPr>
            </w:pPr>
          </w:p>
        </w:tc>
      </w:tr>
      <w:tr>
        <w:trPr>
          <w:trHeight w:val="294"/>
        </w:trPr>
        <w:tc>
          <w:tcPr>
            <w:tcW w:w="42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shd w:val="clear" w:color="auto" w:fill="E3E4E5"/>
              </w:rPr>
              <w:t xml:space="preserve">Total revenue </w:t>
            </w:r>
            <w:r>
              <w:rPr>
                <w:rFonts w:ascii="Times New Roman" w:cs="Times New Roman" w:eastAsia="Times New Roman" w:hAnsi="Times New Roman"/>
                <w:sz w:val="20"/>
                <w:szCs w:val="20"/>
                <w:color w:val="BABCBE"/>
                <w:w w:val="98"/>
                <w:shd w:val="clear" w:color="auto" w:fill="E3E4E5"/>
              </w:rPr>
              <w:t>..............................................................</w:t>
            </w:r>
          </w:p>
        </w:tc>
        <w:tc>
          <w:tcPr>
            <w:tcW w:w="80" w:type="dxa"/>
            <w:vAlign w:val="bottom"/>
            <w:tcBorders>
              <w:bottom w:val="single" w:sz="8" w:color="E3E4E5"/>
            </w:tcBorders>
            <w:gridSpan w:val="2"/>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5,441.8</w:t>
            </w:r>
          </w:p>
        </w:tc>
        <w:tc>
          <w:tcPr>
            <w:tcW w:w="20" w:type="dxa"/>
            <w:vAlign w:val="bottom"/>
            <w:tcBorders>
              <w:bottom w:val="single" w:sz="8" w:color="231F20"/>
            </w:tcBorders>
            <w:shd w:val="clear" w:color="auto" w:fill="E3E4E5"/>
          </w:tcPr>
          <w:p>
            <w:pPr>
              <w:spacing w:after="0"/>
              <w:rPr>
                <w:sz w:val="24"/>
                <w:szCs w:val="24"/>
                <w:color w:val="auto"/>
              </w:rPr>
            </w:pPr>
          </w:p>
        </w:tc>
        <w:tc>
          <w:tcPr>
            <w:tcW w:w="60" w:type="dxa"/>
            <w:vAlign w:val="bottom"/>
            <w:tcBorders>
              <w:bottom w:val="single" w:sz="8" w:color="E3E4E5"/>
            </w:tcBorders>
            <w:gridSpan w:val="2"/>
            <w:shd w:val="clear" w:color="auto" w:fill="E3E4E5"/>
          </w:tcPr>
          <w:p>
            <w:pPr>
              <w:spacing w:after="0"/>
              <w:rPr>
                <w:sz w:val="24"/>
                <w:szCs w:val="24"/>
                <w:color w:val="auto"/>
              </w:rPr>
            </w:pPr>
          </w:p>
        </w:tc>
        <w:tc>
          <w:tcPr>
            <w:tcW w:w="880" w:type="dxa"/>
            <w:vAlign w:val="bottom"/>
            <w:tcBorders>
              <w:bottom w:val="single" w:sz="8" w:color="231F20"/>
            </w:tcBorders>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$ 1,208.0</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E3E4E5"/>
            </w:tcBorders>
            <w:gridSpan w:val="2"/>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834.7</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E3E4E5"/>
            </w:tcBorders>
            <w:gridSpan w:val="2"/>
            <w:shd w:val="clear" w:color="auto" w:fill="E3E4E5"/>
          </w:tcPr>
          <w:p>
            <w:pPr>
              <w:spacing w:after="0"/>
              <w:rPr>
                <w:sz w:val="24"/>
                <w:szCs w:val="24"/>
                <w:color w:val="auto"/>
              </w:rPr>
            </w:pPr>
          </w:p>
        </w:tc>
        <w:tc>
          <w:tcPr>
            <w:tcW w:w="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1,717.9</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E3E4E5"/>
            </w:tcBorders>
            <w:gridSpan w:val="2"/>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924.8</w:t>
            </w:r>
          </w:p>
        </w:tc>
        <w:tc>
          <w:tcPr>
            <w:tcW w:w="20" w:type="dxa"/>
            <w:vAlign w:val="bottom"/>
            <w:tcBorders>
              <w:bottom w:val="single" w:sz="8" w:color="231F20"/>
            </w:tcBorders>
            <w:shd w:val="clear" w:color="auto" w:fill="E3E4E5"/>
          </w:tcPr>
          <w:p>
            <w:pPr>
              <w:spacing w:after="0"/>
              <w:rPr>
                <w:sz w:val="24"/>
                <w:szCs w:val="24"/>
                <w:color w:val="auto"/>
              </w:rPr>
            </w:pPr>
          </w:p>
        </w:tc>
        <w:tc>
          <w:tcPr>
            <w:tcW w:w="80" w:type="dxa"/>
            <w:vAlign w:val="bottom"/>
            <w:tcBorders>
              <w:bottom w:val="single" w:sz="8" w:color="E3E4E5"/>
            </w:tcBorders>
            <w:gridSpan w:val="2"/>
            <w:shd w:val="clear" w:color="auto" w:fill="E3E4E5"/>
          </w:tcPr>
          <w:p>
            <w:pPr>
              <w:spacing w:after="0"/>
              <w:rPr>
                <w:sz w:val="24"/>
                <w:szCs w:val="24"/>
                <w:color w:val="auto"/>
              </w:rPr>
            </w:pPr>
          </w:p>
        </w:tc>
        <w:tc>
          <w:tcPr>
            <w:tcW w:w="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u w:val="single" w:color="auto"/>
                <w:color w:val="231F20"/>
                <w:shd w:val="clear" w:color="auto" w:fill="E3E4E5"/>
              </w:rPr>
              <w:t>$</w:t>
            </w: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4"/>
                <w:shd w:val="clear" w:color="auto" w:fill="E3E4E5"/>
              </w:rPr>
              <w:t>10,127.2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-2370455</wp:posOffset>
            </wp:positionV>
            <wp:extent cx="641032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3">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-1997075</wp:posOffset>
            </wp:positionV>
            <wp:extent cx="367538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4">
                      <a:extLst>
                        <a:ext uri="{28A0092B-C50C-407E-A947-70E740481C1C}"/>
                      </a:extLst>
                    </a:blip>
                    <a:srcRect/>
                    <a:stretch>
                      <a:fillRect/>
                    </a:stretch>
                  </pic:blipFill>
                  <pic:spPr bwMode="auto">
                    <a:xfrm>
                      <a:off x="0" y="0"/>
                      <a:ext cx="3675380" cy="2540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-1623695</wp:posOffset>
            </wp:positionV>
            <wp:extent cx="367538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5">
                      <a:extLst>
                        <a:ext uri="{28A0092B-C50C-407E-A947-70E740481C1C}"/>
                      </a:extLst>
                    </a:blip>
                    <a:srcRect/>
                    <a:stretch>
                      <a:fillRect/>
                    </a:stretch>
                  </pic:blipFill>
                  <pic:spPr bwMode="auto">
                    <a:xfrm>
                      <a:off x="0" y="0"/>
                      <a:ext cx="3675380" cy="2540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-1456055</wp:posOffset>
            </wp:positionV>
            <wp:extent cx="3675380" cy="62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6">
                      <a:extLst>
                        <a:ext uri="{28A0092B-C50C-407E-A947-70E740481C1C}"/>
                      </a:extLst>
                    </a:blip>
                    <a:srcRect/>
                    <a:stretch>
                      <a:fillRect/>
                    </a:stretch>
                  </pic:blipFill>
                  <pic:spPr bwMode="auto">
                    <a:xfrm>
                      <a:off x="0" y="0"/>
                      <a:ext cx="3675380" cy="628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-963930</wp:posOffset>
            </wp:positionV>
            <wp:extent cx="641032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7">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-590550</wp:posOffset>
            </wp:positionV>
            <wp:extent cx="366585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8">
                      <a:extLst>
                        <a:ext uri="{28A0092B-C50C-407E-A947-70E740481C1C}"/>
                      </a:extLst>
                    </a:blip>
                    <a:srcRect/>
                    <a:stretch>
                      <a:fillRect/>
                    </a:stretch>
                  </pic:blipFill>
                  <pic:spPr bwMode="auto">
                    <a:xfrm>
                      <a:off x="0" y="0"/>
                      <a:ext cx="3665855" cy="2540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-217170</wp:posOffset>
            </wp:positionV>
            <wp:extent cx="366585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9">
                      <a:extLst>
                        <a:ext uri="{28A0092B-C50C-407E-A947-70E740481C1C}"/>
                      </a:extLst>
                    </a:blip>
                    <a:srcRect/>
                    <a:stretch>
                      <a:fillRect/>
                    </a:stretch>
                  </pic:blipFill>
                  <pic:spPr bwMode="auto">
                    <a:xfrm>
                      <a:off x="0" y="0"/>
                      <a:ext cx="3665855" cy="2540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-43180</wp:posOffset>
            </wp:positionV>
            <wp:extent cx="3665855" cy="501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70">
                      <a:extLst>
                        <a:ext uri="{28A0092B-C50C-407E-A947-70E740481C1C}"/>
                      </a:extLst>
                    </a:blip>
                    <a:srcRect/>
                    <a:stretch>
                      <a:fillRect/>
                    </a:stretch>
                  </pic:blipFill>
                  <pic:spPr bwMode="auto">
                    <a:xfrm>
                      <a:off x="0" y="0"/>
                      <a:ext cx="3665855" cy="50165"/>
                    </a:xfrm>
                    <a:prstGeom prst="rect">
                      <a:avLst/>
                    </a:prstGeom>
                    <a:noFill/>
                  </pic:spPr>
                </pic:pic>
              </a:graphicData>
            </a:graphic>
          </wp:anchor>
        </w:drawing>
      </w:r>
    </w:p>
    <w:p>
      <w:pPr>
        <w:ind w:left="347" w:hanging="347"/>
        <w:spacing w:after="0"/>
        <w:tabs>
          <w:tab w:leader="none" w:pos="347" w:val="left"/>
        </w:tabs>
        <w:numPr>
          <w:ilvl w:val="0"/>
          <w:numId w:val="7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21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U.S. &amp;</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231F20"/>
                <w:w w:val="95"/>
              </w:rPr>
              <w:t>Africa &amp;</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231F20"/>
              </w:rPr>
              <w:t>Latin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231F20"/>
              </w:rPr>
              <w:t>Data</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65"/>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231F20"/>
                <w:w w:val="97"/>
              </w:rPr>
              <w:t>Canada</w:t>
            </w:r>
          </w:p>
        </w:tc>
        <w:tc>
          <w:tcPr>
            <w:tcW w:w="60" w:type="dxa"/>
            <w:vAlign w:val="bottom"/>
            <w:tcBorders>
              <w:bottom w:val="single" w:sz="8" w:color="E3E4E5"/>
            </w:tcBorders>
          </w:tcPr>
          <w:p>
            <w:pPr>
              <w:spacing w:after="0"/>
              <w:rPr>
                <w:sz w:val="18"/>
                <w:szCs w:val="18"/>
                <w:color w:val="auto"/>
              </w:rPr>
            </w:pPr>
          </w:p>
        </w:tc>
        <w:tc>
          <w:tcPr>
            <w:tcW w:w="900" w:type="dxa"/>
            <w:vAlign w:val="bottom"/>
            <w:tcBorders>
              <w:bottom w:val="single" w:sz="8" w:color="231F20"/>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APAC (1)</w:t>
            </w: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w w:val="95"/>
              </w:rPr>
              <w:t>America</w:t>
            </w: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right"/>
              <w:ind w:right="108"/>
              <w:spacing w:after="0"/>
              <w:rPr>
                <w:sz w:val="20"/>
                <w:szCs w:val="20"/>
                <w:color w:val="auto"/>
              </w:rPr>
            </w:pPr>
            <w:r>
              <w:rPr>
                <w:rFonts w:ascii="Times New Roman" w:cs="Times New Roman" w:eastAsia="Times New Roman" w:hAnsi="Times New Roman"/>
                <w:sz w:val="16"/>
                <w:szCs w:val="16"/>
                <w:b w:val="1"/>
                <w:bCs w:val="1"/>
                <w:color w:val="231F20"/>
                <w:w w:val="97"/>
              </w:rPr>
              <w:t>Centers</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Non-lease property revenue</w:t>
            </w:r>
            <w:r>
              <w:rPr>
                <w:rFonts w:ascii="Times New Roman" w:cs="Times New Roman" w:eastAsia="Times New Roman" w:hAnsi="Times New Roman"/>
                <w:sz w:val="20"/>
                <w:szCs w:val="20"/>
                <w:color w:val="BABCBE"/>
                <w:w w:val="99"/>
              </w:rPr>
              <w:t>........................................</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322.4</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24.4</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127.5</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116.5</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604.3</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9"/>
              </w:rPr>
              <w:t>Services revenue</w:t>
            </w:r>
            <w:r>
              <w:rPr>
                <w:rFonts w:ascii="Times New Roman" w:cs="Times New Roman" w:eastAsia="Times New Roman" w:hAnsi="Times New Roman"/>
                <w:sz w:val="20"/>
                <w:szCs w:val="20"/>
                <w:color w:val="BABCBE"/>
                <w:w w:val="99"/>
              </w:rPr>
              <w:t>.........................................................</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143.0</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143.0</w:t>
            </w:r>
          </w:p>
        </w:tc>
        <w:tc>
          <w:tcPr>
            <w:tcW w:w="0" w:type="dxa"/>
            <w:vAlign w:val="bottom"/>
          </w:tcPr>
          <w:p>
            <w:pPr>
              <w:spacing w:after="0"/>
              <w:rPr>
                <w:sz w:val="1"/>
                <w:szCs w:val="1"/>
                <w:color w:val="auto"/>
              </w:rPr>
            </w:pPr>
          </w:p>
        </w:tc>
      </w:tr>
      <w:tr>
        <w:trPr>
          <w:trHeight w:val="284"/>
        </w:trPr>
        <w:tc>
          <w:tcPr>
            <w:tcW w:w="42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Total non-lease revenue</w:t>
            </w:r>
            <w:r>
              <w:rPr>
                <w:rFonts w:ascii="Times New Roman" w:cs="Times New Roman" w:eastAsia="Times New Roman" w:hAnsi="Times New Roman"/>
                <w:sz w:val="20"/>
                <w:szCs w:val="20"/>
                <w:color w:val="BABCBE"/>
                <w:w w:val="99"/>
              </w:rPr>
              <w:t>..............................................</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465.4</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24.4</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127.5</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116.5</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747.3</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9"/>
              </w:rPr>
              <w:t>Property lease revenue</w:t>
            </w:r>
            <w:r>
              <w:rPr>
                <w:rFonts w:ascii="Times New Roman" w:cs="Times New Roman" w:eastAsia="Times New Roman" w:hAnsi="Times New Roman"/>
                <w:sz w:val="20"/>
                <w:szCs w:val="20"/>
                <w:color w:val="BABCBE"/>
                <w:w w:val="99"/>
              </w:rPr>
              <w:t>................................................</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4,893.8</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1,220.0</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762.1</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1,670.8</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718.2</w:t>
            </w:r>
          </w:p>
        </w:tc>
        <w:tc>
          <w:tcPr>
            <w:tcW w:w="60" w:type="dxa"/>
            <w:vAlign w:val="bottom"/>
            <w:tcBorders>
              <w:bottom w:val="single" w:sz="8" w:color="E3E4E5"/>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9,264.9</w:t>
            </w:r>
          </w:p>
        </w:tc>
        <w:tc>
          <w:tcPr>
            <w:tcW w:w="0" w:type="dxa"/>
            <w:vAlign w:val="bottom"/>
          </w:tcPr>
          <w:p>
            <w:pPr>
              <w:spacing w:after="0"/>
              <w:rPr>
                <w:sz w:val="1"/>
                <w:szCs w:val="1"/>
                <w:color w:val="auto"/>
              </w:rPr>
            </w:pPr>
          </w:p>
        </w:tc>
      </w:tr>
      <w:tr>
        <w:trPr>
          <w:trHeight w:val="294"/>
        </w:trPr>
        <w:tc>
          <w:tcPr>
            <w:tcW w:w="42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shd w:val="clear" w:color="auto" w:fill="E3E4E5"/>
              </w:rPr>
              <w:t xml:space="preserve">Total revenue </w:t>
            </w:r>
            <w:r>
              <w:rPr>
                <w:rFonts w:ascii="Times New Roman" w:cs="Times New Roman" w:eastAsia="Times New Roman" w:hAnsi="Times New Roman"/>
                <w:sz w:val="20"/>
                <w:szCs w:val="20"/>
                <w:color w:val="BABCBE"/>
                <w:w w:val="98"/>
                <w:shd w:val="clear" w:color="auto" w:fill="E3E4E5"/>
              </w:rPr>
              <w:t>..............................................................</w:t>
            </w:r>
          </w:p>
        </w:tc>
        <w:tc>
          <w:tcPr>
            <w:tcW w:w="8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5,359.2</w:t>
            </w:r>
          </w:p>
        </w:tc>
        <w:tc>
          <w:tcPr>
            <w:tcW w:w="6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1,244.4</w:t>
            </w:r>
          </w:p>
        </w:tc>
        <w:tc>
          <w:tcPr>
            <w:tcW w:w="8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775.6</w:t>
            </w:r>
          </w:p>
        </w:tc>
        <w:tc>
          <w:tcPr>
            <w:tcW w:w="6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1,798.3</w:t>
            </w:r>
          </w:p>
        </w:tc>
        <w:tc>
          <w:tcPr>
            <w:tcW w:w="8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7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834.7</w:t>
            </w:r>
          </w:p>
        </w:tc>
        <w:tc>
          <w:tcPr>
            <w:tcW w:w="6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u w:val="single" w:color="auto"/>
                <w:color w:val="231F20"/>
                <w:shd w:val="clear" w:color="auto" w:fill="E3E4E5"/>
              </w:rPr>
              <w:t>$</w:t>
            </w: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4"/>
                <w:shd w:val="clear" w:color="auto" w:fill="E3E4E5"/>
              </w:rPr>
              <w:t>10,012.2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-963930</wp:posOffset>
            </wp:positionV>
            <wp:extent cx="641032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71">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-590550</wp:posOffset>
            </wp:positionV>
            <wp:extent cx="366585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72">
                      <a:extLst>
                        <a:ext uri="{28A0092B-C50C-407E-A947-70E740481C1C}"/>
                      </a:extLst>
                    </a:blip>
                    <a:srcRect/>
                    <a:stretch>
                      <a:fillRect/>
                    </a:stretch>
                  </pic:blipFill>
                  <pic:spPr bwMode="auto">
                    <a:xfrm>
                      <a:off x="0" y="0"/>
                      <a:ext cx="3665855" cy="2540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-217170</wp:posOffset>
            </wp:positionV>
            <wp:extent cx="366585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73">
                      <a:extLst>
                        <a:ext uri="{28A0092B-C50C-407E-A947-70E740481C1C}"/>
                      </a:extLst>
                    </a:blip>
                    <a:srcRect/>
                    <a:stretch>
                      <a:fillRect/>
                    </a:stretch>
                  </pic:blipFill>
                  <pic:spPr bwMode="auto">
                    <a:xfrm>
                      <a:off x="0" y="0"/>
                      <a:ext cx="3665855" cy="2540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-43180</wp:posOffset>
            </wp:positionV>
            <wp:extent cx="3665855" cy="501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74">
                      <a:extLst>
                        <a:ext uri="{28A0092B-C50C-407E-A947-70E740481C1C}"/>
                      </a:extLst>
                    </a:blip>
                    <a:srcRect/>
                    <a:stretch>
                      <a:fillRect/>
                    </a:stretch>
                  </pic:blipFill>
                  <pic:spPr bwMode="auto">
                    <a:xfrm>
                      <a:off x="0" y="0"/>
                      <a:ext cx="3665855" cy="50165"/>
                    </a:xfrm>
                    <a:prstGeom prst="rect">
                      <a:avLst/>
                    </a:prstGeom>
                    <a:noFill/>
                  </pic:spPr>
                </pic:pic>
              </a:graphicData>
            </a:graphic>
          </wp:anchor>
        </w:drawing>
      </w:r>
    </w:p>
    <w:p>
      <w:pPr>
        <w:ind w:left="347" w:hanging="347"/>
        <w:spacing w:after="0"/>
        <w:tabs>
          <w:tab w:leader="none" w:pos="347" w:val="left"/>
        </w:tabs>
        <w:numPr>
          <w:ilvl w:val="0"/>
          <w:numId w:val="8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F-14</w:t>
      </w:r>
    </w:p>
    <w:p>
      <w:pPr>
        <w:sectPr>
          <w:pgSz w:w="11880" w:h="15480" w:orient="portrait"/>
          <w:cols w:equalWidth="0" w:num="1">
            <w:col w:w="10047"/>
          </w:cols>
          <w:pgMar w:left="913" w:top="418" w:right="920" w:bottom="0" w:gutter="0" w:footer="0" w:header="0"/>
          <w:type w:val="continuous"/>
        </w:sectPr>
      </w:pPr>
    </w:p>
    <w:bookmarkStart w:id="104" w:name="page105"/>
    <w:bookmarkEnd w:id="104"/>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Information about non-lease receivables, contract assets and contract liabilities from contracts with customers is as follows:</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70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60" w:type="dxa"/>
            <w:vAlign w:val="bottom"/>
            <w:tcBorders>
              <w:bottom w:val="single" w:sz="8" w:color="231F20"/>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231F20"/>
                <w:w w:val="97"/>
              </w:rPr>
              <w:t>December 31, 2025</w:t>
            </w: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80" w:type="dxa"/>
            <w:vAlign w:val="bottom"/>
            <w:tcBorders>
              <w:bottom w:val="single" w:sz="8" w:color="231F20"/>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231F20"/>
                <w:w w:val="98"/>
              </w:rPr>
              <w:t>December 31, 2024</w:t>
            </w:r>
          </w:p>
        </w:tc>
      </w:tr>
      <w:tr>
        <w:trPr>
          <w:trHeight w:val="284"/>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Accounts receivable </w:t>
            </w:r>
            <w:r>
              <w:rPr>
                <w:rFonts w:ascii="Times New Roman" w:cs="Times New Roman" w:eastAsia="Times New Roman" w:hAnsi="Times New Roman"/>
                <w:sz w:val="20"/>
                <w:szCs w:val="20"/>
                <w:color w:val="BABCBE"/>
                <w:w w:val="99"/>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103.0</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97.4</w:t>
            </w:r>
          </w:p>
        </w:tc>
      </w:tr>
      <w:tr>
        <w:trPr>
          <w:trHeight w:val="288"/>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Prepaids and other current assets </w:t>
            </w:r>
            <w:r>
              <w:rPr>
                <w:rFonts w:ascii="Times New Roman" w:cs="Times New Roman" w:eastAsia="Times New Roman" w:hAnsi="Times New Roman"/>
                <w:sz w:val="20"/>
                <w:szCs w:val="20"/>
                <w:color w:val="BABCBE"/>
                <w:w w:val="99"/>
              </w:rPr>
              <w: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45.2</w:t>
            </w:r>
          </w:p>
        </w:tc>
      </w:tr>
      <w:tr>
        <w:trPr>
          <w:trHeight w:val="30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Notes receivable and other non-current assets </w:t>
            </w:r>
            <w:r>
              <w:rPr>
                <w:rFonts w:ascii="Times New Roman" w:cs="Times New Roman" w:eastAsia="Times New Roman" w:hAnsi="Times New Roman"/>
                <w:sz w:val="20"/>
                <w:szCs w:val="20"/>
                <w:color w:val="BABCBE"/>
                <w:w w:val="99"/>
              </w:rPr>
              <w:t>............................................................</w:t>
            </w:r>
          </w:p>
        </w:tc>
        <w:tc>
          <w:tcPr>
            <w:tcW w:w="160" w:type="dxa"/>
            <w:vAlign w:val="bottom"/>
            <w:shd w:val="clear" w:color="auto" w:fill="E3E4E5"/>
          </w:tcPr>
          <w:p>
            <w:pPr>
              <w:spacing w:after="0"/>
              <w:rPr>
                <w:sz w:val="24"/>
                <w:szCs w:val="24"/>
                <w:color w:val="auto"/>
              </w:rPr>
            </w:pPr>
          </w:p>
        </w:tc>
        <w:tc>
          <w:tcPr>
            <w:tcW w:w="1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39.0</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30.4</w:t>
            </w:r>
          </w:p>
        </w:tc>
      </w:tr>
      <w:tr>
        <w:trPr>
          <w:trHeight w:val="288"/>
        </w:trPr>
        <w:tc>
          <w:tcPr>
            <w:tcW w:w="67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Unearned revenue (1)</w:t>
            </w:r>
            <w:r>
              <w:rPr>
                <w:rFonts w:ascii="Times New Roman" w:cs="Times New Roman" w:eastAsia="Times New Roman" w:hAnsi="Times New Roman"/>
                <w:sz w:val="20"/>
                <w:szCs w:val="20"/>
                <w:color w:val="BABCBE"/>
                <w:w w:val="99"/>
              </w:rPr>
              <w:t>..................................................................................................</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86.7</w:t>
            </w:r>
          </w:p>
        </w:tc>
      </w:tr>
      <w:tr>
        <w:trPr>
          <w:trHeight w:val="300"/>
        </w:trPr>
        <w:tc>
          <w:tcPr>
            <w:tcW w:w="67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Other non-current liabilities (1) </w:t>
            </w:r>
            <w:r>
              <w:rPr>
                <w:rFonts w:ascii="Times New Roman" w:cs="Times New Roman" w:eastAsia="Times New Roman" w:hAnsi="Times New Roman"/>
                <w:sz w:val="20"/>
                <w:szCs w:val="20"/>
                <w:color w:val="BABCBE"/>
                <w:w w:val="99"/>
              </w:rPr>
              <w:t>..................................................................................</w:t>
            </w:r>
          </w:p>
        </w:tc>
        <w:tc>
          <w:tcPr>
            <w:tcW w:w="160" w:type="dxa"/>
            <w:vAlign w:val="bottom"/>
            <w:shd w:val="clear" w:color="auto" w:fill="E3E4E5"/>
          </w:tcPr>
          <w:p>
            <w:pPr>
              <w:spacing w:after="0"/>
              <w:rPr>
                <w:sz w:val="24"/>
                <w:szCs w:val="24"/>
                <w:color w:val="auto"/>
              </w:rPr>
            </w:pPr>
          </w:p>
        </w:tc>
        <w:tc>
          <w:tcPr>
            <w:tcW w:w="1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233.3</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-945515</wp:posOffset>
            </wp:positionV>
            <wp:extent cx="214439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5">
                      <a:extLst>
                        <a:ext uri="{28A0092B-C50C-407E-A947-70E740481C1C}"/>
                      </a:extLst>
                    </a:blip>
                    <a:srcRect/>
                    <a:stretch>
                      <a:fillRect/>
                    </a:stretch>
                  </pic:blipFill>
                  <pic:spPr bwMode="auto">
                    <a:xfrm>
                      <a:off x="0" y="0"/>
                      <a:ext cx="2144395" cy="25400"/>
                    </a:xfrm>
                    <a:prstGeom prst="rect">
                      <a:avLst/>
                    </a:prstGeom>
                    <a:noFill/>
                  </pic:spPr>
                </pic:pic>
              </a:graphicData>
            </a:graphic>
          </wp:anchor>
        </w:drawing>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8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capital contributions related to DAS networks.</w:t>
      </w:r>
    </w:p>
    <w:p>
      <w:pPr>
        <w:spacing w:after="0" w:line="131" w:lineRule="exact"/>
        <w:rPr>
          <w:sz w:val="20"/>
          <w:szCs w:val="20"/>
          <w:color w:val="auto"/>
        </w:rPr>
      </w:pPr>
    </w:p>
    <w:p>
      <w:pPr>
        <w:ind w:left="7" w:right="500"/>
        <w:spacing w:after="0" w:line="273" w:lineRule="auto"/>
        <w:rPr>
          <w:sz w:val="20"/>
          <w:szCs w:val="20"/>
          <w:color w:val="auto"/>
        </w:rPr>
      </w:pPr>
      <w:r>
        <w:rPr>
          <w:rFonts w:ascii="Times New Roman" w:cs="Times New Roman" w:eastAsia="Times New Roman" w:hAnsi="Times New Roman"/>
          <w:sz w:val="20"/>
          <w:szCs w:val="20"/>
          <w:color w:val="231F20"/>
        </w:rPr>
        <w:t>The Company records unearned revenue when payments are received from customers in advance of the completion of the Company’s performance obligations. Long-term unearned revenue is included in Other non-current liabilities.</w:t>
      </w:r>
    </w:p>
    <w:p>
      <w:pPr>
        <w:spacing w:after="0" w:line="104" w:lineRule="exact"/>
        <w:rPr>
          <w:sz w:val="20"/>
          <w:szCs w:val="20"/>
          <w:color w:val="auto"/>
        </w:rPr>
      </w:pPr>
    </w:p>
    <w:p>
      <w:pPr>
        <w:ind w:left="7" w:right="80"/>
        <w:spacing w:after="0" w:line="273" w:lineRule="auto"/>
        <w:rPr>
          <w:sz w:val="20"/>
          <w:szCs w:val="20"/>
          <w:color w:val="auto"/>
        </w:rPr>
      </w:pPr>
      <w:r>
        <w:rPr>
          <w:rFonts w:ascii="Times New Roman" w:cs="Times New Roman" w:eastAsia="Times New Roman" w:hAnsi="Times New Roman"/>
          <w:sz w:val="20"/>
          <w:szCs w:val="20"/>
          <w:color w:val="231F20"/>
        </w:rPr>
        <w:t>During the year ended December 31, 2025, the Company recognized $133.1 million of revenue that was previously included in the contract liabilities balances, primarily arising from balances as of December 31, 2024.</w:t>
      </w:r>
    </w:p>
    <w:p>
      <w:pPr>
        <w:spacing w:after="0" w:line="104" w:lineRule="exact"/>
        <w:rPr>
          <w:sz w:val="20"/>
          <w:szCs w:val="20"/>
          <w:color w:val="auto"/>
        </w:rPr>
      </w:pPr>
    </w:p>
    <w:p>
      <w:pPr>
        <w:ind w:left="7" w:right="240"/>
        <w:spacing w:after="0" w:line="268" w:lineRule="auto"/>
        <w:rPr>
          <w:sz w:val="20"/>
          <w:szCs w:val="20"/>
          <w:color w:val="auto"/>
        </w:rPr>
      </w:pPr>
      <w:r>
        <w:rPr>
          <w:rFonts w:ascii="Times New Roman" w:cs="Times New Roman" w:eastAsia="Times New Roman" w:hAnsi="Times New Roman"/>
          <w:sz w:val="19"/>
          <w:szCs w:val="19"/>
          <w:color w:val="231F20"/>
        </w:rPr>
        <w:t>The Company records unbilled receivables, which are included in Prepaids and other current assets, when it has completed a performance obligation prior to its ability to bill under the customer arrangement. Other contract assets are included in Notes receivable and other non-current assets. The Company recorded an immaterial change in unbilled receivables attributable to non-lease property revenue recognized during each of the years ended December 31, 2025 and 2024. The changes in contract assets attributable to revenue recognized during the years ended December 31, 2025 and 2024 were immaterial.</w:t>
      </w:r>
    </w:p>
    <w:p>
      <w:pPr>
        <w:spacing w:after="0" w:line="113" w:lineRule="exact"/>
        <w:rPr>
          <w:sz w:val="20"/>
          <w:szCs w:val="20"/>
          <w:color w:val="auto"/>
        </w:rPr>
      </w:pPr>
    </w:p>
    <w:p>
      <w:pPr>
        <w:jc w:val="both"/>
        <w:ind w:left="7" w:right="240"/>
        <w:spacing w:after="0" w:line="259" w:lineRule="auto"/>
        <w:rPr>
          <w:sz w:val="20"/>
          <w:szCs w:val="20"/>
          <w:color w:val="auto"/>
        </w:rPr>
      </w:pPr>
      <w:r>
        <w:rPr>
          <w:rFonts w:ascii="Times New Roman" w:cs="Times New Roman" w:eastAsia="Times New Roman" w:hAnsi="Times New Roman"/>
          <w:sz w:val="20"/>
          <w:szCs w:val="20"/>
          <w:color w:val="231F20"/>
        </w:rPr>
        <w:t>The Company does not disclose the value of unsatisfied performance obligations for agreements (i) with an original expected length of one year or less or (ii) for which it recognizes revenue at the amount to which it has the right to invoice for services performed.</w:t>
      </w:r>
    </w:p>
    <w:p>
      <w:pPr>
        <w:spacing w:after="0" w:line="116" w:lineRule="exact"/>
        <w:rPr>
          <w:sz w:val="20"/>
          <w:szCs w:val="20"/>
          <w:color w:val="auto"/>
        </w:rPr>
      </w:pPr>
    </w:p>
    <w:p>
      <w:pPr>
        <w:ind w:left="7" w:right="200"/>
        <w:spacing w:after="0" w:line="280" w:lineRule="auto"/>
        <w:rPr>
          <w:sz w:val="20"/>
          <w:szCs w:val="20"/>
          <w:color w:val="auto"/>
        </w:rPr>
      </w:pPr>
      <w:r>
        <w:rPr>
          <w:rFonts w:ascii="Times New Roman" w:cs="Times New Roman" w:eastAsia="Times New Roman" w:hAnsi="Times New Roman"/>
          <w:sz w:val="19"/>
          <w:szCs w:val="19"/>
          <w:i w:val="1"/>
          <w:iCs w:val="1"/>
          <w:color w:val="231F20"/>
        </w:rPr>
        <w:t>Lease Accounting and Rent Expense</w:t>
      </w:r>
      <w:r>
        <w:rPr>
          <w:rFonts w:ascii="Times New Roman" w:cs="Times New Roman" w:eastAsia="Times New Roman" w:hAnsi="Times New Roman"/>
          <w:sz w:val="19"/>
          <w:szCs w:val="19"/>
          <w:color w:val="231F20"/>
        </w:rPr>
        <w:t>—The Company accounts for leases using a right-of-use model, which recognizes that, at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the date of commencement, a lessee has a financial obligation to make lease payments to the lessor for the right to use the underlying asset during the lease term. The lessee also recognizes a corresponding right-of-use asset related to this right.</w:t>
      </w:r>
    </w:p>
    <w:p>
      <w:pPr>
        <w:spacing w:after="0" w:line="100" w:lineRule="exact"/>
        <w:rPr>
          <w:sz w:val="20"/>
          <w:szCs w:val="20"/>
          <w:color w:val="auto"/>
        </w:rPr>
      </w:pPr>
    </w:p>
    <w:p>
      <w:pPr>
        <w:ind w:left="7" w:right="60"/>
        <w:spacing w:after="0" w:line="249" w:lineRule="auto"/>
        <w:rPr>
          <w:sz w:val="20"/>
          <w:szCs w:val="20"/>
          <w:color w:val="auto"/>
        </w:rPr>
      </w:pPr>
      <w:r>
        <w:rPr>
          <w:rFonts w:ascii="Times New Roman" w:cs="Times New Roman" w:eastAsia="Times New Roman" w:hAnsi="Times New Roman"/>
          <w:sz w:val="20"/>
          <w:szCs w:val="20"/>
          <w:color w:val="231F20"/>
        </w:rPr>
        <w:t>The Company recognizes a right-of-use lease asset and lease liability for operating and finance leases. The right-of-use asset is measured as the sum of the lease liability, prepaid or accrued lease payments, any initial direct costs incurred and any other applicable amounts. The Company reviews its right-of-use assets for impairment whenever events, changes in circumstances or other evidence indicate that the carrying amount of the Company’s assets may not be recoverable. The Company reviews its right-of-use assets for indicators of impairment at the lowest level of identifiable cash flows, as part of its asset portfolio. Impairments primarily result from a site not having current tenant leases or from having expenses in excess of revenues. The Company records impairment charges, which are discussed in note 15, in Other operating expenses in the consolidated statements of operations in the period in which the Company identifies such impairment.</w:t>
      </w:r>
    </w:p>
    <w:p>
      <w:pPr>
        <w:spacing w:after="0" w:line="130" w:lineRule="exact"/>
        <w:rPr>
          <w:sz w:val="20"/>
          <w:szCs w:val="20"/>
          <w:color w:val="auto"/>
        </w:rPr>
      </w:pPr>
    </w:p>
    <w:p>
      <w:pPr>
        <w:ind w:left="7" w:right="40"/>
        <w:spacing w:after="0" w:line="252" w:lineRule="auto"/>
        <w:rPr>
          <w:sz w:val="20"/>
          <w:szCs w:val="20"/>
          <w:color w:val="auto"/>
        </w:rPr>
      </w:pPr>
      <w:r>
        <w:rPr>
          <w:rFonts w:ascii="Times New Roman" w:cs="Times New Roman" w:eastAsia="Times New Roman" w:hAnsi="Times New Roman"/>
          <w:sz w:val="20"/>
          <w:szCs w:val="20"/>
          <w:color w:val="231F20"/>
        </w:rPr>
        <w:t>The calculation of the lease liability requires the Company to make certain assumptions for each lease, including lease term and discount rate implicit in each lease, which could significantly impact the gross lease obligation, the duration and the present value of the lease liability. When calculating the lease term, the Company considers the renewal, cancellation and termination rights available to the Company and the lessor. The Company determines the discount rate by calculating the incremental borrowing rate on a collateralized basis at the commencement of a lease or upon a change in the lease term.</w:t>
      </w:r>
    </w:p>
    <w:p>
      <w:pPr>
        <w:spacing w:after="0" w:line="125" w:lineRule="exact"/>
        <w:rPr>
          <w:sz w:val="20"/>
          <w:szCs w:val="20"/>
          <w:color w:val="auto"/>
        </w:rPr>
      </w:pPr>
    </w:p>
    <w:p>
      <w:pPr>
        <w:ind w:left="7"/>
        <w:spacing w:after="0" w:line="251" w:lineRule="auto"/>
        <w:rPr>
          <w:sz w:val="20"/>
          <w:szCs w:val="20"/>
          <w:color w:val="auto"/>
        </w:rPr>
      </w:pPr>
      <w:r>
        <w:rPr>
          <w:rFonts w:ascii="Times New Roman" w:cs="Times New Roman" w:eastAsia="Times New Roman" w:hAnsi="Times New Roman"/>
          <w:sz w:val="20"/>
          <w:szCs w:val="20"/>
          <w:color w:val="231F20"/>
        </w:rPr>
        <w:t>Many of the leases underlying the Company’s sites have fixed rent escalations, which provide for periodic increases in the amount of ground rent payable by the Company over time. In addition, certain of the Company’s tenant leases require the Company to exercise available renewal options pursuant to the underlying ground lease if the tenant exercises its renewal option. The Company’s calculation of the lease liability includes the term of the underlying ground lease plus all periods, if any, for which failure to renew the lease imposes an economic penalty to the Company such that renewal appears to be reasonably assured.</w:t>
      </w:r>
    </w:p>
    <w:p>
      <w:pPr>
        <w:spacing w:after="0" w:line="125" w:lineRule="exact"/>
        <w:rPr>
          <w:sz w:val="20"/>
          <w:szCs w:val="20"/>
          <w:color w:val="auto"/>
        </w:rPr>
      </w:pPr>
    </w:p>
    <w:p>
      <w:pPr>
        <w:ind w:left="7" w:right="80"/>
        <w:spacing w:after="0" w:line="273" w:lineRule="auto"/>
        <w:rPr>
          <w:sz w:val="20"/>
          <w:szCs w:val="20"/>
          <w:color w:val="auto"/>
        </w:rPr>
      </w:pPr>
      <w:r>
        <w:rPr>
          <w:rFonts w:ascii="Times New Roman" w:cs="Times New Roman" w:eastAsia="Times New Roman" w:hAnsi="Times New Roman"/>
          <w:sz w:val="20"/>
          <w:szCs w:val="20"/>
          <w:color w:val="231F20"/>
        </w:rPr>
        <w:t>The straight-line component of ground rent expense for the years ended December 31, 2025, 2024 and 2023 was $36.2 million, $46.8 million and $24.4 million, respectively.</w:t>
      </w:r>
    </w:p>
    <w:p>
      <w:pPr>
        <w:spacing w:after="0" w:line="102" w:lineRule="exact"/>
        <w:rPr>
          <w:sz w:val="20"/>
          <w:szCs w:val="20"/>
          <w:color w:val="auto"/>
        </w:rPr>
      </w:pPr>
    </w:p>
    <w:p>
      <w:pPr>
        <w:ind w:left="7" w:right="140"/>
        <w:spacing w:after="0" w:line="255" w:lineRule="auto"/>
        <w:rPr>
          <w:sz w:val="20"/>
          <w:szCs w:val="20"/>
          <w:color w:val="auto"/>
        </w:rPr>
      </w:pPr>
      <w:r>
        <w:rPr>
          <w:rFonts w:ascii="Times New Roman" w:cs="Times New Roman" w:eastAsia="Times New Roman" w:hAnsi="Times New Roman"/>
          <w:sz w:val="20"/>
          <w:szCs w:val="20"/>
          <w:i w:val="1"/>
          <w:iCs w:val="1"/>
          <w:color w:val="231F20"/>
        </w:rPr>
        <w:t>Selling, General, Administrative and Development Expense</w:t>
      </w:r>
      <w:r>
        <w:rPr>
          <w:rFonts w:ascii="Times New Roman" w:cs="Times New Roman" w:eastAsia="Times New Roman" w:hAnsi="Times New Roman"/>
          <w:sz w:val="20"/>
          <w:szCs w:val="20"/>
          <w:color w:val="231F20"/>
        </w:rPr>
        <w:t>—Selling, general and administrative expense consists of overhead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expenses related to the Company’s property and services operations and corporate overhead costs not specifically allocable to any of the Company’s individual business operations. Development expense consists of costs related to the Company’s acquisition efforts, costs associated with new business initiatives and project cancellation costs.</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F-15</w:t>
      </w:r>
    </w:p>
    <w:p>
      <w:pPr>
        <w:sectPr>
          <w:pgSz w:w="11880" w:h="15480" w:orient="portrait"/>
          <w:cols w:equalWidth="0" w:num="1">
            <w:col w:w="10047"/>
          </w:cols>
          <w:pgMar w:left="913" w:top="418" w:right="920" w:bottom="0" w:gutter="0" w:footer="0" w:header="0"/>
          <w:type w:val="continuous"/>
        </w:sectPr>
      </w:pPr>
    </w:p>
    <w:bookmarkStart w:id="105" w:name="page106"/>
    <w:bookmarkEnd w:id="105"/>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0" w:lineRule="exact"/>
        <w:rPr>
          <w:sz w:val="20"/>
          <w:szCs w:val="20"/>
          <w:color w:val="auto"/>
        </w:rPr>
      </w:pPr>
    </w:p>
    <w:p>
      <w:pPr>
        <w:ind w:left="7"/>
        <w:spacing w:after="0" w:line="248" w:lineRule="auto"/>
        <w:rPr>
          <w:sz w:val="20"/>
          <w:szCs w:val="20"/>
          <w:color w:val="auto"/>
        </w:rPr>
      </w:pPr>
      <w:r>
        <w:rPr>
          <w:rFonts w:ascii="Times New Roman" w:cs="Times New Roman" w:eastAsia="Times New Roman" w:hAnsi="Times New Roman"/>
          <w:sz w:val="20"/>
          <w:szCs w:val="20"/>
          <w:i w:val="1"/>
          <w:iCs w:val="1"/>
          <w:color w:val="231F20"/>
        </w:rPr>
        <w:t>Stock-Based Compensation</w:t>
      </w:r>
      <w:r>
        <w:rPr>
          <w:rFonts w:ascii="Times New Roman" w:cs="Times New Roman" w:eastAsia="Times New Roman" w:hAnsi="Times New Roman"/>
          <w:sz w:val="20"/>
          <w:szCs w:val="20"/>
          <w:color w:val="231F20"/>
        </w:rPr>
        <w:t>—Stock-based compensation expense is measured at the accounting measurement date based on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fair value of the award and is generally recognized as an expense over the service period, which typically represents the vesting period. The Company provides for accelerated vesting and extended exercise periods of stock options and restricted stock units upon an employee’s death or permanent disability, or upon an employee’s qualified retirement, provided certain eligibility criteria are met. Accordingly, the Company recognizes compensation expense for stock options and time-based restricted stock units (“RSUs”) over the shorter of (i) the vesting period or (ii) the period from the date of grant to the date the employee becomes eligible for such benefits due to death, disability or qualified retirement, which may occur upon grant. The expense recognized includes the impact of forfeitures as they occur. Equity awards typically vest ratably. Awards of RSUs and stock options granted prior to March 10, 2023 generally vest over four years. In December 2022, the Company’s Compensation and Human Capital Committee (the “Compensation Committee”) changed the terms of its awards to generally vest over three years. The change in vesting terms is applicable for new awards granted beginning on March 10, 2023 and does not change the vesting terms applicable to grants awarded prior to March 10, 2023.</w:t>
      </w:r>
    </w:p>
    <w:p>
      <w:pPr>
        <w:spacing w:after="0" w:line="129" w:lineRule="exact"/>
        <w:rPr>
          <w:sz w:val="20"/>
          <w:szCs w:val="20"/>
          <w:color w:val="auto"/>
        </w:rPr>
      </w:pPr>
    </w:p>
    <w:p>
      <w:pPr>
        <w:ind w:left="7" w:right="80"/>
        <w:spacing w:after="0" w:line="266" w:lineRule="auto"/>
        <w:rPr>
          <w:sz w:val="20"/>
          <w:szCs w:val="20"/>
          <w:color w:val="auto"/>
        </w:rPr>
      </w:pPr>
      <w:r>
        <w:rPr>
          <w:rFonts w:ascii="Times New Roman" w:cs="Times New Roman" w:eastAsia="Times New Roman" w:hAnsi="Times New Roman"/>
          <w:sz w:val="19"/>
          <w:szCs w:val="19"/>
          <w:color w:val="231F20"/>
        </w:rPr>
        <w:t>The Company grants performance-based restricted stock units (“PSUs”) to its executive officers. Threshold, target and maximum parameters are established for a three-year performance period at the time of grant. The metrics are used to calculate the number of shares that will be issuable when the awards vest, which may range from zero to 200% of the target amounts. The Company recognizes compensation expense for PSUs over the three-year vesting period, subject to adjustment based on the date the employee becomes eligible for retirement benefits as well as performance relative to grant parameters. The Company’s PSUs granted in 2024 and certain of the PSUs granted in 2025 also include a market condition component.</w:t>
      </w:r>
    </w:p>
    <w:p>
      <w:pPr>
        <w:spacing w:after="0" w:line="115" w:lineRule="exact"/>
        <w:rPr>
          <w:sz w:val="20"/>
          <w:szCs w:val="20"/>
          <w:color w:val="auto"/>
        </w:rPr>
      </w:pPr>
    </w:p>
    <w:p>
      <w:pPr>
        <w:ind w:left="7" w:right="20"/>
        <w:spacing w:after="0" w:line="252" w:lineRule="auto"/>
        <w:rPr>
          <w:sz w:val="20"/>
          <w:szCs w:val="20"/>
          <w:color w:val="auto"/>
        </w:rPr>
      </w:pPr>
      <w:r>
        <w:rPr>
          <w:rFonts w:ascii="Times New Roman" w:cs="Times New Roman" w:eastAsia="Times New Roman" w:hAnsi="Times New Roman"/>
          <w:sz w:val="20"/>
          <w:szCs w:val="20"/>
          <w:color w:val="231F20"/>
        </w:rPr>
        <w:t>The fair value of stock options is determined using the Black-Scholes option-pricing model and the fair value of RSUs and PSUs is based on the fair value of the Company’s common stock on the date of grant. For the component of the PSUs subject to a market condition, fair value is determined using a Monte Carlo simulation model, which uses multiple input variables to determine the probability of satisfying the market condition requirements. The Company recognizes all stock-based compensation expense in Selling, general, administrative and development expense.</w:t>
      </w:r>
    </w:p>
    <w:p>
      <w:pPr>
        <w:spacing w:after="0" w:line="125" w:lineRule="exact"/>
        <w:rPr>
          <w:sz w:val="20"/>
          <w:szCs w:val="20"/>
          <w:color w:val="auto"/>
        </w:rPr>
      </w:pPr>
    </w:p>
    <w:p>
      <w:pPr>
        <w:ind w:left="7" w:right="200"/>
        <w:spacing w:after="0" w:line="268" w:lineRule="auto"/>
        <w:rPr>
          <w:sz w:val="20"/>
          <w:szCs w:val="20"/>
          <w:color w:val="auto"/>
        </w:rPr>
      </w:pPr>
      <w:r>
        <w:rPr>
          <w:rFonts w:ascii="Times New Roman" w:cs="Times New Roman" w:eastAsia="Times New Roman" w:hAnsi="Times New Roman"/>
          <w:sz w:val="19"/>
          <w:szCs w:val="19"/>
          <w:color w:val="231F20"/>
        </w:rPr>
        <w:t>In connection with the vesting of restricted stock units, the Company withholds from issuance a number of shares of common stock to satisfy certain employee tax withholding obligations arising from such vesting. The shares withheld are considered constructively retired. The Company recognizes the fair value of the shares withheld in Additional paid-in capital on the consolidated balance sheets. As of December 31, 2025, the Company has withheld from issuance an aggregate of 3.6 million shares, including 0.3 million shares related to the vesting of restricted stock units during the year ended December 31, 2025.</w:t>
      </w:r>
    </w:p>
    <w:p>
      <w:pPr>
        <w:spacing w:after="0" w:line="111" w:lineRule="exact"/>
        <w:rPr>
          <w:sz w:val="20"/>
          <w:szCs w:val="20"/>
          <w:color w:val="auto"/>
        </w:rPr>
      </w:pPr>
    </w:p>
    <w:p>
      <w:pPr>
        <w:ind w:left="7" w:right="100"/>
        <w:spacing w:after="0" w:line="250" w:lineRule="auto"/>
        <w:rPr>
          <w:sz w:val="20"/>
          <w:szCs w:val="20"/>
          <w:color w:val="auto"/>
        </w:rPr>
      </w:pPr>
      <w:r>
        <w:rPr>
          <w:rFonts w:ascii="Times New Roman" w:cs="Times New Roman" w:eastAsia="Times New Roman" w:hAnsi="Times New Roman"/>
          <w:sz w:val="20"/>
          <w:szCs w:val="20"/>
          <w:i w:val="1"/>
          <w:iCs w:val="1"/>
          <w:color w:val="231F20"/>
        </w:rPr>
        <w:t>Litigation Costs</w:t>
      </w:r>
      <w:r>
        <w:rPr>
          <w:rFonts w:ascii="Times New Roman" w:cs="Times New Roman" w:eastAsia="Times New Roman" w:hAnsi="Times New Roman"/>
          <w:sz w:val="20"/>
          <w:szCs w:val="20"/>
          <w:color w:val="231F20"/>
        </w:rPr>
        <w:t>—The Company periodically becomes involved in various claims and lawsuits that are incidental to its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business. The Company regularly monitors the status of pending legal actions to evaluate both the magnitude and likelihood of any potential loss. The Company accrues for these potential losses when it is probable that a liability has been incurred and the amount of loss, or possible range of loss, can be reasonably estimated. Should the ultimate losses on contingencies or litigation vary from estimates, adjustments to those liabilities may be required. The Company also incurs legal costs in connection with these matters and records estimates of these expenses, which are reflected in Selling, general, administrative and development expense in the accompanying consolidated statements of operations.</w:t>
      </w:r>
    </w:p>
    <w:p>
      <w:pPr>
        <w:spacing w:after="0" w:line="126" w:lineRule="exact"/>
        <w:rPr>
          <w:sz w:val="20"/>
          <w:szCs w:val="20"/>
          <w:color w:val="auto"/>
        </w:rPr>
      </w:pPr>
    </w:p>
    <w:p>
      <w:pPr>
        <w:ind w:left="7" w:right="180"/>
        <w:spacing w:after="0" w:line="263" w:lineRule="auto"/>
        <w:rPr>
          <w:sz w:val="20"/>
          <w:szCs w:val="20"/>
          <w:color w:val="auto"/>
        </w:rPr>
      </w:pPr>
      <w:r>
        <w:rPr>
          <w:rFonts w:ascii="Times New Roman" w:cs="Times New Roman" w:eastAsia="Times New Roman" w:hAnsi="Times New Roman"/>
          <w:sz w:val="19"/>
          <w:szCs w:val="19"/>
          <w:i w:val="1"/>
          <w:iCs w:val="1"/>
          <w:color w:val="231F20"/>
        </w:rPr>
        <w:t>Earnings Per Common Share</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i w:val="1"/>
          <w:iCs w:val="1"/>
          <w:color w:val="231F20"/>
        </w:rPr>
        <w:t>Basic and Diluted</w:t>
      </w:r>
      <w:r>
        <w:rPr>
          <w:rFonts w:ascii="Times New Roman" w:cs="Times New Roman" w:eastAsia="Times New Roman" w:hAnsi="Times New Roman"/>
          <w:sz w:val="19"/>
          <w:szCs w:val="19"/>
          <w:color w:val="231F20"/>
        </w:rPr>
        <w:t>—Basic net income per common share represents net income attributable to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American Tower Corporation common stockholders divided by the weighted average number of common shares outstanding during the period. Diluted net income per common share represents net income attributable to American Tower Corporation common stockholders divided by the weighted average number of common shares outstanding during the period and any dilutive common share equivalents, including (A) shares issuable upon the vesting of RSUs and exercise of stock options and</w:t>
      </w:r>
    </w:p>
    <w:p>
      <w:pPr>
        <w:spacing w:after="0" w:line="2" w:lineRule="exact"/>
        <w:rPr>
          <w:sz w:val="20"/>
          <w:szCs w:val="20"/>
          <w:color w:val="auto"/>
        </w:rPr>
      </w:pPr>
    </w:p>
    <w:p>
      <w:pPr>
        <w:ind w:left="307" w:hanging="307"/>
        <w:spacing w:after="0"/>
        <w:tabs>
          <w:tab w:leader="none" w:pos="307" w:val="left"/>
        </w:tabs>
        <w:numPr>
          <w:ilvl w:val="0"/>
          <w:numId w:val="8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shares expected to be earned upon the achievement of the parameters established for PSUs, each to the extent not anti-</w:t>
      </w:r>
    </w:p>
    <w:p>
      <w:pPr>
        <w:spacing w:after="0" w:line="5" w:lineRule="exact"/>
        <w:rPr>
          <w:rFonts w:ascii="Times New Roman" w:cs="Times New Roman" w:eastAsia="Times New Roman" w:hAnsi="Times New Roman"/>
          <w:sz w:val="20"/>
          <w:szCs w:val="20"/>
          <w:color w:val="231F20"/>
        </w:rPr>
      </w:pPr>
    </w:p>
    <w:p>
      <w:pPr>
        <w:ind w:left="7"/>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19"/>
          <w:szCs w:val="19"/>
          <w:color w:val="231F20"/>
        </w:rPr>
        <w:t>dilutive. The Company uses the treasury stock method to calculate the effect of its outstanding RSUs, PSUs and stock options.</w:t>
      </w:r>
    </w:p>
    <w:p>
      <w:pPr>
        <w:spacing w:after="0" w:line="150" w:lineRule="exact"/>
        <w:rPr>
          <w:sz w:val="20"/>
          <w:szCs w:val="20"/>
          <w:color w:val="auto"/>
        </w:rPr>
      </w:pPr>
    </w:p>
    <w:p>
      <w:pPr>
        <w:ind w:left="7" w:right="280"/>
        <w:spacing w:after="0" w:line="255" w:lineRule="auto"/>
        <w:rPr>
          <w:sz w:val="20"/>
          <w:szCs w:val="20"/>
          <w:color w:val="auto"/>
        </w:rPr>
      </w:pPr>
      <w:r>
        <w:rPr>
          <w:rFonts w:ascii="Times New Roman" w:cs="Times New Roman" w:eastAsia="Times New Roman" w:hAnsi="Times New Roman"/>
          <w:sz w:val="20"/>
          <w:szCs w:val="20"/>
          <w:i w:val="1"/>
          <w:iCs w:val="1"/>
          <w:color w:val="231F20"/>
        </w:rPr>
        <w:t>Retirement Plan</w:t>
      </w:r>
      <w:r>
        <w:rPr>
          <w:rFonts w:ascii="Times New Roman" w:cs="Times New Roman" w:eastAsia="Times New Roman" w:hAnsi="Times New Roman"/>
          <w:sz w:val="20"/>
          <w:szCs w:val="20"/>
          <w:color w:val="231F20"/>
        </w:rPr>
        <w:t>—The Company has a 401(k) plan covering nearly all eligible employees who meet certain age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employment requirements. For the years ended December 31, 2025, 2024 and 2023, the Company matched 100% of the first 5% of a participant's contributions. For the years ended December 31, 2025, 2024 and 2023, the Company contributed $15.6 million, $15.0 million and $15.6 million to the plan, respectively.</w:t>
      </w:r>
    </w:p>
    <w:p>
      <w:pPr>
        <w:spacing w:after="0" w:line="120" w:lineRule="exact"/>
        <w:rPr>
          <w:sz w:val="20"/>
          <w:szCs w:val="20"/>
          <w:color w:val="auto"/>
        </w:rPr>
      </w:pPr>
    </w:p>
    <w:p>
      <w:pPr>
        <w:ind w:left="7"/>
        <w:spacing w:after="0" w:line="267" w:lineRule="auto"/>
        <w:rPr>
          <w:sz w:val="20"/>
          <w:szCs w:val="20"/>
          <w:color w:val="auto"/>
        </w:rPr>
      </w:pPr>
      <w:r>
        <w:rPr>
          <w:rFonts w:ascii="Times New Roman" w:cs="Times New Roman" w:eastAsia="Times New Roman" w:hAnsi="Times New Roman"/>
          <w:sz w:val="19"/>
          <w:szCs w:val="19"/>
          <w:i w:val="1"/>
          <w:iCs w:val="1"/>
          <w:color w:val="231F20"/>
        </w:rPr>
        <w:t xml:space="preserve">Stonepeak Development Partnership— </w:t>
      </w:r>
      <w:r>
        <w:rPr>
          <w:rFonts w:ascii="Times New Roman" w:cs="Times New Roman" w:eastAsia="Times New Roman" w:hAnsi="Times New Roman"/>
          <w:sz w:val="19"/>
          <w:szCs w:val="19"/>
          <w:color w:val="231F20"/>
        </w:rPr>
        <w:t>During the year ended December 31, 2024, the Company entered into an agreement with</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Stonepeak (as defined in note 14) to form a joint venture to construct a new data center in Denver, CO (the “Stonepeak Development Partnership”). At formation, the Company contributed assets with a value of $14.6 million to the Stonepeak Development Partnership and acquired a minority ownership interest (Stonepeak holds the controlling interests). The Company accounts for the Stonepeak Development Partnership as an equity method investment. Under this method, investments are recorded at cost, and are adjusted for the Company’s share of the entities’ income or loss and for distributions and</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10047"/>
          </w:cols>
          <w:pgMar w:left="913" w:top="418" w:right="920" w:bottom="0" w:gutter="0" w:footer="0" w:header="0"/>
          <w:type w:val="continuous"/>
        </w:sectPr>
      </w:pPr>
    </w:p>
    <w:bookmarkStart w:id="106" w:name="page107"/>
    <w:bookmarkEnd w:id="106"/>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400"/>
        <w:spacing w:after="0" w:line="273" w:lineRule="auto"/>
        <w:rPr>
          <w:sz w:val="20"/>
          <w:szCs w:val="20"/>
          <w:color w:val="auto"/>
        </w:rPr>
      </w:pPr>
      <w:r>
        <w:rPr>
          <w:rFonts w:ascii="Times New Roman" w:cs="Times New Roman" w:eastAsia="Times New Roman" w:hAnsi="Times New Roman"/>
          <w:sz w:val="20"/>
          <w:szCs w:val="20"/>
          <w:color w:val="231F20"/>
        </w:rPr>
        <w:t>contributions. As of December 31, 2025, the carrying value of the investment was $33.7 million which is included in Other non-current assets in the consolidated balance sheets.</w:t>
      </w:r>
    </w:p>
    <w:p>
      <w:pPr>
        <w:spacing w:after="0" w:line="102" w:lineRule="exact"/>
        <w:rPr>
          <w:sz w:val="20"/>
          <w:szCs w:val="20"/>
          <w:color w:val="auto"/>
        </w:rPr>
      </w:pPr>
    </w:p>
    <w:p>
      <w:pPr>
        <w:jc w:val="both"/>
        <w:ind w:left="7" w:right="140"/>
        <w:spacing w:after="0" w:line="271" w:lineRule="auto"/>
        <w:rPr>
          <w:sz w:val="20"/>
          <w:szCs w:val="20"/>
          <w:color w:val="auto"/>
        </w:rPr>
      </w:pPr>
      <w:r>
        <w:rPr>
          <w:rFonts w:ascii="Times New Roman" w:cs="Times New Roman" w:eastAsia="Times New Roman" w:hAnsi="Times New Roman"/>
          <w:sz w:val="19"/>
          <w:szCs w:val="19"/>
          <w:i w:val="1"/>
          <w:iCs w:val="1"/>
          <w:color w:val="231F20"/>
        </w:rPr>
        <w:t>Discontinued Operations</w:t>
      </w:r>
      <w:r>
        <w:rPr>
          <w:rFonts w:ascii="Times New Roman" w:cs="Times New Roman" w:eastAsia="Times New Roman" w:hAnsi="Times New Roman"/>
          <w:sz w:val="19"/>
          <w:szCs w:val="19"/>
          <w:color w:val="231F20"/>
        </w:rPr>
        <w:t>—The Company classifies the results of operations related to a disposal of assets and liabilities (“the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disposal group”) in discontinued operations in the consolidated statements of operations if all of the following criteria are met:</w:t>
      </w:r>
    </w:p>
    <w:p>
      <w:pPr>
        <w:ind w:left="7" w:right="440" w:hanging="7"/>
        <w:spacing w:after="0" w:line="267" w:lineRule="auto"/>
        <w:tabs>
          <w:tab w:leader="none" w:pos="274" w:val="left"/>
        </w:tabs>
        <w:numPr>
          <w:ilvl w:val="0"/>
          <w:numId w:val="8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operations and cash flows of the disposal group can be clearly distinguished from the rest of the Company, (b) the disposal group meets the criteria to be classified as held for sale or has been sold or disposed of by other means and (c) the disposal represents a strategic shift that has or will have a major effect on the Company’s operations and financial results.</w:t>
      </w:r>
    </w:p>
    <w:p>
      <w:pPr>
        <w:spacing w:after="0" w:line="112" w:lineRule="exact"/>
        <w:rPr>
          <w:sz w:val="20"/>
          <w:szCs w:val="20"/>
          <w:color w:val="auto"/>
        </w:rPr>
      </w:pPr>
    </w:p>
    <w:p>
      <w:pPr>
        <w:ind w:left="7" w:right="40"/>
        <w:spacing w:after="0" w:line="254" w:lineRule="auto"/>
        <w:rPr>
          <w:sz w:val="20"/>
          <w:szCs w:val="20"/>
          <w:color w:val="auto"/>
        </w:rPr>
      </w:pPr>
      <w:r>
        <w:rPr>
          <w:rFonts w:ascii="Times New Roman" w:cs="Times New Roman" w:eastAsia="Times New Roman" w:hAnsi="Times New Roman"/>
          <w:sz w:val="20"/>
          <w:szCs w:val="20"/>
          <w:color w:val="231F20"/>
        </w:rPr>
        <w:t>The results of operations classified as discontinued operations are reported in Loss from discontinued operations, net of taxes in the accompanying consolidated statements of operations for all periods presented. Historical financial information included in the notes to the consolidated financial statements is adjusted to reflect the classification of results of operations as discontinued operations.</w:t>
      </w:r>
    </w:p>
    <w:p>
      <w:pPr>
        <w:spacing w:after="0" w:line="122" w:lineRule="exact"/>
        <w:rPr>
          <w:sz w:val="20"/>
          <w:szCs w:val="20"/>
          <w:color w:val="auto"/>
        </w:rPr>
      </w:pPr>
    </w:p>
    <w:p>
      <w:pPr>
        <w:ind w:left="7" w:right="40"/>
        <w:spacing w:after="0" w:line="252" w:lineRule="auto"/>
        <w:rPr>
          <w:sz w:val="20"/>
          <w:szCs w:val="20"/>
          <w:color w:val="auto"/>
        </w:rPr>
      </w:pPr>
      <w:r>
        <w:rPr>
          <w:rFonts w:ascii="Times New Roman" w:cs="Times New Roman" w:eastAsia="Times New Roman" w:hAnsi="Times New Roman"/>
          <w:sz w:val="20"/>
          <w:szCs w:val="20"/>
          <w:i w:val="1"/>
          <w:iCs w:val="1"/>
          <w:color w:val="231F20"/>
        </w:rPr>
        <w:t>Accounting Standards Updates</w:t>
      </w:r>
      <w:r>
        <w:rPr>
          <w:rFonts w:ascii="Times New Roman" w:cs="Times New Roman" w:eastAsia="Times New Roman" w:hAnsi="Times New Roman"/>
          <w:sz w:val="20"/>
          <w:szCs w:val="20"/>
          <w:color w:val="231F20"/>
        </w:rPr>
        <w:t>—In December 2023, the FASB issued guidance which requires public entities to provide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enhanced income tax disclosures on an annual basis. The new guidance requires an expanded rate reconciliation and the disaggregation of cash taxes paid by U.S. federal, U.S. state and foreign jurisdictions. The Company adopted this guidance on a retrospective basis for the fiscal year ended December 31, 2025. The adoption of this guidance did not have a material impact on the Company’s financial statements and related disclosures.</w:t>
      </w:r>
    </w:p>
    <w:p>
      <w:pPr>
        <w:spacing w:after="0" w:line="127" w:lineRule="exact"/>
        <w:rPr>
          <w:sz w:val="20"/>
          <w:szCs w:val="20"/>
          <w:color w:val="auto"/>
        </w:rPr>
      </w:pPr>
    </w:p>
    <w:p>
      <w:pPr>
        <w:ind w:left="7" w:right="60"/>
        <w:spacing w:after="0" w:line="250" w:lineRule="auto"/>
        <w:rPr>
          <w:sz w:val="20"/>
          <w:szCs w:val="20"/>
          <w:color w:val="auto"/>
        </w:rPr>
      </w:pPr>
      <w:r>
        <w:rPr>
          <w:rFonts w:ascii="Times New Roman" w:cs="Times New Roman" w:eastAsia="Times New Roman" w:hAnsi="Times New Roman"/>
          <w:sz w:val="20"/>
          <w:szCs w:val="20"/>
          <w:color w:val="231F20"/>
        </w:rPr>
        <w:t>In November 2024, the FASB issued guidance which is intended to improve the disclosures about a public business entity’s expenses, primarily through additional disclosures about the types of expenses (including purchases of inventory, employee compensation, depreciation, amortization, and depletion) included in each relevant expense caption presented on the face of the income statement within continuing operations. The guidance is effective on a prospective basis, with the option for retrospective application, for annual periods beginning after December 15, 2026 and interim reporting periods beginning after December 15, 2027, with early adoption permitted. The Company is currently evaluating the impact of this guidance on its consolidated financial statements and related disclosures.</w:t>
      </w:r>
    </w:p>
    <w:p>
      <w:pPr>
        <w:spacing w:after="0" w:line="126" w:lineRule="exact"/>
        <w:rPr>
          <w:sz w:val="20"/>
          <w:szCs w:val="20"/>
          <w:color w:val="auto"/>
        </w:rPr>
      </w:pPr>
    </w:p>
    <w:p>
      <w:pPr>
        <w:ind w:left="7"/>
        <w:spacing w:after="0" w:line="251" w:lineRule="auto"/>
        <w:rPr>
          <w:sz w:val="20"/>
          <w:szCs w:val="20"/>
          <w:color w:val="auto"/>
        </w:rPr>
      </w:pPr>
      <w:r>
        <w:rPr>
          <w:rFonts w:ascii="Times New Roman" w:cs="Times New Roman" w:eastAsia="Times New Roman" w:hAnsi="Times New Roman"/>
          <w:sz w:val="20"/>
          <w:szCs w:val="20"/>
          <w:color w:val="231F20"/>
        </w:rPr>
        <w:t>In November 2025, the FASB issued guidance which is intended to more closely align hedge accounting with the economics of an entity’s risk management activities. The amendments are intended to better reflect those strategies in financial reporting by enabling entities to achieve and maintain hedge accounting for highly effective economic hedges of forecasted transactions. The guidance is effective on a prospective basis for annual periods beginning after December 15, 2026, and interim reporting periods within those annual reporting periods. The Company is currently evaluating the impact of this guidance on its consolidated financial statements and related disclosures.</w:t>
      </w:r>
    </w:p>
    <w:p>
      <w:pPr>
        <w:spacing w:after="0" w:line="157"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20"/>
          <w:szCs w:val="20"/>
          <w:b w:val="1"/>
          <w:bCs w:val="1"/>
          <w:color w:val="231F20"/>
        </w:rPr>
        <w:t>2.</w:t>
      </w:r>
      <w:r>
        <w:rPr>
          <w:sz w:val="20"/>
          <w:szCs w:val="20"/>
          <w:color w:val="auto"/>
        </w:rPr>
        <w:tab/>
      </w:r>
      <w:r>
        <w:rPr>
          <w:rFonts w:ascii="Times New Roman" w:cs="Times New Roman" w:eastAsia="Times New Roman" w:hAnsi="Times New Roman"/>
          <w:sz w:val="19"/>
          <w:szCs w:val="19"/>
          <w:b w:val="1"/>
          <w:bCs w:val="1"/>
          <w:color w:val="231F20"/>
        </w:rPr>
        <w:t>PREPAID AND OTHER CURRENT ASSETS</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Prepaid and other current assets consisted of the following:</w:t>
      </w:r>
    </w:p>
    <w:p>
      <w:pPr>
        <w:spacing w:after="0" w:line="78"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1580" w:type="dxa"/>
            <w:vAlign w:val="bottom"/>
            <w:tcBorders>
              <w:bottom w:val="single" w:sz="8" w:color="231F20"/>
            </w:tcBorders>
            <w:gridSpan w:val="3"/>
          </w:tcPr>
          <w:p>
            <w:pPr>
              <w:jc w:val="right"/>
              <w:ind w:right="362"/>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940" w:type="dxa"/>
            <w:vAlign w:val="bottom"/>
            <w:tcBorders>
              <w:bottom w:val="single" w:sz="8" w:color="231F20"/>
            </w:tcBorders>
          </w:tcPr>
          <w:p>
            <w:pPr>
              <w:spacing w:after="0"/>
              <w:rPr>
                <w:sz w:val="18"/>
                <w:szCs w:val="18"/>
                <w:color w:val="auto"/>
              </w:rPr>
            </w:pPr>
          </w:p>
        </w:tc>
      </w:tr>
      <w:tr>
        <w:trPr>
          <w:trHeight w:val="215"/>
        </w:trPr>
        <w:tc>
          <w:tcPr>
            <w:tcW w:w="6940" w:type="dxa"/>
            <w:vAlign w:val="bottom"/>
            <w:tcBorders>
              <w:bottom w:val="single" w:sz="8" w:color="E3E4E5"/>
            </w:tcBorders>
          </w:tcPr>
          <w:p>
            <w:pPr>
              <w:spacing w:after="0"/>
              <w:rPr>
                <w:sz w:val="18"/>
                <w:szCs w:val="18"/>
                <w:color w:val="auto"/>
              </w:rPr>
            </w:pPr>
          </w:p>
        </w:tc>
        <w:tc>
          <w:tcPr>
            <w:tcW w:w="1520" w:type="dxa"/>
            <w:vAlign w:val="bottom"/>
            <w:tcBorders>
              <w:bottom w:val="single" w:sz="8" w:color="231F20"/>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80" w:type="dxa"/>
            <w:vAlign w:val="bottom"/>
            <w:tcBorders>
              <w:bottom w:val="single" w:sz="8" w:color="E3E4E5"/>
            </w:tcBorders>
          </w:tcPr>
          <w:p>
            <w:pPr>
              <w:spacing w:after="0"/>
              <w:rPr>
                <w:sz w:val="18"/>
                <w:szCs w:val="18"/>
                <w:color w:val="auto"/>
              </w:rPr>
            </w:pPr>
          </w:p>
        </w:tc>
        <w:tc>
          <w:tcPr>
            <w:tcW w:w="1500" w:type="dxa"/>
            <w:vAlign w:val="bottom"/>
            <w:tcBorders>
              <w:bottom w:val="single" w:sz="8" w:color="231F20"/>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70"/>
        </w:trPr>
        <w:tc>
          <w:tcPr>
            <w:tcW w:w="6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Prepaid assets</w:t>
            </w:r>
          </w:p>
        </w:tc>
        <w:tc>
          <w:tcPr>
            <w:tcW w:w="580" w:type="dxa"/>
            <w:vAlign w:val="bottom"/>
            <w:shd w:val="clear" w:color="auto" w:fill="E3E4E5"/>
          </w:tcPr>
          <w:p>
            <w:pPr>
              <w:jc w:val="right"/>
              <w:ind w:right="329"/>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80.7</w:t>
            </w:r>
          </w:p>
        </w:tc>
        <w:tc>
          <w:tcPr>
            <w:tcW w:w="640" w:type="dxa"/>
            <w:vAlign w:val="bottom"/>
            <w:gridSpan w:val="2"/>
            <w:shd w:val="clear" w:color="auto" w:fill="E3E4E5"/>
          </w:tcPr>
          <w:p>
            <w:pPr>
              <w:jc w:val="right"/>
              <w:ind w:right="342"/>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82.6</w:t>
            </w:r>
          </w:p>
        </w:tc>
      </w:tr>
      <w:tr>
        <w:trPr>
          <w:trHeight w:val="27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Prepaid income tax</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66.7</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77.2</w:t>
            </w:r>
          </w:p>
        </w:tc>
      </w:tr>
      <w:tr>
        <w:trPr>
          <w:trHeight w:val="284"/>
        </w:trPr>
        <w:tc>
          <w:tcPr>
            <w:tcW w:w="6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Unbilled receivables</w:t>
            </w:r>
          </w:p>
        </w:tc>
        <w:tc>
          <w:tcPr>
            <w:tcW w:w="58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194.8</w:t>
            </w:r>
          </w:p>
        </w:tc>
        <w:tc>
          <w:tcPr>
            <w:tcW w:w="80" w:type="dxa"/>
            <w:vAlign w:val="bottom"/>
            <w:shd w:val="clear" w:color="auto" w:fill="E3E4E5"/>
          </w:tcPr>
          <w:p>
            <w:pPr>
              <w:spacing w:after="0"/>
              <w:rPr>
                <w:sz w:val="24"/>
                <w:szCs w:val="24"/>
                <w:color w:val="auto"/>
              </w:rPr>
            </w:pPr>
          </w:p>
        </w:tc>
        <w:tc>
          <w:tcPr>
            <w:tcW w:w="56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189.3</w:t>
            </w:r>
          </w:p>
        </w:tc>
      </w:tr>
      <w:tr>
        <w:trPr>
          <w:trHeight w:val="274"/>
        </w:trPr>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Value added tax and other consumption tax receivables</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55.5</w:t>
            </w:r>
          </w:p>
        </w:tc>
      </w:tr>
      <w:tr>
        <w:trPr>
          <w:trHeight w:val="294"/>
        </w:trPr>
        <w:tc>
          <w:tcPr>
            <w:tcW w:w="69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Other miscellaneous current assets</w:t>
            </w:r>
          </w:p>
        </w:tc>
        <w:tc>
          <w:tcPr>
            <w:tcW w:w="58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99.6</w:t>
            </w:r>
          </w:p>
        </w:tc>
        <w:tc>
          <w:tcPr>
            <w:tcW w:w="80" w:type="dxa"/>
            <w:vAlign w:val="bottom"/>
            <w:tcBorders>
              <w:bottom w:val="single" w:sz="8" w:color="E3E4E5"/>
            </w:tcBorders>
            <w:shd w:val="clear" w:color="auto" w:fill="E3E4E5"/>
          </w:tcPr>
          <w:p>
            <w:pPr>
              <w:spacing w:after="0"/>
              <w:rPr>
                <w:sz w:val="24"/>
                <w:szCs w:val="24"/>
                <w:color w:val="auto"/>
              </w:rPr>
            </w:pPr>
          </w:p>
        </w:tc>
        <w:tc>
          <w:tcPr>
            <w:tcW w:w="56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126.0</w:t>
            </w:r>
          </w:p>
        </w:tc>
      </w:tr>
      <w:tr>
        <w:trPr>
          <w:trHeight w:val="220"/>
        </w:trPr>
        <w:tc>
          <w:tcPr>
            <w:tcW w:w="694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231F20"/>
              </w:rPr>
              <w:t>Prepaid and other current assets</w:t>
            </w:r>
          </w:p>
        </w:tc>
        <w:tc>
          <w:tcPr>
            <w:tcW w:w="580" w:type="dxa"/>
            <w:vAlign w:val="bottom"/>
          </w:tcPr>
          <w:p>
            <w:pPr>
              <w:jc w:val="right"/>
              <w:ind w:right="329"/>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486.3</w:t>
            </w:r>
          </w:p>
        </w:tc>
        <w:tc>
          <w:tcPr>
            <w:tcW w:w="640" w:type="dxa"/>
            <w:vAlign w:val="bottom"/>
            <w:gridSpan w:val="2"/>
          </w:tcPr>
          <w:p>
            <w:pPr>
              <w:jc w:val="right"/>
              <w:ind w:right="34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530.6</w:t>
            </w:r>
          </w:p>
        </w:tc>
      </w:tr>
      <w:tr>
        <w:trPr>
          <w:trHeight w:val="20"/>
        </w:trPr>
        <w:tc>
          <w:tcPr>
            <w:tcW w:w="6940" w:type="dxa"/>
            <w:vAlign w:val="bottom"/>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-1094740</wp:posOffset>
            </wp:positionV>
            <wp:extent cx="199517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76">
                      <a:extLst>
                        <a:ext uri="{28A0092B-C50C-407E-A947-70E740481C1C}"/>
                      </a:extLst>
                    </a:blip>
                    <a:srcRect/>
                    <a:stretch>
                      <a:fillRect/>
                    </a:stretch>
                  </pic:blipFill>
                  <pic:spPr bwMode="auto">
                    <a:xfrm>
                      <a:off x="0" y="0"/>
                      <a:ext cx="1995170" cy="2540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-208280</wp:posOffset>
            </wp:positionV>
            <wp:extent cx="199517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77">
                      <a:extLst>
                        <a:ext uri="{28A0092B-C50C-407E-A947-70E740481C1C}"/>
                      </a:extLst>
                    </a:blip>
                    <a:srcRect/>
                    <a:stretch>
                      <a:fillRect/>
                    </a:stretch>
                  </pic:blipFill>
                  <pic:spPr bwMode="auto">
                    <a:xfrm>
                      <a:off x="0" y="0"/>
                      <a:ext cx="1995170" cy="25400"/>
                    </a:xfrm>
                    <a:prstGeom prst="rect">
                      <a:avLst/>
                    </a:prstGeom>
                    <a:noFill/>
                  </pic:spPr>
                </pic:pic>
              </a:graphicData>
            </a:graphic>
          </wp:anchor>
        </w:drawing>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F-17</w:t>
      </w:r>
    </w:p>
    <w:p>
      <w:pPr>
        <w:sectPr>
          <w:pgSz w:w="11880" w:h="15480" w:orient="portrait"/>
          <w:cols w:equalWidth="0" w:num="1">
            <w:col w:w="10047"/>
          </w:cols>
          <w:pgMar w:left="913" w:top="418" w:right="920" w:bottom="0" w:gutter="0" w:footer="0" w:header="0"/>
          <w:type w:val="continuous"/>
        </w:sectPr>
      </w:pPr>
    </w:p>
    <w:bookmarkStart w:id="107" w:name="page108"/>
    <w:bookmarkEnd w:id="107"/>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75"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20"/>
          <w:szCs w:val="20"/>
          <w:b w:val="1"/>
          <w:bCs w:val="1"/>
          <w:color w:val="231F20"/>
        </w:rPr>
        <w:t>3.</w:t>
      </w:r>
      <w:r>
        <w:rPr>
          <w:sz w:val="20"/>
          <w:szCs w:val="20"/>
          <w:color w:val="auto"/>
        </w:rPr>
        <w:tab/>
      </w:r>
      <w:r>
        <w:rPr>
          <w:rFonts w:ascii="Times New Roman" w:cs="Times New Roman" w:eastAsia="Times New Roman" w:hAnsi="Times New Roman"/>
          <w:sz w:val="19"/>
          <w:szCs w:val="19"/>
          <w:b w:val="1"/>
          <w:bCs w:val="1"/>
          <w:color w:val="231F20"/>
        </w:rPr>
        <w:t>PROPERTY AND EQUIPMENT</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Property and equipment (including assets held under finance leases) consisted of the following:</w:t>
      </w:r>
    </w:p>
    <w:p>
      <w:pPr>
        <w:spacing w:after="0" w:line="81"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8"/>
              </w:rPr>
              <w:t>Estimated</w:t>
            </w:r>
          </w:p>
        </w:tc>
        <w:tc>
          <w:tcPr>
            <w:tcW w:w="420" w:type="dxa"/>
            <w:vAlign w:val="bottom"/>
          </w:tcPr>
          <w:p>
            <w:pPr>
              <w:spacing w:after="0"/>
              <w:rPr>
                <w:sz w:val="16"/>
                <w:szCs w:val="16"/>
                <w:color w:val="auto"/>
              </w:rPr>
            </w:pPr>
          </w:p>
        </w:tc>
        <w:tc>
          <w:tcPr>
            <w:tcW w:w="158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720" w:type="dxa"/>
            <w:vAlign w:val="bottom"/>
          </w:tcPr>
          <w:p>
            <w:pPr>
              <w:spacing w:after="0"/>
              <w:rPr>
                <w:sz w:val="6"/>
                <w:szCs w:val="6"/>
                <w:color w:val="auto"/>
              </w:rPr>
            </w:pPr>
          </w:p>
        </w:tc>
        <w:tc>
          <w:tcPr>
            <w:tcW w:w="1220" w:type="dxa"/>
            <w:vAlign w:val="bottom"/>
            <w:vMerge w:val="restart"/>
          </w:tcPr>
          <w:p>
            <w:pPr>
              <w:jc w:val="center"/>
              <w:ind w:right="30"/>
              <w:spacing w:after="0" w:line="140" w:lineRule="exact"/>
              <w:rPr>
                <w:sz w:val="20"/>
                <w:szCs w:val="20"/>
                <w:color w:val="auto"/>
              </w:rPr>
            </w:pPr>
            <w:r>
              <w:rPr>
                <w:rFonts w:ascii="Times New Roman" w:cs="Times New Roman" w:eastAsia="Times New Roman" w:hAnsi="Times New Roman"/>
                <w:sz w:val="16"/>
                <w:szCs w:val="16"/>
                <w:b w:val="1"/>
                <w:bCs w:val="1"/>
                <w:color w:val="231F20"/>
                <w:w w:val="97"/>
              </w:rPr>
              <w:t>Useful Lives</w:t>
            </w:r>
          </w:p>
        </w:tc>
        <w:tc>
          <w:tcPr>
            <w:tcW w:w="420" w:type="dxa"/>
            <w:vAlign w:val="bottom"/>
            <w:tcBorders>
              <w:bottom w:val="single" w:sz="8" w:color="231F20"/>
            </w:tcBorders>
          </w:tcPr>
          <w:p>
            <w:pPr>
              <w:spacing w:after="0"/>
              <w:rPr>
                <w:sz w:val="6"/>
                <w:szCs w:val="6"/>
                <w:color w:val="auto"/>
              </w:rPr>
            </w:pPr>
          </w:p>
        </w:tc>
        <w:tc>
          <w:tcPr>
            <w:tcW w:w="1100" w:type="dxa"/>
            <w:vAlign w:val="bottom"/>
            <w:tcBorders>
              <w:bottom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400" w:type="dxa"/>
            <w:vAlign w:val="bottom"/>
            <w:tcBorders>
              <w:bottom w:val="single" w:sz="8" w:color="231F20"/>
            </w:tcBorders>
          </w:tcPr>
          <w:p>
            <w:pPr>
              <w:spacing w:after="0"/>
              <w:rPr>
                <w:sz w:val="6"/>
                <w:szCs w:val="6"/>
                <w:color w:val="auto"/>
              </w:rPr>
            </w:pPr>
          </w:p>
        </w:tc>
        <w:tc>
          <w:tcPr>
            <w:tcW w:w="1100" w:type="dxa"/>
            <w:vAlign w:val="bottom"/>
            <w:tcBorders>
              <w:bottom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7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52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80" w:type="dxa"/>
            <w:vAlign w:val="bottom"/>
          </w:tcPr>
          <w:p>
            <w:pPr>
              <w:spacing w:after="0"/>
              <w:rPr>
                <w:sz w:val="4"/>
                <w:szCs w:val="4"/>
                <w:color w:val="auto"/>
              </w:rPr>
            </w:pPr>
          </w:p>
        </w:tc>
        <w:tc>
          <w:tcPr>
            <w:tcW w:w="15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E3E4E5"/>
            </w:tcBorders>
          </w:tcPr>
          <w:p>
            <w:pPr>
              <w:spacing w:after="0"/>
              <w:rPr>
                <w:sz w:val="18"/>
                <w:szCs w:val="18"/>
                <w:color w:val="auto"/>
              </w:rPr>
            </w:pPr>
          </w:p>
        </w:tc>
        <w:tc>
          <w:tcPr>
            <w:tcW w:w="1220" w:type="dxa"/>
            <w:vAlign w:val="bottom"/>
            <w:tcBorders>
              <w:bottom w:val="single" w:sz="8" w:color="E3E4E5"/>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7"/>
              </w:rPr>
              <w:t>(years)</w:t>
            </w:r>
          </w:p>
        </w:tc>
        <w:tc>
          <w:tcPr>
            <w:tcW w:w="152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500" w:type="dxa"/>
            <w:vAlign w:val="bottom"/>
            <w:tcBorders>
              <w:bottom w:val="single" w:sz="8" w:color="231F20"/>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8"/>
              </w:rPr>
              <w:t xml:space="preserve">Towers (1) </w:t>
            </w:r>
            <w:r>
              <w:rPr>
                <w:rFonts w:ascii="Times New Roman" w:cs="Times New Roman" w:eastAsia="Times New Roman" w:hAnsi="Times New Roman"/>
                <w:sz w:val="20"/>
                <w:szCs w:val="20"/>
                <w:color w:val="BABCBE"/>
                <w:w w:val="98"/>
              </w:rPr>
              <w:t>...............................................................................................</w:t>
            </w:r>
          </w:p>
        </w:tc>
        <w:tc>
          <w:tcPr>
            <w:tcW w:w="1220" w:type="dxa"/>
            <w:vAlign w:val="bottom"/>
            <w:shd w:val="clear" w:color="auto" w:fill="E3E4E5"/>
          </w:tcPr>
          <w:p>
            <w:pPr>
              <w:jc w:val="right"/>
              <w:ind w:right="30"/>
              <w:spacing w:after="0"/>
              <w:rPr>
                <w:sz w:val="20"/>
                <w:szCs w:val="20"/>
                <w:color w:val="auto"/>
              </w:rPr>
            </w:pPr>
            <w:r>
              <w:rPr>
                <w:rFonts w:ascii="Times New Roman" w:cs="Times New Roman" w:eastAsia="Times New Roman" w:hAnsi="Times New Roman"/>
                <w:sz w:val="20"/>
                <w:szCs w:val="20"/>
                <w:color w:val="231F20"/>
              </w:rPr>
              <w:t>Up to 30</w:t>
            </w:r>
          </w:p>
        </w:tc>
        <w:tc>
          <w:tcPr>
            <w:tcW w:w="420" w:type="dxa"/>
            <w:vAlign w:val="bottom"/>
            <w:shd w:val="clear" w:color="auto" w:fill="E3E4E5"/>
          </w:tcPr>
          <w:p>
            <w:pPr>
              <w:jc w:val="right"/>
              <w:ind w:right="169"/>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16,754.6</w:t>
            </w:r>
          </w:p>
        </w:tc>
        <w:tc>
          <w:tcPr>
            <w:tcW w:w="480" w:type="dxa"/>
            <w:vAlign w:val="bottom"/>
            <w:gridSpan w:val="2"/>
            <w:shd w:val="clear" w:color="auto" w:fill="E3E4E5"/>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15,745.0</w:t>
            </w:r>
          </w:p>
        </w:tc>
        <w:tc>
          <w:tcPr>
            <w:tcW w:w="0" w:type="dxa"/>
            <w:vAlign w:val="bottom"/>
          </w:tcPr>
          <w:p>
            <w:pPr>
              <w:spacing w:after="0"/>
              <w:rPr>
                <w:sz w:val="1"/>
                <w:szCs w:val="1"/>
                <w:color w:val="auto"/>
              </w:rPr>
            </w:pPr>
          </w:p>
        </w:tc>
      </w:tr>
      <w:tr>
        <w:trPr>
          <w:trHeight w:val="274"/>
        </w:trPr>
        <w:tc>
          <w:tcPr>
            <w:tcW w:w="5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w w:val="98"/>
              </w:rPr>
              <w:t>Equipment (2)</w:t>
            </w:r>
            <w:r>
              <w:rPr>
                <w:rFonts w:ascii="Times New Roman" w:cs="Times New Roman" w:eastAsia="Times New Roman" w:hAnsi="Times New Roman"/>
                <w:sz w:val="20"/>
                <w:szCs w:val="20"/>
                <w:color w:val="BABCBE"/>
                <w:w w:val="9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3 - 20</w:t>
            </w: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5,697.3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4,921.8</w:t>
            </w:r>
          </w:p>
        </w:tc>
        <w:tc>
          <w:tcPr>
            <w:tcW w:w="0" w:type="dxa"/>
            <w:vAlign w:val="bottom"/>
          </w:tcPr>
          <w:p>
            <w:pPr>
              <w:spacing w:after="0"/>
              <w:rPr>
                <w:sz w:val="1"/>
                <w:szCs w:val="1"/>
                <w:color w:val="auto"/>
              </w:rPr>
            </w:pPr>
          </w:p>
        </w:tc>
      </w:tr>
      <w:tr>
        <w:trPr>
          <w:trHeight w:val="284"/>
        </w:trPr>
        <w:tc>
          <w:tcPr>
            <w:tcW w:w="5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8"/>
              </w:rPr>
              <w:t>Buildings and improvements</w:t>
            </w:r>
            <w:r>
              <w:rPr>
                <w:rFonts w:ascii="Times New Roman" w:cs="Times New Roman" w:eastAsia="Times New Roman" w:hAnsi="Times New Roman"/>
                <w:sz w:val="20"/>
                <w:szCs w:val="20"/>
                <w:color w:val="BABCBE"/>
                <w:w w:val="98"/>
              </w:rPr>
              <w:t>...................................................................</w:t>
            </w:r>
          </w:p>
        </w:tc>
        <w:tc>
          <w:tcPr>
            <w:tcW w:w="1220" w:type="dxa"/>
            <w:vAlign w:val="bottom"/>
            <w:shd w:val="clear" w:color="auto" w:fill="E3E4E5"/>
          </w:tcPr>
          <w:p>
            <w:pPr>
              <w:jc w:val="right"/>
              <w:ind w:right="30"/>
              <w:spacing w:after="0"/>
              <w:rPr>
                <w:sz w:val="20"/>
                <w:szCs w:val="20"/>
                <w:color w:val="auto"/>
              </w:rPr>
            </w:pPr>
            <w:r>
              <w:rPr>
                <w:rFonts w:ascii="Times New Roman" w:cs="Times New Roman" w:eastAsia="Times New Roman" w:hAnsi="Times New Roman"/>
                <w:sz w:val="20"/>
                <w:szCs w:val="20"/>
                <w:color w:val="231F20"/>
              </w:rPr>
              <w:t>Up to 40</w:t>
            </w:r>
          </w:p>
        </w:tc>
        <w:tc>
          <w:tcPr>
            <w:tcW w:w="42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4,165.7</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1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3,786.3</w:t>
            </w:r>
          </w:p>
        </w:tc>
        <w:tc>
          <w:tcPr>
            <w:tcW w:w="0" w:type="dxa"/>
            <w:vAlign w:val="bottom"/>
          </w:tcPr>
          <w:p>
            <w:pPr>
              <w:spacing w:after="0"/>
              <w:rPr>
                <w:sz w:val="1"/>
                <w:szCs w:val="1"/>
                <w:color w:val="auto"/>
              </w:rPr>
            </w:pPr>
          </w:p>
        </w:tc>
      </w:tr>
      <w:tr>
        <w:trPr>
          <w:trHeight w:val="274"/>
        </w:trPr>
        <w:tc>
          <w:tcPr>
            <w:tcW w:w="5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w w:val="98"/>
              </w:rPr>
              <w:t xml:space="preserve">Land and improvements (3) </w:t>
            </w:r>
            <w:r>
              <w:rPr>
                <w:rFonts w:ascii="Times New Roman" w:cs="Times New Roman" w:eastAsia="Times New Roman" w:hAnsi="Times New Roman"/>
                <w:sz w:val="20"/>
                <w:szCs w:val="20"/>
                <w:color w:val="BABCBE"/>
                <w:w w:val="9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Up to 30</w:t>
            </w: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4,519.9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4,311.0</w:t>
            </w:r>
          </w:p>
        </w:tc>
        <w:tc>
          <w:tcPr>
            <w:tcW w:w="0" w:type="dxa"/>
            <w:vAlign w:val="bottom"/>
          </w:tcPr>
          <w:p>
            <w:pPr>
              <w:spacing w:after="0"/>
              <w:rPr>
                <w:sz w:val="1"/>
                <w:szCs w:val="1"/>
                <w:color w:val="auto"/>
              </w:rPr>
            </w:pPr>
          </w:p>
        </w:tc>
      </w:tr>
      <w:tr>
        <w:trPr>
          <w:trHeight w:val="294"/>
        </w:trPr>
        <w:tc>
          <w:tcPr>
            <w:tcW w:w="572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8"/>
              </w:rPr>
              <w:t>Construction-in-progress</w:t>
            </w:r>
            <w:r>
              <w:rPr>
                <w:rFonts w:ascii="Times New Roman" w:cs="Times New Roman" w:eastAsia="Times New Roman" w:hAnsi="Times New Roman"/>
                <w:sz w:val="20"/>
                <w:szCs w:val="20"/>
                <w:color w:val="BABCBE"/>
                <w:w w:val="98"/>
              </w:rPr>
              <w:t>.........................................................................</w:t>
            </w:r>
          </w:p>
        </w:tc>
        <w:tc>
          <w:tcPr>
            <w:tcW w:w="1220" w:type="dxa"/>
            <w:vAlign w:val="bottom"/>
            <w:tcBorders>
              <w:bottom w:val="single" w:sz="8" w:color="E3E4E5"/>
            </w:tcBorders>
            <w:shd w:val="clear" w:color="auto" w:fill="E3E4E5"/>
          </w:tcPr>
          <w:p>
            <w:pPr>
              <w:spacing w:after="0"/>
              <w:rPr>
                <w:sz w:val="24"/>
                <w:szCs w:val="24"/>
                <w:color w:val="auto"/>
              </w:rPr>
            </w:pPr>
          </w:p>
        </w:tc>
        <w:tc>
          <w:tcPr>
            <w:tcW w:w="420" w:type="dxa"/>
            <w:vAlign w:val="bottom"/>
            <w:tcBorders>
              <w:bottom w:val="single" w:sz="8" w:color="231F20"/>
            </w:tcBorders>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1,323.8</w:t>
            </w:r>
          </w:p>
        </w:tc>
        <w:tc>
          <w:tcPr>
            <w:tcW w:w="80" w:type="dxa"/>
            <w:vAlign w:val="bottom"/>
            <w:tcBorders>
              <w:bottom w:val="single" w:sz="8" w:color="E3E4E5"/>
            </w:tcBorders>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1,298.4</w:t>
            </w:r>
          </w:p>
        </w:tc>
        <w:tc>
          <w:tcPr>
            <w:tcW w:w="0" w:type="dxa"/>
            <w:vAlign w:val="bottom"/>
          </w:tcPr>
          <w:p>
            <w:pPr>
              <w:spacing w:after="0"/>
              <w:rPr>
                <w:sz w:val="1"/>
                <w:szCs w:val="1"/>
                <w:color w:val="auto"/>
              </w:rPr>
            </w:pPr>
          </w:p>
        </w:tc>
      </w:tr>
      <w:tr>
        <w:trPr>
          <w:trHeight w:val="244"/>
        </w:trPr>
        <w:tc>
          <w:tcPr>
            <w:tcW w:w="5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ABCBE"/>
              </w:rPr>
              <w:t>.................................................................................................</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32,461.3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30,062.5</w:t>
            </w:r>
          </w:p>
        </w:tc>
        <w:tc>
          <w:tcPr>
            <w:tcW w:w="0" w:type="dxa"/>
            <w:vAlign w:val="bottom"/>
          </w:tcPr>
          <w:p>
            <w:pPr>
              <w:spacing w:after="0"/>
              <w:rPr>
                <w:sz w:val="1"/>
                <w:szCs w:val="1"/>
                <w:color w:val="auto"/>
              </w:rPr>
            </w:pPr>
          </w:p>
        </w:tc>
      </w:tr>
      <w:tr>
        <w:trPr>
          <w:trHeight w:val="294"/>
        </w:trPr>
        <w:tc>
          <w:tcPr>
            <w:tcW w:w="572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8"/>
              </w:rPr>
              <w:t xml:space="preserve">Less accumulated depreciation </w:t>
            </w:r>
            <w:r>
              <w:rPr>
                <w:rFonts w:ascii="Times New Roman" w:cs="Times New Roman" w:eastAsia="Times New Roman" w:hAnsi="Times New Roman"/>
                <w:sz w:val="20"/>
                <w:szCs w:val="20"/>
                <w:color w:val="BABCBE"/>
                <w:w w:val="98"/>
              </w:rPr>
              <w:t>...............................................................</w:t>
            </w:r>
          </w:p>
        </w:tc>
        <w:tc>
          <w:tcPr>
            <w:tcW w:w="1220" w:type="dxa"/>
            <w:vAlign w:val="bottom"/>
            <w:tcBorders>
              <w:bottom w:val="single" w:sz="8" w:color="E3E4E5"/>
            </w:tcBorders>
            <w:shd w:val="clear" w:color="auto" w:fill="E3E4E5"/>
          </w:tcPr>
          <w:p>
            <w:pPr>
              <w:spacing w:after="0"/>
              <w:rPr>
                <w:sz w:val="24"/>
                <w:szCs w:val="24"/>
                <w:color w:val="auto"/>
              </w:rPr>
            </w:pPr>
          </w:p>
        </w:tc>
        <w:tc>
          <w:tcPr>
            <w:tcW w:w="420" w:type="dxa"/>
            <w:vAlign w:val="bottom"/>
            <w:tcBorders>
              <w:bottom w:val="single" w:sz="8" w:color="231F20"/>
            </w:tcBorders>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(12,105.0)</w:t>
            </w:r>
          </w:p>
        </w:tc>
        <w:tc>
          <w:tcPr>
            <w:tcW w:w="80" w:type="dxa"/>
            <w:vAlign w:val="bottom"/>
            <w:tcBorders>
              <w:bottom w:val="single" w:sz="8" w:color="E3E4E5"/>
            </w:tcBorders>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(11,005.7)</w:t>
            </w:r>
          </w:p>
        </w:tc>
        <w:tc>
          <w:tcPr>
            <w:tcW w:w="0" w:type="dxa"/>
            <w:vAlign w:val="bottom"/>
          </w:tcPr>
          <w:p>
            <w:pPr>
              <w:spacing w:after="0"/>
              <w:rPr>
                <w:sz w:val="1"/>
                <w:szCs w:val="1"/>
                <w:color w:val="auto"/>
              </w:rPr>
            </w:pPr>
          </w:p>
        </w:tc>
      </w:tr>
      <w:tr>
        <w:trPr>
          <w:trHeight w:val="220"/>
        </w:trPr>
        <w:tc>
          <w:tcPr>
            <w:tcW w:w="5720" w:type="dxa"/>
            <w:vAlign w:val="bottom"/>
          </w:tcPr>
          <w:p>
            <w:pPr>
              <w:jc w:val="right"/>
              <w:ind w:right="22"/>
              <w:spacing w:after="0" w:line="220" w:lineRule="exact"/>
              <w:rPr>
                <w:sz w:val="20"/>
                <w:szCs w:val="20"/>
                <w:color w:val="auto"/>
              </w:rPr>
            </w:pPr>
            <w:r>
              <w:rPr>
                <w:rFonts w:ascii="Times New Roman" w:cs="Times New Roman" w:eastAsia="Times New Roman" w:hAnsi="Times New Roman"/>
                <w:sz w:val="20"/>
                <w:szCs w:val="20"/>
                <w:color w:val="231F20"/>
                <w:w w:val="98"/>
              </w:rPr>
              <w:t>Property and equipment, net</w:t>
            </w:r>
            <w:r>
              <w:rPr>
                <w:rFonts w:ascii="Times New Roman" w:cs="Times New Roman" w:eastAsia="Times New Roman" w:hAnsi="Times New Roman"/>
                <w:sz w:val="20"/>
                <w:szCs w:val="20"/>
                <w:color w:val="BABCBE"/>
                <w:w w:val="98"/>
              </w:rPr>
              <w:t>....................................................................</w:t>
            </w:r>
          </w:p>
        </w:tc>
        <w:tc>
          <w:tcPr>
            <w:tcW w:w="1220" w:type="dxa"/>
            <w:vAlign w:val="bottom"/>
          </w:tcPr>
          <w:p>
            <w:pPr>
              <w:spacing w:after="0"/>
              <w:rPr>
                <w:sz w:val="19"/>
                <w:szCs w:val="19"/>
                <w:color w:val="auto"/>
              </w:rPr>
            </w:pPr>
          </w:p>
        </w:tc>
        <w:tc>
          <w:tcPr>
            <w:tcW w:w="420" w:type="dxa"/>
            <w:vAlign w:val="bottom"/>
          </w:tcPr>
          <w:p>
            <w:pPr>
              <w:jc w:val="right"/>
              <w:ind w:right="169"/>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20,356.3</w:t>
            </w:r>
          </w:p>
        </w:tc>
        <w:tc>
          <w:tcPr>
            <w:tcW w:w="480" w:type="dxa"/>
            <w:vAlign w:val="bottom"/>
            <w:gridSpan w:val="2"/>
          </w:tcPr>
          <w:p>
            <w:pPr>
              <w:jc w:val="right"/>
              <w:ind w:right="18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19,056.8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-1449705</wp:posOffset>
            </wp:positionV>
            <wp:extent cx="199517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8">
                      <a:extLst>
                        <a:ext uri="{28A0092B-C50C-407E-A947-70E740481C1C}"/>
                      </a:extLst>
                    </a:blip>
                    <a:srcRect/>
                    <a:stretch>
                      <a:fillRect/>
                    </a:stretch>
                  </pic:blipFill>
                  <pic:spPr bwMode="auto">
                    <a:xfrm>
                      <a:off x="0" y="0"/>
                      <a:ext cx="1995170" cy="2540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-562610</wp:posOffset>
            </wp:positionV>
            <wp:extent cx="199517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9">
                      <a:extLst>
                        <a:ext uri="{28A0092B-C50C-407E-A947-70E740481C1C}"/>
                      </a:extLst>
                    </a:blip>
                    <a:srcRect/>
                    <a:stretch>
                      <a:fillRect/>
                    </a:stretch>
                  </pic:blipFill>
                  <pic:spPr bwMode="auto">
                    <a:xfrm>
                      <a:off x="0" y="0"/>
                      <a:ext cx="1995170" cy="2540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-208280</wp:posOffset>
            </wp:positionV>
            <wp:extent cx="199517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80">
                      <a:extLst>
                        <a:ext uri="{28A0092B-C50C-407E-A947-70E740481C1C}"/>
                      </a:extLst>
                    </a:blip>
                    <a:srcRect/>
                    <a:stretch>
                      <a:fillRect/>
                    </a:stretch>
                  </pic:blipFill>
                  <pic:spPr bwMode="auto">
                    <a:xfrm>
                      <a:off x="0" y="0"/>
                      <a:ext cx="1995170" cy="2540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Towers are amortized over the remaining estimated useful life of the tower, taking into account residual value, generally up to 30 years.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fiber, DAS and data center related assets.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8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Estimated useful lives apply to improvements only.</w:t>
      </w:r>
    </w:p>
    <w:p>
      <w:pPr>
        <w:spacing w:after="0" w:line="132" w:lineRule="exact"/>
        <w:rPr>
          <w:sz w:val="20"/>
          <w:szCs w:val="20"/>
          <w:color w:val="auto"/>
        </w:rPr>
      </w:pPr>
    </w:p>
    <w:p>
      <w:pPr>
        <w:ind w:left="7" w:right="240"/>
        <w:spacing w:after="0" w:line="259" w:lineRule="auto"/>
        <w:rPr>
          <w:sz w:val="20"/>
          <w:szCs w:val="20"/>
          <w:color w:val="auto"/>
        </w:rPr>
      </w:pPr>
      <w:r>
        <w:rPr>
          <w:rFonts w:ascii="Times New Roman" w:cs="Times New Roman" w:eastAsia="Times New Roman" w:hAnsi="Times New Roman"/>
          <w:sz w:val="20"/>
          <w:szCs w:val="20"/>
          <w:color w:val="231F20"/>
        </w:rPr>
        <w:t>Total depreciation expense for the years ended December 31, 2025, 2024 and 2023 was $1.1 billion, $1.1 billion and $1.4 billion, respectively. Depreciation expense includes amounts related to finance lease assets for the years ended December 31, 2025, 2024 and 2023 of $86.7 million, $86.5 million and $138.5 million, respectively.</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Information about finance lease-related balances is as follows:</w:t>
      </w:r>
    </w:p>
    <w:p>
      <w:pPr>
        <w:spacing w:after="0" w:line="93" w:lineRule="exact"/>
        <w:rPr>
          <w:sz w:val="20"/>
          <w:szCs w:val="20"/>
          <w:color w:val="auto"/>
        </w:rPr>
      </w:pPr>
    </w:p>
    <w:p>
      <w:pPr>
        <w:ind w:left="7607"/>
        <w:spacing w:after="0"/>
        <w:rPr>
          <w:sz w:val="20"/>
          <w:szCs w:val="20"/>
          <w:color w:val="auto"/>
        </w:rPr>
      </w:pPr>
      <w:r>
        <w:rPr>
          <w:rFonts w:ascii="Times New Roman" w:cs="Times New Roman" w:eastAsia="Times New Roman" w:hAnsi="Times New Roman"/>
          <w:sz w:val="16"/>
          <w:szCs w:val="16"/>
          <w:b w:val="1"/>
          <w:bCs w:val="1"/>
          <w:color w:val="231F20"/>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18415</wp:posOffset>
            </wp:positionV>
            <wp:extent cx="227774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81">
                      <a:extLst>
                        <a:ext uri="{28A0092B-C50C-407E-A947-70E740481C1C}"/>
                      </a:extLst>
                    </a:blip>
                    <a:srcRect/>
                    <a:stretch>
                      <a:fillRect/>
                    </a:stretch>
                  </pic:blipFill>
                  <pic:spPr bwMode="auto">
                    <a:xfrm>
                      <a:off x="0" y="0"/>
                      <a:ext cx="2277745" cy="12700"/>
                    </a:xfrm>
                    <a:prstGeom prst="rect">
                      <a:avLst/>
                    </a:prstGeom>
                    <a:noFill/>
                  </pic:spPr>
                </pic:pic>
              </a:graphicData>
            </a:graphic>
          </wp:anchor>
        </w:drawing>
      </w:r>
    </w:p>
    <w:p>
      <w:pPr>
        <w:sectPr>
          <w:pgSz w:w="11880" w:h="15480" w:orient="portrait"/>
          <w:cols w:equalWidth="0" w:num="1">
            <w:col w:w="10047"/>
          </w:cols>
          <w:pgMar w:left="913" w:top="418" w:right="920" w:bottom="0" w:gutter="0" w:footer="0" w:header="0"/>
        </w:sectPr>
      </w:pPr>
    </w:p>
    <w:p>
      <w:pPr>
        <w:spacing w:after="0" w:line="6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b w:val="1"/>
          <w:bCs w:val="1"/>
          <w:color w:val="231F20"/>
        </w:rPr>
        <w:t>Finance leases:</w:t>
      </w:r>
    </w:p>
    <w:p>
      <w:pPr>
        <w:spacing w:after="0" w:line="52"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 xml:space="preserve">Property and equipment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Accumulated depreciation</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Property and equipment, net</w:t>
      </w:r>
      <w:r>
        <w:rPr>
          <w:rFonts w:ascii="Times New Roman" w:cs="Times New Roman" w:eastAsia="Times New Roman" w:hAnsi="Times New Roman"/>
          <w:sz w:val="19"/>
          <w:szCs w:val="19"/>
          <w:color w:val="BABCBE"/>
        </w:rPr>
        <w:t>.....................</w:t>
      </w:r>
    </w:p>
    <w:p>
      <w:pPr>
        <w:spacing w:after="0" w:line="370"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 xml:space="preserve">Property and equipment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Accumulated depreciation</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Property and equipment, net</w:t>
      </w:r>
      <w:r>
        <w:rPr>
          <w:rFonts w:ascii="Times New Roman" w:cs="Times New Roman" w:eastAsia="Times New Roman" w:hAnsi="Times New Roman"/>
          <w:sz w:val="19"/>
          <w:szCs w:val="19"/>
          <w:color w:val="BABCBE"/>
        </w:rPr>
        <w:t>.....................</w:t>
      </w:r>
    </w:p>
    <w:p>
      <w:pPr>
        <w:spacing w:after="0" w:line="370"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 xml:space="preserve">Property and equipment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Accumulated depreciation</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Property and equipment, net</w:t>
      </w:r>
      <w:r>
        <w:rPr>
          <w:rFonts w:ascii="Times New Roman" w:cs="Times New Roman" w:eastAsia="Times New Roman" w:hAnsi="Times New Roman"/>
          <w:sz w:val="19"/>
          <w:szCs w:val="19"/>
          <w:color w:val="BABCBE"/>
        </w:rPr>
        <w:t>.....................</w:t>
      </w:r>
    </w:p>
    <w:p>
      <w:pPr>
        <w:spacing w:after="0" w:line="370"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 xml:space="preserve">Property and equipment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9"/>
          <w:szCs w:val="19"/>
          <w:color w:val="231F20"/>
        </w:rPr>
        <w:t>Accumulated depreciation</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Property and equipment, net</w:t>
      </w:r>
      <w:r>
        <w:rPr>
          <w:rFonts w:ascii="Times New Roman" w:cs="Times New Roman" w:eastAsia="Times New Roman" w:hAnsi="Times New Roman"/>
          <w:sz w:val="19"/>
          <w:szCs w:val="19"/>
          <w:color w:val="BABCBE"/>
        </w:rPr>
        <w:t>.....................</w:t>
      </w:r>
    </w:p>
    <w:p>
      <w:pPr>
        <w:spacing w:after="0" w:line="2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231F20"/>
        </w:rPr>
        <w:t>4.  LEASES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Classification</w:t>
            </w:r>
          </w:p>
        </w:tc>
        <w:tc>
          <w:tcPr>
            <w:tcW w:w="60" w:type="dxa"/>
            <w:vAlign w:val="bottom"/>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tcPr>
          <w:p>
            <w:pPr>
              <w:jc w:val="right"/>
              <w:ind w:right="624"/>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3"/>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Towers</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2,793.0</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2,786.9</w:t>
            </w:r>
          </w:p>
        </w:tc>
      </w:tr>
      <w:tr>
        <w:trPr>
          <w:trHeight w:val="295"/>
        </w:trPr>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(1,701.7)</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(1,638.7)</w:t>
            </w:r>
          </w:p>
        </w:tc>
      </w:tr>
      <w:tr>
        <w:trPr>
          <w:trHeight w:val="255"/>
        </w:trPr>
        <w:tc>
          <w:tcPr>
            <w:tcW w:w="3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1,091.3</w:t>
            </w:r>
          </w:p>
        </w:tc>
        <w:tc>
          <w:tcPr>
            <w:tcW w:w="60" w:type="dxa"/>
            <w:vAlign w:val="bottom"/>
          </w:tcPr>
          <w:p>
            <w:pPr>
              <w:spacing w:after="0"/>
              <w:rPr>
                <w:sz w:val="22"/>
                <w:szCs w:val="22"/>
                <w:color w:val="auto"/>
              </w:rPr>
            </w:pPr>
          </w:p>
        </w:tc>
        <w:tc>
          <w:tcPr>
            <w:tcW w:w="44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1,148.2</w:t>
            </w:r>
          </w:p>
        </w:tc>
      </w:tr>
      <w:tr>
        <w:trPr>
          <w:trHeight w:val="20"/>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r>
        <w:trPr>
          <w:trHeight w:val="546"/>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Buildings and improvements</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185.8</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185.1</w:t>
            </w:r>
          </w:p>
        </w:tc>
      </w:tr>
      <w:tr>
        <w:trPr>
          <w:trHeight w:val="295"/>
        </w:trPr>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(111.2)</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(106.5)</w:t>
            </w:r>
          </w:p>
        </w:tc>
      </w:tr>
      <w:tr>
        <w:trPr>
          <w:trHeight w:val="255"/>
        </w:trPr>
        <w:tc>
          <w:tcPr>
            <w:tcW w:w="3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74.6</w:t>
            </w:r>
          </w:p>
        </w:tc>
        <w:tc>
          <w:tcPr>
            <w:tcW w:w="60" w:type="dxa"/>
            <w:vAlign w:val="bottom"/>
          </w:tcPr>
          <w:p>
            <w:pPr>
              <w:spacing w:after="0"/>
              <w:rPr>
                <w:sz w:val="22"/>
                <w:szCs w:val="22"/>
                <w:color w:val="auto"/>
              </w:rPr>
            </w:pPr>
          </w:p>
        </w:tc>
        <w:tc>
          <w:tcPr>
            <w:tcW w:w="44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78.6</w:t>
            </w:r>
          </w:p>
        </w:tc>
      </w:tr>
      <w:tr>
        <w:trPr>
          <w:trHeight w:val="20"/>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r>
        <w:trPr>
          <w:trHeight w:val="546"/>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Land</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129.8</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130.6</w:t>
            </w:r>
          </w:p>
        </w:tc>
      </w:tr>
      <w:tr>
        <w:trPr>
          <w:trHeight w:val="295"/>
        </w:trPr>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w:t>
            </w:r>
          </w:p>
        </w:tc>
      </w:tr>
      <w:tr>
        <w:trPr>
          <w:trHeight w:val="255"/>
        </w:trPr>
        <w:tc>
          <w:tcPr>
            <w:tcW w:w="3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129.8</w:t>
            </w:r>
          </w:p>
        </w:tc>
        <w:tc>
          <w:tcPr>
            <w:tcW w:w="60" w:type="dxa"/>
            <w:vAlign w:val="bottom"/>
          </w:tcPr>
          <w:p>
            <w:pPr>
              <w:spacing w:after="0"/>
              <w:rPr>
                <w:sz w:val="22"/>
                <w:szCs w:val="22"/>
                <w:color w:val="auto"/>
              </w:rPr>
            </w:pPr>
          </w:p>
        </w:tc>
        <w:tc>
          <w:tcPr>
            <w:tcW w:w="440" w:type="dxa"/>
            <w:vAlign w:val="bottom"/>
            <w:tcBorders>
              <w:bottom w:val="single" w:sz="8" w:color="231F20"/>
            </w:tcBorders>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130.4</w:t>
            </w:r>
          </w:p>
        </w:tc>
      </w:tr>
      <w:tr>
        <w:trPr>
          <w:trHeight w:val="20"/>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r>
        <w:trPr>
          <w:trHeight w:val="546"/>
        </w:trPr>
        <w:tc>
          <w:tcPr>
            <w:tcW w:w="3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Equipment</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r>
      <w:tr>
        <w:trPr>
          <w:trHeight w:val="295"/>
        </w:trPr>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w:t>
            </w:r>
          </w:p>
        </w:tc>
      </w:tr>
      <w:tr>
        <w:trPr>
          <w:trHeight w:val="255"/>
        </w:trPr>
        <w:tc>
          <w:tcPr>
            <w:tcW w:w="3000" w:type="dxa"/>
            <w:vAlign w:val="bottom"/>
          </w:tcPr>
          <w:p>
            <w:pPr>
              <w:spacing w:after="0"/>
              <w:rPr>
                <w:sz w:val="22"/>
                <w:szCs w:val="22"/>
                <w:color w:val="auto"/>
              </w:rPr>
            </w:pP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23.6</w:t>
            </w:r>
          </w:p>
        </w:tc>
      </w:tr>
      <w:tr>
        <w:trPr>
          <w:trHeight w:val="20"/>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-2162810</wp:posOffset>
                </wp:positionH>
                <wp:positionV relativeFrom="paragraph">
                  <wp:posOffset>-2071370</wp:posOffset>
                </wp:positionV>
                <wp:extent cx="6383655" cy="18669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3E4E5"/>
                        </a:solidFill>
                      </wps:spPr>
                      <wps:bodyPr/>
                    </wps:wsp>
                  </a:graphicData>
                </a:graphic>
              </wp:anchor>
            </w:drawing>
          </mc:Choice>
          <mc:Fallback>
            <w:pict>
              <v:rect id="Shape 223" o:spid="_x0000_s1248" style="position:absolute;margin-left:-170.2999pt;margin-top:-163.0999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-2162810</wp:posOffset>
                </wp:positionH>
                <wp:positionV relativeFrom="paragraph">
                  <wp:posOffset>-1324610</wp:posOffset>
                </wp:positionV>
                <wp:extent cx="6383655" cy="18669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3E4E5"/>
                        </a:solidFill>
                      </wps:spPr>
                      <wps:bodyPr/>
                    </wps:wsp>
                  </a:graphicData>
                </a:graphic>
              </wp:anchor>
            </w:drawing>
          </mc:Choice>
          <mc:Fallback>
            <w:pict>
              <v:rect id="Shape 224" o:spid="_x0000_s1249" style="position:absolute;margin-left:-170.2999pt;margin-top:-104.2999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-2162810</wp:posOffset>
                </wp:positionH>
                <wp:positionV relativeFrom="paragraph">
                  <wp:posOffset>-577850</wp:posOffset>
                </wp:positionV>
                <wp:extent cx="6383655" cy="18669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186690"/>
                        </a:xfrm>
                        <a:prstGeom prst="rect">
                          <a:avLst/>
                        </a:prstGeom>
                        <a:solidFill>
                          <a:srgbClr val="E3E4E5"/>
                        </a:solidFill>
                      </wps:spPr>
                      <wps:bodyPr/>
                    </wps:wsp>
                  </a:graphicData>
                </a:graphic>
              </wp:anchor>
            </w:drawing>
          </mc:Choice>
          <mc:Fallback>
            <w:pict>
              <v:rect id="Shape 225" o:spid="_x0000_s1250" style="position:absolute;margin-left:-170.2999pt;margin-top:-45.4999pt;width:502.6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-2175510</wp:posOffset>
            </wp:positionH>
            <wp:positionV relativeFrom="paragraph">
              <wp:posOffset>-2830830</wp:posOffset>
            </wp:positionV>
            <wp:extent cx="6410325" cy="1993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2">
                      <a:extLst>
                        <a:ext uri="{28A0092B-C50C-407E-A947-70E740481C1C}"/>
                      </a:extLst>
                    </a:blip>
                    <a:srcRect/>
                    <a:stretch>
                      <a:fillRect/>
                    </a:stretch>
                  </pic:blipFill>
                  <pic:spPr bwMode="auto">
                    <a:xfrm>
                      <a:off x="0" y="0"/>
                      <a:ext cx="6410325" cy="1993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-2457450</wp:posOffset>
            </wp:positionV>
            <wp:extent cx="6397625" cy="2247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3">
                      <a:extLst>
                        <a:ext uri="{28A0092B-C50C-407E-A947-70E740481C1C}"/>
                      </a:extLst>
                    </a:blip>
                    <a:srcRect/>
                    <a:stretch>
                      <a:fillRect/>
                    </a:stretch>
                  </pic:blipFill>
                  <pic:spPr bwMode="auto">
                    <a:xfrm>
                      <a:off x="0" y="0"/>
                      <a:ext cx="6397625" cy="2247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-1710690</wp:posOffset>
            </wp:positionV>
            <wp:extent cx="6397625" cy="2247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84">
                      <a:extLst>
                        <a:ext uri="{28A0092B-C50C-407E-A947-70E740481C1C}"/>
                      </a:extLst>
                    </a:blip>
                    <a:srcRect/>
                    <a:stretch>
                      <a:fillRect/>
                    </a:stretch>
                  </pic:blipFill>
                  <pic:spPr bwMode="auto">
                    <a:xfrm>
                      <a:off x="0" y="0"/>
                      <a:ext cx="6397625" cy="2247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-963930</wp:posOffset>
            </wp:positionV>
            <wp:extent cx="6397625" cy="2247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5">
                      <a:extLst>
                        <a:ext uri="{28A0092B-C50C-407E-A947-70E740481C1C}"/>
                      </a:extLst>
                    </a:blip>
                    <a:srcRect/>
                    <a:stretch>
                      <a:fillRect/>
                    </a:stretch>
                  </pic:blipFill>
                  <pic:spPr bwMode="auto">
                    <a:xfrm>
                      <a:off x="0" y="0"/>
                      <a:ext cx="6397625" cy="2247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-217170</wp:posOffset>
            </wp:positionV>
            <wp:extent cx="6397625" cy="2247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6">
                      <a:extLst>
                        <a:ext uri="{28A0092B-C50C-407E-A947-70E740481C1C}"/>
                      </a:extLst>
                    </a:blip>
                    <a:srcRect/>
                    <a:stretch>
                      <a:fillRect/>
                    </a:stretch>
                  </pic:blipFill>
                  <pic:spPr bwMode="auto">
                    <a:xfrm>
                      <a:off x="0" y="0"/>
                      <a:ext cx="6397625" cy="224790"/>
                    </a:xfrm>
                    <a:prstGeom prst="rect">
                      <a:avLst/>
                    </a:prstGeom>
                    <a:noFill/>
                  </pic:spPr>
                </pic:pic>
              </a:graphicData>
            </a:graphic>
          </wp:anchor>
        </w:drawing>
      </w:r>
    </w:p>
    <w:p>
      <w:pPr>
        <w:spacing w:after="0" w:line="626" w:lineRule="exact"/>
        <w:rPr>
          <w:sz w:val="20"/>
          <w:szCs w:val="20"/>
          <w:color w:val="auto"/>
        </w:rPr>
      </w:pPr>
    </w:p>
    <w:p>
      <w:pPr>
        <w:sectPr>
          <w:pgSz w:w="11880" w:h="15480" w:orient="portrait"/>
          <w:cols w:equalWidth="0" w:num="2">
            <w:col w:w="3307" w:space="100"/>
            <w:col w:w="6640"/>
          </w:cols>
          <w:pgMar w:left="913" w:top="418" w:right="920" w:bottom="0" w:gutter="0" w:footer="0" w:header="0"/>
          <w:type w:val="continuous"/>
        </w:sectPr>
      </w:pPr>
    </w:p>
    <w:p>
      <w:pPr>
        <w:spacing w:after="0" w:line="8" w:lineRule="exact"/>
        <w:rPr>
          <w:sz w:val="20"/>
          <w:szCs w:val="20"/>
          <w:color w:val="auto"/>
        </w:rPr>
      </w:pPr>
    </w:p>
    <w:p>
      <w:pPr>
        <w:ind w:left="7" w:right="20"/>
        <w:spacing w:after="0" w:line="254" w:lineRule="auto"/>
        <w:rPr>
          <w:sz w:val="20"/>
          <w:szCs w:val="20"/>
          <w:color w:val="auto"/>
        </w:rPr>
      </w:pPr>
      <w:r>
        <w:rPr>
          <w:rFonts w:ascii="Times New Roman" w:cs="Times New Roman" w:eastAsia="Times New Roman" w:hAnsi="Times New Roman"/>
          <w:sz w:val="20"/>
          <w:szCs w:val="20"/>
          <w:color w:val="231F20"/>
        </w:rPr>
        <w:t>The Company determines if an arrangement is a lease at the inception of the agreement. The Company considers an arrangement to be a lease if it conveys the right to control the use of the communications infrastructure or ground space underneath communications infrastructure for a period of time in exchange for consideration. The Company is both a lessor and a lessee.</w:t>
      </w:r>
    </w:p>
    <w:p>
      <w:pPr>
        <w:spacing w:after="0" w:line="122" w:lineRule="exact"/>
        <w:rPr>
          <w:sz w:val="20"/>
          <w:szCs w:val="20"/>
          <w:color w:val="auto"/>
        </w:rPr>
      </w:pPr>
    </w:p>
    <w:p>
      <w:pPr>
        <w:ind w:left="7" w:right="180"/>
        <w:spacing w:after="0" w:line="273" w:lineRule="auto"/>
        <w:rPr>
          <w:sz w:val="20"/>
          <w:szCs w:val="20"/>
          <w:color w:val="auto"/>
        </w:rPr>
      </w:pPr>
      <w:r>
        <w:rPr>
          <w:rFonts w:ascii="Times New Roman" w:cs="Times New Roman" w:eastAsia="Times New Roman" w:hAnsi="Times New Roman"/>
          <w:sz w:val="19"/>
          <w:szCs w:val="19"/>
          <w:i w:val="1"/>
          <w:iCs w:val="1"/>
          <w:color w:val="231F20"/>
        </w:rPr>
        <w:t>Lessor</w:t>
      </w:r>
      <w:r>
        <w:rPr>
          <w:rFonts w:ascii="Times New Roman" w:cs="Times New Roman" w:eastAsia="Times New Roman" w:hAnsi="Times New Roman"/>
          <w:sz w:val="19"/>
          <w:szCs w:val="19"/>
          <w:color w:val="231F20"/>
        </w:rPr>
        <w:t>—The Company is a lessor in most of its revenue arrangements, as property revenue is derived from tenant leases of</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specifically-identified, physically distinct space on or in the Company’s communications real estate assets. The Company’s lease arrangements with its tenants for its communications sites vary depending upon the region and the industry of the tenant and generally have initial non-cancellable terms of five to ten years with multiple renewal terms. The leases also contain</w:t>
      </w:r>
    </w:p>
    <w:p>
      <w:pPr>
        <w:sectPr>
          <w:pgSz w:w="11880" w:h="15480" w:orient="portrait"/>
          <w:cols w:equalWidth="0" w:num="1">
            <w:col w:w="10047"/>
          </w:cols>
          <w:pgMar w:left="913" w:top="418" w:right="920" w:bottom="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F-18</w:t>
      </w:r>
    </w:p>
    <w:p>
      <w:pPr>
        <w:sectPr>
          <w:pgSz w:w="11880" w:h="15480" w:orient="portrait"/>
          <w:cols w:equalWidth="0" w:num="1">
            <w:col w:w="10047"/>
          </w:cols>
          <w:pgMar w:left="913" w:top="418" w:right="920" w:bottom="0" w:gutter="0" w:footer="0" w:header="0"/>
          <w:type w:val="continuous"/>
        </w:sectPr>
      </w:pPr>
    </w:p>
    <w:bookmarkStart w:id="108" w:name="page109"/>
    <w:bookmarkEnd w:id="108"/>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line="259" w:lineRule="auto"/>
        <w:rPr>
          <w:sz w:val="20"/>
          <w:szCs w:val="20"/>
          <w:color w:val="auto"/>
        </w:rPr>
      </w:pPr>
      <w:r>
        <w:rPr>
          <w:rFonts w:ascii="Times New Roman" w:cs="Times New Roman" w:eastAsia="Times New Roman" w:hAnsi="Times New Roman"/>
          <w:sz w:val="20"/>
          <w:szCs w:val="20"/>
          <w:color w:val="231F20"/>
        </w:rPr>
        <w:t>provisions that periodically increase the rent due, typically annually, based on a fixed escalation percentage or an inflationary index, or a combination of both. The Company structures its leases to include financial penalties if a tenant terminates the lease, which serve to disincentivize tenants from terminating the lease prior to the expiration of the lease term.</w:t>
      </w:r>
    </w:p>
    <w:p>
      <w:pPr>
        <w:spacing w:after="0" w:line="118" w:lineRule="exact"/>
        <w:rPr>
          <w:sz w:val="20"/>
          <w:szCs w:val="20"/>
          <w:color w:val="auto"/>
        </w:rPr>
      </w:pPr>
    </w:p>
    <w:p>
      <w:pPr>
        <w:ind w:left="7" w:right="40"/>
        <w:spacing w:after="0" w:line="248" w:lineRule="auto"/>
        <w:rPr>
          <w:sz w:val="20"/>
          <w:szCs w:val="20"/>
          <w:color w:val="auto"/>
        </w:rPr>
      </w:pPr>
      <w:r>
        <w:rPr>
          <w:rFonts w:ascii="Times New Roman" w:cs="Times New Roman" w:eastAsia="Times New Roman" w:hAnsi="Times New Roman"/>
          <w:sz w:val="20"/>
          <w:szCs w:val="20"/>
          <w:color w:val="231F20"/>
        </w:rPr>
        <w:t>The Company’s leasing arrangements outside of the United States may require that the Company provide power to the communications site through an electrical grid connection, diesel fuel generators or other sources and permit the Company to pass through the costs of, or otherwise charge for, these services. Many arrangements require that the communications site has power for a specified percentage of time. In most cases, if delivery of power falls below the specified service level, a corresponding reduction in revenue is recorded. The Company has determined that this performance obligation is satisfied over time for the duration of the lease. In addition, the Company provides power to its data center customers, which is passed through, or otherwise charged, to customers pursuant to the terms of the customer power arrangement. Customer power arrangements are coterminous with such customer’s underlying lease and have the same pattern of transfer over the lease term. This performance obligation is generally satisfied over time for the duration of the lease. Fixed power revenue is recognized each month over the term of the lease. For variable power arrangements, the Company recognizes revenue each month as the uncertainty related to the consideration is resolved.</w:t>
      </w:r>
    </w:p>
    <w:p>
      <w:pPr>
        <w:spacing w:after="0" w:line="130" w:lineRule="exact"/>
        <w:rPr>
          <w:sz w:val="20"/>
          <w:szCs w:val="20"/>
          <w:color w:val="auto"/>
        </w:rPr>
      </w:pPr>
    </w:p>
    <w:p>
      <w:pPr>
        <w:jc w:val="both"/>
        <w:ind w:left="7" w:right="260"/>
        <w:spacing w:after="0" w:line="266" w:lineRule="auto"/>
        <w:rPr>
          <w:sz w:val="20"/>
          <w:szCs w:val="20"/>
          <w:color w:val="auto"/>
        </w:rPr>
      </w:pPr>
      <w:r>
        <w:rPr>
          <w:rFonts w:ascii="Times New Roman" w:cs="Times New Roman" w:eastAsia="Times New Roman" w:hAnsi="Times New Roman"/>
          <w:sz w:val="19"/>
          <w:szCs w:val="19"/>
          <w:color w:val="231F20"/>
        </w:rPr>
        <w:t>The Company typically has more than one tenant on a site and, by performing ordinary course repair and maintenance work, can often lease a site, either through renewing existing agreements or leasing to new tenants, for periods beyond the existing tenant lease term. Accordingly, the Company has minimal risk with respect to the residual value of its leased assets.</w:t>
      </w:r>
    </w:p>
    <w:p>
      <w:pPr>
        <w:spacing w:after="0" w:line="1" w:lineRule="exact"/>
        <w:rPr>
          <w:sz w:val="20"/>
          <w:szCs w:val="20"/>
          <w:color w:val="auto"/>
        </w:rPr>
      </w:pPr>
    </w:p>
    <w:p>
      <w:pPr>
        <w:ind w:left="7" w:right="320"/>
        <w:spacing w:after="0" w:line="250" w:lineRule="auto"/>
        <w:rPr>
          <w:sz w:val="20"/>
          <w:szCs w:val="20"/>
          <w:color w:val="auto"/>
        </w:rPr>
      </w:pPr>
      <w:r>
        <w:rPr>
          <w:rFonts w:ascii="Times New Roman" w:cs="Times New Roman" w:eastAsia="Times New Roman" w:hAnsi="Times New Roman"/>
          <w:sz w:val="20"/>
          <w:szCs w:val="20"/>
          <w:color w:val="231F20"/>
        </w:rPr>
        <w:t>Communications infrastructure assets are depreciated over their estimated useful lives, which generally do not exceed thirty years.</w:t>
      </w:r>
    </w:p>
    <w:p>
      <w:pPr>
        <w:spacing w:after="0" w:line="127" w:lineRule="exact"/>
        <w:rPr>
          <w:sz w:val="20"/>
          <w:szCs w:val="20"/>
          <w:color w:val="auto"/>
        </w:rPr>
      </w:pPr>
    </w:p>
    <w:p>
      <w:pPr>
        <w:ind w:left="7" w:right="120"/>
        <w:spacing w:after="0" w:line="273" w:lineRule="auto"/>
        <w:rPr>
          <w:sz w:val="20"/>
          <w:szCs w:val="20"/>
          <w:color w:val="auto"/>
        </w:rPr>
      </w:pPr>
      <w:r>
        <w:rPr>
          <w:rFonts w:ascii="Times New Roman" w:cs="Times New Roman" w:eastAsia="Times New Roman" w:hAnsi="Times New Roman"/>
          <w:sz w:val="20"/>
          <w:szCs w:val="20"/>
          <w:color w:val="231F20"/>
        </w:rPr>
        <w:t>As of December 31, 2025, the Company does not have any material related party leases as a lessor. To the extent there are any intercompany leases, these are eliminated in consolidation.</w:t>
      </w:r>
    </w:p>
    <w:p>
      <w:pPr>
        <w:spacing w:after="0" w:line="104" w:lineRule="exact"/>
        <w:rPr>
          <w:sz w:val="20"/>
          <w:szCs w:val="20"/>
          <w:color w:val="auto"/>
        </w:rPr>
      </w:pPr>
    </w:p>
    <w:p>
      <w:pPr>
        <w:ind w:left="7" w:right="160"/>
        <w:spacing w:after="0" w:line="272" w:lineRule="auto"/>
        <w:rPr>
          <w:sz w:val="20"/>
          <w:szCs w:val="20"/>
          <w:color w:val="auto"/>
        </w:rPr>
      </w:pPr>
      <w:r>
        <w:rPr>
          <w:rFonts w:ascii="Times New Roman" w:cs="Times New Roman" w:eastAsia="Times New Roman" w:hAnsi="Times New Roman"/>
          <w:sz w:val="19"/>
          <w:szCs w:val="19"/>
          <w:color w:val="231F20"/>
        </w:rPr>
        <w:t>Historically, the Company has been able to successfully renew its applicable leases as needed to ensure continuation of its revenue. Accordingly, the Company assumes that it will have access to the communications infrastructure or ground space underlying its sites when calculating future minimum rental receipts through the end of the respective terms. Future minimum rental receipts expected under non-cancellable operating lease agreements as of December 31, 2025, were as follows:</w:t>
      </w:r>
    </w:p>
    <w:p>
      <w:pPr>
        <w:spacing w:after="0" w:line="82" w:lineRule="exact"/>
        <w:rPr>
          <w:sz w:val="20"/>
          <w:szCs w:val="20"/>
          <w:color w:val="auto"/>
        </w:rPr>
      </w:pPr>
    </w:p>
    <w:p>
      <w:pPr>
        <w:ind w:left="47"/>
        <w:spacing w:after="0"/>
        <w:tabs>
          <w:tab w:leader="none" w:pos="8727" w:val="left"/>
        </w:tabs>
        <w:rPr>
          <w:sz w:val="20"/>
          <w:szCs w:val="20"/>
          <w:color w:val="auto"/>
        </w:rPr>
      </w:pPr>
      <w:r>
        <w:rPr>
          <w:rFonts w:ascii="Times New Roman" w:cs="Times New Roman" w:eastAsia="Times New Roman" w:hAnsi="Times New Roman"/>
          <w:sz w:val="16"/>
          <w:szCs w:val="16"/>
          <w:b w:val="1"/>
          <w:bCs w:val="1"/>
          <w:color w:val="231F20"/>
        </w:rPr>
        <w:t>Fiscal Year</w:t>
      </w:r>
      <w:r>
        <w:rPr>
          <w:sz w:val="20"/>
          <w:szCs w:val="20"/>
          <w:color w:val="auto"/>
        </w:rPr>
        <w:tab/>
      </w:r>
      <w:r>
        <w:rPr>
          <w:rFonts w:ascii="Times New Roman" w:cs="Times New Roman" w:eastAsia="Times New Roman" w:hAnsi="Times New Roman"/>
          <w:sz w:val="15"/>
          <w:szCs w:val="15"/>
          <w:b w:val="1"/>
          <w:bCs w:val="1"/>
          <w:color w:val="231F20"/>
        </w:rPr>
        <w:t>Amount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391275" cy="1993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7">
                      <a:extLst>
                        <a:ext uri="{28A0092B-C50C-407E-A947-70E740481C1C}"/>
                      </a:extLst>
                    </a:blip>
                    <a:srcRect/>
                    <a:stretch>
                      <a:fillRect/>
                    </a:stretch>
                  </pic:blipFill>
                  <pic:spPr bwMode="auto">
                    <a:xfrm>
                      <a:off x="0" y="0"/>
                      <a:ext cx="6391275" cy="199390"/>
                    </a:xfrm>
                    <a:prstGeom prst="rect">
                      <a:avLst/>
                    </a:prstGeom>
                    <a:noFill/>
                  </pic:spPr>
                </pic:pic>
              </a:graphicData>
            </a:graphic>
          </wp:anchor>
        </w:drawing>
      </w:r>
    </w:p>
    <w:p>
      <w:pPr>
        <w:sectPr>
          <w:pgSz w:w="11880" w:h="15480" w:orient="portrait"/>
          <w:cols w:equalWidth="0" w:num="1">
            <w:col w:w="10027"/>
          </w:cols>
          <w:pgMar w:left="913" w:top="418" w:right="940" w:bottom="0" w:gutter="0" w:footer="0" w:header="0"/>
        </w:sectPr>
      </w:pPr>
    </w:p>
    <w:p>
      <w:pPr>
        <w:spacing w:after="0" w:line="52" w:lineRule="exact"/>
        <w:rPr>
          <w:sz w:val="20"/>
          <w:szCs w:val="20"/>
          <w:color w:val="auto"/>
        </w:rPr>
      </w:pPr>
    </w:p>
    <w:tbl>
      <w:tblPr>
        <w:tblLayout w:type="fixed"/>
        <w:tblInd w:w="47" w:type="dxa"/>
        <w:tblCellMar>
          <w:top w:w="0" w:type="dxa"/>
          <w:left w:w="0" w:type="dxa"/>
          <w:bottom w:w="0" w:type="dxa"/>
          <w:right w:w="0" w:type="dxa"/>
        </w:tblCellMar>
      </w:tblPr>
      <w:tr>
        <w:trPr>
          <w:trHeight w:val="270"/>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2026</w:t>
            </w:r>
            <w:r>
              <w:rPr>
                <w:rFonts w:ascii="Times New Roman" w:cs="Times New Roman" w:eastAsia="Times New Roman" w:hAnsi="Times New Roman"/>
                <w:sz w:val="20"/>
                <w:szCs w:val="20"/>
                <w:color w:val="BABCBE"/>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1"/>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2027</w:t>
            </w:r>
            <w:r>
              <w:rPr>
                <w:rFonts w:ascii="Times New Roman" w:cs="Times New Roman" w:eastAsia="Times New Roman" w:hAnsi="Times New Roman"/>
                <w:sz w:val="20"/>
                <w:szCs w:val="20"/>
                <w:color w:val="BABCBE"/>
                <w:w w:val="99"/>
              </w:rPr>
              <w:t>...............................................................................................................................................................</w:t>
            </w:r>
          </w:p>
        </w:tc>
        <w:tc>
          <w:tcPr>
            <w:tcW w:w="180" w:type="dxa"/>
            <w:vAlign w:val="bottom"/>
          </w:tcPr>
          <w:p>
            <w:pPr>
              <w:spacing w:after="0"/>
              <w:rPr>
                <w:sz w:val="24"/>
                <w:szCs w:val="24"/>
                <w:color w:val="auto"/>
              </w:rPr>
            </w:pPr>
          </w:p>
        </w:tc>
      </w:tr>
      <w:tr>
        <w:trPr>
          <w:trHeight w:val="294"/>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2028</w:t>
            </w:r>
            <w:r>
              <w:rPr>
                <w:rFonts w:ascii="Times New Roman" w:cs="Times New Roman" w:eastAsia="Times New Roman" w:hAnsi="Times New Roman"/>
                <w:sz w:val="20"/>
                <w:szCs w:val="20"/>
                <w:color w:val="BABCBE"/>
                <w:w w:val="99"/>
              </w:rPr>
              <w:t>...............................................................................................................................................................</w:t>
            </w:r>
          </w:p>
        </w:tc>
        <w:tc>
          <w:tcPr>
            <w:tcW w:w="180" w:type="dxa"/>
            <w:vAlign w:val="bottom"/>
          </w:tcPr>
          <w:p>
            <w:pPr>
              <w:spacing w:after="0"/>
              <w:rPr>
                <w:sz w:val="24"/>
                <w:szCs w:val="24"/>
                <w:color w:val="auto"/>
              </w:rPr>
            </w:pPr>
          </w:p>
        </w:tc>
      </w:tr>
      <w:tr>
        <w:trPr>
          <w:trHeight w:val="294"/>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2029</w:t>
            </w:r>
            <w:r>
              <w:rPr>
                <w:rFonts w:ascii="Times New Roman" w:cs="Times New Roman" w:eastAsia="Times New Roman" w:hAnsi="Times New Roman"/>
                <w:sz w:val="20"/>
                <w:szCs w:val="20"/>
                <w:color w:val="BABCBE"/>
                <w:w w:val="99"/>
              </w:rPr>
              <w:t>...............................................................................................................................................................</w:t>
            </w:r>
          </w:p>
        </w:tc>
        <w:tc>
          <w:tcPr>
            <w:tcW w:w="180" w:type="dxa"/>
            <w:vAlign w:val="bottom"/>
          </w:tcPr>
          <w:p>
            <w:pPr>
              <w:spacing w:after="0"/>
              <w:rPr>
                <w:sz w:val="24"/>
                <w:szCs w:val="24"/>
                <w:color w:val="auto"/>
              </w:rPr>
            </w:pPr>
          </w:p>
        </w:tc>
      </w:tr>
      <w:tr>
        <w:trPr>
          <w:trHeight w:val="294"/>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2030</w:t>
            </w:r>
            <w:r>
              <w:rPr>
                <w:rFonts w:ascii="Times New Roman" w:cs="Times New Roman" w:eastAsia="Times New Roman" w:hAnsi="Times New Roman"/>
                <w:sz w:val="20"/>
                <w:szCs w:val="20"/>
                <w:color w:val="BABCBE"/>
                <w:w w:val="99"/>
              </w:rPr>
              <w:t>...............................................................................................................................................................</w:t>
            </w:r>
          </w:p>
        </w:tc>
        <w:tc>
          <w:tcPr>
            <w:tcW w:w="180" w:type="dxa"/>
            <w:vAlign w:val="bottom"/>
          </w:tcPr>
          <w:p>
            <w:pPr>
              <w:spacing w:after="0"/>
              <w:rPr>
                <w:sz w:val="24"/>
                <w:szCs w:val="24"/>
                <w:color w:val="auto"/>
              </w:rPr>
            </w:pPr>
          </w:p>
        </w:tc>
      </w:tr>
      <w:tr>
        <w:trPr>
          <w:trHeight w:val="294"/>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8"/>
              </w:rPr>
              <w:t xml:space="preserve">Thereafter </w:t>
            </w:r>
            <w:r>
              <w:rPr>
                <w:rFonts w:ascii="Times New Roman" w:cs="Times New Roman" w:eastAsia="Times New Roman" w:hAnsi="Times New Roman"/>
                <w:sz w:val="20"/>
                <w:szCs w:val="20"/>
                <w:color w:val="BABCBE"/>
                <w:w w:val="98"/>
              </w:rPr>
              <w:t>......................................................................................................................................................</w:t>
            </w:r>
          </w:p>
        </w:tc>
        <w:tc>
          <w:tcPr>
            <w:tcW w:w="180" w:type="dxa"/>
            <w:vAlign w:val="bottom"/>
          </w:tcPr>
          <w:p>
            <w:pPr>
              <w:spacing w:after="0"/>
              <w:rPr>
                <w:sz w:val="24"/>
                <w:szCs w:val="24"/>
                <w:color w:val="auto"/>
              </w:rPr>
            </w:pPr>
          </w:p>
        </w:tc>
      </w:tr>
      <w:tr>
        <w:trPr>
          <w:trHeight w:val="307"/>
        </w:trPr>
        <w:tc>
          <w:tcPr>
            <w:tcW w:w="8300" w:type="dxa"/>
            <w:vAlign w:val="bottom"/>
          </w:tcPr>
          <w:p>
            <w:pPr>
              <w:spacing w:after="0"/>
              <w:rPr>
                <w:sz w:val="20"/>
                <w:szCs w:val="20"/>
                <w:color w:val="auto"/>
              </w:rPr>
            </w:pPr>
            <w:r>
              <w:rPr>
                <w:rFonts w:ascii="Times New Roman" w:cs="Times New Roman" w:eastAsia="Times New Roman" w:hAnsi="Times New Roman"/>
                <w:sz w:val="20"/>
                <w:szCs w:val="20"/>
                <w:color w:val="231F20"/>
                <w:w w:val="98"/>
              </w:rPr>
              <w:t xml:space="preserve">Total </w:t>
            </w:r>
            <w:r>
              <w:rPr>
                <w:rFonts w:ascii="Times New Roman" w:cs="Times New Roman" w:eastAsia="Times New Roman" w:hAnsi="Times New Roman"/>
                <w:sz w:val="20"/>
                <w:szCs w:val="20"/>
                <w:color w:val="BABCBE"/>
                <w:w w:val="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-925195</wp:posOffset>
                </wp:positionV>
                <wp:extent cx="6365875" cy="18669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5875" cy="186690"/>
                        </a:xfrm>
                        <a:prstGeom prst="rect">
                          <a:avLst/>
                        </a:prstGeom>
                        <a:solidFill>
                          <a:srgbClr val="E3E4E5"/>
                        </a:solidFill>
                      </wps:spPr>
                      <wps:bodyPr/>
                    </wps:wsp>
                  </a:graphicData>
                </a:graphic>
              </wp:anchor>
            </w:drawing>
          </mc:Choice>
          <mc:Fallback>
            <w:pict>
              <v:rect id="Shape 232" o:spid="_x0000_s1257" style="position:absolute;margin-left:0pt;margin-top:-72.8499pt;width:501.2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-551815</wp:posOffset>
                </wp:positionV>
                <wp:extent cx="6365875" cy="18669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5875" cy="186690"/>
                        </a:xfrm>
                        <a:prstGeom prst="rect">
                          <a:avLst/>
                        </a:prstGeom>
                        <a:solidFill>
                          <a:srgbClr val="E3E4E5"/>
                        </a:solidFill>
                      </wps:spPr>
                      <wps:bodyPr/>
                    </wps:wsp>
                  </a:graphicData>
                </a:graphic>
              </wp:anchor>
            </w:drawing>
          </mc:Choice>
          <mc:Fallback>
            <w:pict>
              <v:rect id="Shape 233" o:spid="_x0000_s1258" style="position:absolute;margin-left:0pt;margin-top:-43.4499pt;width:501.2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0</wp:posOffset>
            </wp:positionH>
            <wp:positionV relativeFrom="paragraph">
              <wp:posOffset>-191135</wp:posOffset>
            </wp:positionV>
            <wp:extent cx="6378575" cy="2247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88">
                      <a:extLst>
                        <a:ext uri="{28A0092B-C50C-407E-A947-70E740481C1C}"/>
                      </a:extLst>
                    </a:blip>
                    <a:srcRect/>
                    <a:stretch>
                      <a:fillRect/>
                    </a:stretch>
                  </pic:blipFill>
                  <pic:spPr bwMode="auto">
                    <a:xfrm>
                      <a:off x="0" y="0"/>
                      <a:ext cx="6378575" cy="224790"/>
                    </a:xfrm>
                    <a:prstGeom prst="rect">
                      <a:avLst/>
                    </a:prstGeom>
                    <a:noFill/>
                  </pic:spPr>
                </pic:pic>
              </a:graphicData>
            </a:graphic>
          </wp:anchor>
        </w:drawing>
      </w:r>
    </w:p>
    <w:p>
      <w:pPr>
        <w:spacing w:after="0" w:line="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8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are translated at the applicable period-end exchange rate, which may impact comparability between periods.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8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represent contractual amounts owed with no adjustments made for expected collectibility.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8,693.2</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8,529.6</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7,145.9</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6,750.5</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5,412.6</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9"/>
          <w:szCs w:val="19"/>
          <w:color w:val="231F20"/>
        </w:rPr>
        <w:t>17,474.1</w:t>
      </w:r>
    </w:p>
    <w:p>
      <w:pPr>
        <w:spacing w:after="0" w:line="7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9"/>
          <w:szCs w:val="19"/>
          <w:color w:val="231F20"/>
        </w:rPr>
        <w:t>54,005.9</w:t>
      </w:r>
    </w:p>
    <w:p>
      <w:pPr>
        <w:spacing w:after="0" w:line="839" w:lineRule="exact"/>
        <w:rPr>
          <w:sz w:val="20"/>
          <w:szCs w:val="20"/>
          <w:color w:val="auto"/>
        </w:rPr>
      </w:pPr>
    </w:p>
    <w:p>
      <w:pPr>
        <w:sectPr>
          <w:pgSz w:w="11880" w:h="15480" w:orient="portrait"/>
          <w:cols w:equalWidth="0" w:num="2">
            <w:col w:w="8547" w:space="720"/>
            <w:col w:w="760"/>
          </w:cols>
          <w:pgMar w:left="913" w:top="418" w:right="940" w:bottom="0" w:gutter="0" w:footer="0" w:header="0"/>
          <w:type w:val="continuous"/>
        </w:sectPr>
      </w:pPr>
    </w:p>
    <w:p>
      <w:pPr>
        <w:ind w:left="7" w:right="200"/>
        <w:spacing w:after="0" w:line="250" w:lineRule="auto"/>
        <w:rPr>
          <w:sz w:val="20"/>
          <w:szCs w:val="20"/>
          <w:color w:val="auto"/>
        </w:rPr>
      </w:pPr>
      <w:r>
        <w:rPr>
          <w:rFonts w:ascii="Times New Roman" w:cs="Times New Roman" w:eastAsia="Times New Roman" w:hAnsi="Times New Roman"/>
          <w:sz w:val="20"/>
          <w:szCs w:val="20"/>
          <w:color w:val="231F20"/>
        </w:rPr>
        <w:t>The Company generally does not enter into sales-type leases or direct financing leases. If incentives are present in the Company’s leases, they are evaluated to determine proper treatment and, to the extent present, are recorded in Other current assets and Other non-current assets in the consolidated balance sheets and amortized on a straight line basis over the corresponding lease term as a non-cash reduction to revenue. As of December 31, 2025, the remaining weighted average amortization period of the Company’s lease incentives was 9 years. As of December 31, 2025, Other current assets and Other non-current assets include $47.7 million and $350.4 million, respectively, for lease incentives. In addition, the Company’s leases do not include any lessee purchase options.</w:t>
      </w:r>
    </w:p>
    <w:p>
      <w:pPr>
        <w:sectPr>
          <w:pgSz w:w="11880" w:h="15480" w:orient="portrait"/>
          <w:cols w:equalWidth="0" w:num="1">
            <w:col w:w="10027"/>
          </w:cols>
          <w:pgMar w:left="913" w:top="418"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10027"/>
          </w:cols>
          <w:pgMar w:left="913" w:top="418" w:right="94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i w:val="1"/>
          <w:iCs w:val="1"/>
          <w:color w:val="231F20"/>
        </w:rPr>
        <w:t>Lessee</w:t>
      </w:r>
      <w:r>
        <w:rPr>
          <w:rFonts w:ascii="Times New Roman" w:cs="Times New Roman" w:eastAsia="Times New Roman" w:hAnsi="Times New Roman"/>
          <w:sz w:val="20"/>
          <w:szCs w:val="20"/>
          <w:color w:val="231F20"/>
        </w:rPr>
        <w:t>—The Company enters into arrangements as a lessee primarily for ground space underneath its communications sites.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These arrangements are typically long-term lease agreements with initial non-cancellable terms of approximately five to ten years with one or more automatic or exercisable renewal periods and specified increases in lease payments upon renewal. The Company typically exercises its ground lease renewal options in order to utilize the assets used and provide ongoing tenant space on or in its communications sites through the end of the tenant lease term. Escalation clauses present in operating leases, excluding those tied to CPI or other inflation-based indices, are recognized on a straight-line basis over the estimated lease term of the applicable lease as a component of rent expense. Additionally, the escalations tied to CPI or another inflation-based index are considered variable lease payments. In certain circumstances, the Company enters into revenue sharing arrangements with the ground space owner, which results in variability in lease payments. In most markets outside of the United States, in the event there are no tenants on the communications site, the Company generally has unilateral termination rights and in certain situations, the lease is structured to allow for termination by the Company with minimal or no penalties. Ground lease arrangements usually include annual escalations and do not contain any residual value guarantees or restrictions on dividends, other financial obligations or other similar terms. The Company has entered into certain transactions whereby at the end of a lease, sublease or similar arrangement, the Company has the option to purchase the corresponding communications sites. These transactions are further described in note 17.</w:t>
      </w:r>
    </w:p>
    <w:p>
      <w:pPr>
        <w:spacing w:after="0" w:line="13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231F20"/>
        </w:rPr>
        <w:t>The Company’s lease liability is the present value of the remaining minimum rental payments to be made over the remaining lease term, including renewal options reasonably certain to be exercised. The Company also considers termination options and factors those into the determination of lease payments when appropriate. To determine the lease term, the Company considers all renewal periods that are reasonably certain to be exercised, taking into consideration all economic factors, including the communications site’s estimated economic life (generally thirty years) and the respective lease terms of the Company’s tenants under the existing lease arrangements on such site.</w:t>
      </w:r>
    </w:p>
    <w:p>
      <w:pPr>
        <w:spacing w:after="0" w:line="12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231F20"/>
        </w:rPr>
        <w:t>The Company assesses its right-of-use asset and other lease-related assets for impairment, as described in note 1. During the years ended December 31, 2025, 2024 and 2023, the Company recorded $7.9 million, $0.8 million and $6.7 million, respectively, of impairment expense related to these assets.</w:t>
      </w:r>
    </w:p>
    <w:p>
      <w:pPr>
        <w:spacing w:after="0" w:line="118" w:lineRule="exact"/>
        <w:rPr>
          <w:sz w:val="20"/>
          <w:szCs w:val="20"/>
          <w:color w:val="auto"/>
        </w:rPr>
      </w:pPr>
    </w:p>
    <w:p>
      <w:pPr>
        <w:ind w:right="560"/>
        <w:spacing w:after="0" w:line="300" w:lineRule="auto"/>
        <w:rPr>
          <w:sz w:val="20"/>
          <w:szCs w:val="20"/>
          <w:color w:val="auto"/>
        </w:rPr>
      </w:pPr>
      <w:r>
        <w:rPr>
          <w:rFonts w:ascii="Times New Roman" w:cs="Times New Roman" w:eastAsia="Times New Roman" w:hAnsi="Times New Roman"/>
          <w:sz w:val="19"/>
          <w:szCs w:val="19"/>
          <w:color w:val="231F20"/>
        </w:rPr>
        <w:t>As of December 31, 2025, the Company does not have any material related party leases or finance leases as a lessee. The Company does not have any sale-leaseback arrangements as lessee and typically does not enter into leveraged leases.</w:t>
      </w:r>
    </w:p>
    <w:p>
      <w:pPr>
        <w:spacing w:after="0" w:line="8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9"/>
          <w:szCs w:val="19"/>
          <w:color w:val="231F20"/>
        </w:rPr>
        <w:t>The Company leases certain land, buildings, equipment and office space under operating leases and land and improvements, towers, equipment and vehicles under finance leases. As of December 31, 2025, operating lease assets were included in Right-of-use asset and finance lease assets were included in Property and equipment, net in the consolidated balance sheet.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Information about other lease-related balances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6397625" cy="3676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9">
                      <a:extLst>
                        <a:ext uri="{28A0092B-C50C-407E-A947-70E740481C1C}"/>
                      </a:extLst>
                    </a:blip>
                    <a:srcRect/>
                    <a:stretch>
                      <a:fillRect/>
                    </a:stretch>
                  </pic:blipFill>
                  <pic:spPr bwMode="auto">
                    <a:xfrm>
                      <a:off x="0" y="0"/>
                      <a:ext cx="6397625" cy="367665"/>
                    </a:xfrm>
                    <a:prstGeom prst="rect">
                      <a:avLst/>
                    </a:prstGeom>
                    <a:noFill/>
                  </pic:spPr>
                </pic:pic>
              </a:graphicData>
            </a:graphic>
          </wp:anchor>
        </w:drawing>
      </w:r>
    </w:p>
    <w:p>
      <w:pPr>
        <w:spacing w:after="0" w:line="10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b w:val="1"/>
          <w:bCs w:val="1"/>
          <w:color w:val="231F20"/>
        </w:rPr>
        <w:t>As of</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60" w:type="dxa"/>
            <w:vAlign w:val="bottom"/>
            <w:tcBorders>
              <w:bottom w:val="single" w:sz="8" w:color="E3E4E5"/>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70"/>
        </w:trPr>
        <w:tc>
          <w:tcPr>
            <w:tcW w:w="5660" w:type="dxa"/>
            <w:vAlign w:val="bottom"/>
            <w:shd w:val="clear" w:color="auto" w:fill="E3E4E5"/>
          </w:tcPr>
          <w:p>
            <w:pPr>
              <w:jc w:val="right"/>
              <w:ind w:right="4162"/>
              <w:spacing w:after="0"/>
              <w:rPr>
                <w:sz w:val="20"/>
                <w:szCs w:val="20"/>
                <w:color w:val="auto"/>
              </w:rPr>
            </w:pPr>
            <w:r>
              <w:rPr>
                <w:rFonts w:ascii="Times New Roman" w:cs="Times New Roman" w:eastAsia="Times New Roman" w:hAnsi="Times New Roman"/>
                <w:sz w:val="20"/>
                <w:szCs w:val="20"/>
                <w:color w:val="231F20"/>
                <w:w w:val="99"/>
              </w:rPr>
              <w:t>Operating leases:</w:t>
            </w:r>
          </w:p>
        </w:tc>
        <w:tc>
          <w:tcPr>
            <w:tcW w:w="300" w:type="dxa"/>
            <w:vAlign w:val="bottom"/>
            <w:shd w:val="clear" w:color="auto" w:fill="E3E4E5"/>
          </w:tcPr>
          <w:p>
            <w:pPr>
              <w:spacing w:after="0"/>
              <w:rPr>
                <w:sz w:val="23"/>
                <w:szCs w:val="23"/>
                <w:color w:val="auto"/>
              </w:rPr>
            </w:pPr>
          </w:p>
        </w:tc>
        <w:tc>
          <w:tcPr>
            <w:tcW w:w="186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1860" w:type="dxa"/>
            <w:vAlign w:val="bottom"/>
            <w:shd w:val="clear" w:color="auto" w:fill="E3E4E5"/>
          </w:tcPr>
          <w:p>
            <w:pPr>
              <w:spacing w:after="0"/>
              <w:rPr>
                <w:sz w:val="23"/>
                <w:szCs w:val="23"/>
                <w:color w:val="auto"/>
              </w:rPr>
            </w:pPr>
          </w:p>
        </w:tc>
      </w:tr>
      <w:tr>
        <w:trPr>
          <w:trHeight w:val="274"/>
        </w:trPr>
        <w:tc>
          <w:tcPr>
            <w:tcW w:w="56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Right-of-use asset</w:t>
            </w:r>
            <w:r>
              <w:rPr>
                <w:rFonts w:ascii="Times New Roman" w:cs="Times New Roman" w:eastAsia="Times New Roman" w:hAnsi="Times New Roman"/>
                <w:sz w:val="20"/>
                <w:szCs w:val="20"/>
                <w:color w:val="BABCBE"/>
              </w:rPr>
              <w:t>............................................................................</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8,426.5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8,089.6</w:t>
            </w:r>
          </w:p>
        </w:tc>
      </w:tr>
      <w:tr>
        <w:trPr>
          <w:trHeight w:val="284"/>
        </w:trPr>
        <w:tc>
          <w:tcPr>
            <w:tcW w:w="56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86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1860" w:type="dxa"/>
            <w:vAlign w:val="bottom"/>
            <w:shd w:val="clear" w:color="auto" w:fill="E3E4E5"/>
          </w:tcPr>
          <w:p>
            <w:pPr>
              <w:spacing w:after="0"/>
              <w:rPr>
                <w:sz w:val="24"/>
                <w:szCs w:val="24"/>
                <w:color w:val="auto"/>
              </w:rPr>
            </w:pPr>
          </w:p>
        </w:tc>
      </w:tr>
      <w:tr>
        <w:trPr>
          <w:trHeight w:val="288"/>
        </w:trPr>
        <w:tc>
          <w:tcPr>
            <w:tcW w:w="56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 xml:space="preserve">Current portion of lease liability </w:t>
            </w:r>
            <w:r>
              <w:rPr>
                <w:rFonts w:ascii="Times New Roman" w:cs="Times New Roman" w:eastAsia="Times New Roman" w:hAnsi="Times New Roman"/>
                <w:sz w:val="20"/>
                <w:szCs w:val="20"/>
                <w:color w:val="BABCBE"/>
              </w:rPr>
              <w:t>.....................................................</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584.9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576.7</w:t>
            </w:r>
          </w:p>
        </w:tc>
      </w:tr>
      <w:tr>
        <w:trPr>
          <w:trHeight w:val="295"/>
        </w:trPr>
        <w:tc>
          <w:tcPr>
            <w:tcW w:w="566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Lease liability</w:t>
            </w:r>
            <w:r>
              <w:rPr>
                <w:rFonts w:ascii="Times New Roman" w:cs="Times New Roman" w:eastAsia="Times New Roman" w:hAnsi="Times New Roman"/>
                <w:sz w:val="20"/>
                <w:szCs w:val="20"/>
                <w:color w:val="BABCBE"/>
              </w:rPr>
              <w:t>..................................................................................</w:t>
            </w:r>
          </w:p>
        </w:tc>
        <w:tc>
          <w:tcPr>
            <w:tcW w:w="300" w:type="dxa"/>
            <w:vAlign w:val="bottom"/>
            <w:tcBorders>
              <w:bottom w:val="single" w:sz="8" w:color="231F20"/>
            </w:tcBorders>
            <w:shd w:val="clear" w:color="auto" w:fill="E3E4E5"/>
          </w:tcPr>
          <w:p>
            <w:pPr>
              <w:spacing w:after="0"/>
              <w:rPr>
                <w:sz w:val="24"/>
                <w:szCs w:val="24"/>
                <w:color w:val="auto"/>
              </w:rPr>
            </w:pPr>
          </w:p>
        </w:tc>
        <w:tc>
          <w:tcPr>
            <w:tcW w:w="1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7,158.7</w:t>
            </w:r>
          </w:p>
        </w:tc>
        <w:tc>
          <w:tcPr>
            <w:tcW w:w="6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1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6,875.6</w:t>
            </w:r>
          </w:p>
        </w:tc>
      </w:tr>
      <w:tr>
        <w:trPr>
          <w:trHeight w:val="220"/>
        </w:trPr>
        <w:tc>
          <w:tcPr>
            <w:tcW w:w="5660" w:type="dxa"/>
            <w:vAlign w:val="bottom"/>
          </w:tcPr>
          <w:p>
            <w:pPr>
              <w:jc w:val="right"/>
              <w:ind w:right="22"/>
              <w:spacing w:after="0" w:line="220" w:lineRule="exact"/>
              <w:rPr>
                <w:sz w:val="20"/>
                <w:szCs w:val="20"/>
                <w:color w:val="auto"/>
              </w:rPr>
            </w:pPr>
            <w:r>
              <w:rPr>
                <w:rFonts w:ascii="Times New Roman" w:cs="Times New Roman" w:eastAsia="Times New Roman" w:hAnsi="Times New Roman"/>
                <w:sz w:val="20"/>
                <w:szCs w:val="20"/>
                <w:color w:val="231F20"/>
                <w:w w:val="98"/>
              </w:rPr>
              <w:t>Total operating lease liability</w:t>
            </w:r>
            <w:r>
              <w:rPr>
                <w:rFonts w:ascii="Times New Roman" w:cs="Times New Roman" w:eastAsia="Times New Roman" w:hAnsi="Times New Roman"/>
                <w:sz w:val="20"/>
                <w:szCs w:val="20"/>
                <w:color w:val="BABCBE"/>
                <w:w w:val="98"/>
              </w:rPr>
              <w:t>.................................................................</w:t>
            </w:r>
          </w:p>
        </w:tc>
        <w:tc>
          <w:tcPr>
            <w:tcW w:w="300" w:type="dxa"/>
            <w:vAlign w:val="bottom"/>
          </w:tcPr>
          <w:p>
            <w:pPr>
              <w:jc w:val="right"/>
              <w:ind w:right="4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7,743.6</w:t>
            </w:r>
          </w:p>
        </w:tc>
        <w:tc>
          <w:tcPr>
            <w:tcW w:w="360" w:type="dxa"/>
            <w:vAlign w:val="bottom"/>
            <w:gridSpan w:val="2"/>
          </w:tcPr>
          <w:p>
            <w:pPr>
              <w:jc w:val="right"/>
              <w:ind w:right="14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7,452.3</w:t>
            </w: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-208280</wp:posOffset>
            </wp:positionV>
            <wp:extent cx="28073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90">
                      <a:extLst>
                        <a:ext uri="{28A0092B-C50C-407E-A947-70E740481C1C}"/>
                      </a:extLst>
                    </a:blip>
                    <a:srcRect/>
                    <a:stretch>
                      <a:fillRect/>
                    </a:stretch>
                  </pic:blipFill>
                  <pic:spPr bwMode="auto">
                    <a:xfrm>
                      <a:off x="0" y="0"/>
                      <a:ext cx="2807335" cy="25400"/>
                    </a:xfrm>
                    <a:prstGeom prst="rect">
                      <a:avLst/>
                    </a:prstGeom>
                    <a:noFill/>
                  </pic:spPr>
                </pic:pic>
              </a:graphicData>
            </a:graphic>
          </wp:anchor>
        </w:drawing>
      </w:r>
    </w:p>
    <w:p>
      <w:pPr>
        <w:spacing w:after="0" w:line="14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231F20"/>
        </w:rPr>
        <w:t>As most of the Company’s leases do not specifically state an implicit rate, the Company uses a market-specific incremental borrowing rate consistent with the lease term as of the lease commencement date or upon a remeasurement event when calculating the present value of the remaining lease payments. The incremental borrowing rate reflects the cost to borrow on a securitized basis in each market. The remaining lease term does not reflect all renewal options available to the Company, only those renewal options that the Company has assessed as reasonably certain of being exercised taking into consideration the economic and other factors noted above.</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1880" w:h="15480" w:orient="portrait"/>
          <w:cols w:equalWidth="0" w:num="1">
            <w:col w:w="10040"/>
          </w:cols>
          <w:pgMar w:left="920" w:top="418" w:right="920" w:bottom="0" w:gutter="0" w:footer="0" w:header="0"/>
          <w:type w:val="continuous"/>
        </w:sectPr>
      </w:pPr>
    </w:p>
    <w:bookmarkStart w:id="110" w:name="page111"/>
    <w:bookmarkEnd w:id="110"/>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weighted-average remaining lease terms and incremental borrowing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397625" cy="3676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91">
                      <a:extLst>
                        <a:ext uri="{28A0092B-C50C-407E-A947-70E740481C1C}"/>
                      </a:extLst>
                    </a:blip>
                    <a:srcRect/>
                    <a:stretch>
                      <a:fillRect/>
                    </a:stretch>
                  </pic:blipFill>
                  <pic:spPr bwMode="auto">
                    <a:xfrm>
                      <a:off x="0" y="0"/>
                      <a:ext cx="6397625" cy="367665"/>
                    </a:xfrm>
                    <a:prstGeom prst="rect">
                      <a:avLst/>
                    </a:prstGeom>
                    <a:noFill/>
                  </pic:spPr>
                </pic:pic>
              </a:graphicData>
            </a:graphic>
          </wp:anchor>
        </w:drawing>
      </w:r>
    </w:p>
    <w:p>
      <w:pPr>
        <w:spacing w:after="0" w:line="103" w:lineRule="exact"/>
        <w:rPr>
          <w:sz w:val="20"/>
          <w:szCs w:val="20"/>
          <w:color w:val="auto"/>
        </w:rPr>
      </w:pPr>
    </w:p>
    <w:p>
      <w:pPr>
        <w:ind w:left="8187"/>
        <w:spacing w:after="0"/>
        <w:rPr>
          <w:sz w:val="20"/>
          <w:szCs w:val="20"/>
          <w:color w:val="auto"/>
        </w:rPr>
      </w:pPr>
      <w:r>
        <w:rPr>
          <w:rFonts w:ascii="Times New Roman" w:cs="Times New Roman" w:eastAsia="Times New Roman" w:hAnsi="Times New Roman"/>
          <w:sz w:val="16"/>
          <w:szCs w:val="16"/>
          <w:b w:val="1"/>
          <w:bCs w:val="1"/>
          <w:color w:val="231F20"/>
        </w:rPr>
        <w:t>As of</w:t>
      </w:r>
    </w:p>
    <w:p>
      <w:pPr>
        <w:spacing w:after="0" w:line="9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660" w:type="dxa"/>
            <w:vAlign w:val="bottom"/>
            <w:tcBorders>
              <w:bottom w:val="single" w:sz="8" w:color="E3E4E5"/>
            </w:tcBorders>
          </w:tcPr>
          <w:p>
            <w:pPr>
              <w:spacing w:after="0"/>
              <w:rPr>
                <w:sz w:val="18"/>
                <w:szCs w:val="18"/>
                <w:color w:val="auto"/>
              </w:rPr>
            </w:pPr>
          </w:p>
        </w:tc>
        <w:tc>
          <w:tcPr>
            <w:tcW w:w="1660" w:type="dxa"/>
            <w:vAlign w:val="bottom"/>
            <w:tcBorders>
              <w:bottom w:val="single" w:sz="8" w:color="231F20"/>
            </w:tcBorders>
          </w:tcPr>
          <w:p>
            <w:pPr>
              <w:jc w:val="right"/>
              <w:ind w:right="89"/>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60" w:type="dxa"/>
            <w:vAlign w:val="bottom"/>
            <w:tcBorders>
              <w:bottom w:val="single" w:sz="8" w:color="E3E4E5"/>
            </w:tcBorders>
          </w:tcPr>
          <w:p>
            <w:pPr>
              <w:spacing w:after="0"/>
              <w:rPr>
                <w:sz w:val="18"/>
                <w:szCs w:val="18"/>
                <w:color w:val="auto"/>
              </w:rPr>
            </w:pPr>
          </w:p>
        </w:tc>
        <w:tc>
          <w:tcPr>
            <w:tcW w:w="166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70"/>
        </w:trPr>
        <w:tc>
          <w:tcPr>
            <w:tcW w:w="66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Operating leases:</w:t>
            </w:r>
          </w:p>
        </w:tc>
        <w:tc>
          <w:tcPr>
            <w:tcW w:w="166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660" w:type="dxa"/>
            <w:vAlign w:val="bottom"/>
            <w:shd w:val="clear" w:color="auto" w:fill="E3E4E5"/>
          </w:tcPr>
          <w:p>
            <w:pPr>
              <w:spacing w:after="0"/>
              <w:rPr>
                <w:sz w:val="23"/>
                <w:szCs w:val="23"/>
                <w:color w:val="auto"/>
              </w:rPr>
            </w:pPr>
          </w:p>
        </w:tc>
      </w:tr>
      <w:tr>
        <w:trPr>
          <w:trHeight w:val="28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Weighted-average remaining lease term (years) </w:t>
            </w:r>
            <w:r>
              <w:rPr>
                <w:rFonts w:ascii="Times New Roman" w:cs="Times New Roman" w:eastAsia="Times New Roman" w:hAnsi="Times New Roman"/>
                <w:sz w:val="20"/>
                <w:szCs w:val="20"/>
                <w:color w:val="BABCBE"/>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14.3</w:t>
            </w:r>
          </w:p>
        </w:tc>
      </w:tr>
      <w:tr>
        <w:trPr>
          <w:trHeight w:val="300"/>
        </w:trPr>
        <w:tc>
          <w:tcPr>
            <w:tcW w:w="66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Weighted-average incremental borrowing rate </w:t>
            </w:r>
            <w:r>
              <w:rPr>
                <w:rFonts w:ascii="Times New Roman" w:cs="Times New Roman" w:eastAsia="Times New Roman" w:hAnsi="Times New Roman"/>
                <w:sz w:val="20"/>
                <w:szCs w:val="20"/>
                <w:color w:val="BABCBE"/>
                <w:w w:val="99"/>
              </w:rPr>
              <w:t>..........................................................</w:t>
            </w:r>
          </w:p>
        </w:tc>
        <w:tc>
          <w:tcPr>
            <w:tcW w:w="1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6.6 %</w:t>
            </w:r>
          </w:p>
        </w:tc>
        <w:tc>
          <w:tcPr>
            <w:tcW w:w="17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6.5 %</w:t>
            </w:r>
          </w:p>
        </w:tc>
      </w:tr>
    </w:tbl>
    <w:p>
      <w:pPr>
        <w:spacing w:after="0" w:line="2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following table sets forth the components of lease cost for the years ended December 31,:</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4940" w:type="dxa"/>
            <w:vAlign w:val="bottom"/>
            <w:tcBorders>
              <w:bottom w:val="single" w:sz="8" w:color="E3E4E5"/>
            </w:tcBorders>
          </w:tcPr>
          <w:p>
            <w:pPr>
              <w:spacing w:after="0"/>
              <w:rPr>
                <w:sz w:val="18"/>
                <w:szCs w:val="18"/>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6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10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80" w:type="dxa"/>
            <w:vAlign w:val="bottom"/>
            <w:tcBorders>
              <w:bottom w:val="single" w:sz="8" w:color="231F20"/>
            </w:tcBorders>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9"/>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4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Operating lease cost</w:t>
            </w:r>
            <w:r>
              <w:rPr>
                <w:rFonts w:ascii="Times New Roman" w:cs="Times New Roman" w:eastAsia="Times New Roman" w:hAnsi="Times New Roman"/>
                <w:sz w:val="20"/>
                <w:szCs w:val="20"/>
                <w:color w:val="BABCBE"/>
              </w:rPr>
              <w:t>.................................................................</w:t>
            </w:r>
          </w:p>
        </w:tc>
        <w:tc>
          <w:tcPr>
            <w:tcW w:w="1000" w:type="dxa"/>
            <w:vAlign w:val="bottom"/>
            <w:shd w:val="clear" w:color="auto" w:fill="E3E4E5"/>
          </w:tcPr>
          <w:p>
            <w:pPr>
              <w:jc w:val="right"/>
              <w:ind w:right="752"/>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3"/>
              </w:rPr>
              <w:t>1,131.4</w:t>
            </w:r>
          </w:p>
        </w:tc>
        <w:tc>
          <w:tcPr>
            <w:tcW w:w="1140" w:type="dxa"/>
            <w:vAlign w:val="bottom"/>
            <w:gridSpan w:val="2"/>
            <w:shd w:val="clear" w:color="auto" w:fill="E3E4E5"/>
          </w:tcPr>
          <w:p>
            <w:pPr>
              <w:jc w:val="right"/>
              <w:ind w:right="842"/>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994.2</w:t>
            </w:r>
          </w:p>
        </w:tc>
        <w:tc>
          <w:tcPr>
            <w:tcW w:w="480" w:type="dxa"/>
            <w:vAlign w:val="bottom"/>
            <w:gridSpan w:val="2"/>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1,084.1</w:t>
            </w:r>
          </w:p>
        </w:tc>
      </w:tr>
      <w:tr>
        <w:trPr>
          <w:trHeight w:val="282"/>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Variable lease costs not included in lease liability (1) </w:t>
            </w:r>
            <w:r>
              <w:rPr>
                <w:rFonts w:ascii="Times New Roman" w:cs="Times New Roman" w:eastAsia="Times New Roman" w:hAnsi="Times New Roman"/>
                <w:sz w:val="20"/>
                <w:szCs w:val="20"/>
                <w:color w:val="BABCBE"/>
                <w:w w:val="99"/>
              </w:rPr>
              <w:t>............</w:t>
            </w:r>
          </w:p>
        </w:tc>
        <w:tc>
          <w:tcPr>
            <w:tcW w:w="10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351.3</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489.2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-377825</wp:posOffset>
            </wp:positionV>
            <wp:extent cx="32645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92">
                      <a:extLst>
                        <a:ext uri="{28A0092B-C50C-407E-A947-70E740481C1C}"/>
                      </a:extLst>
                    </a:blip>
                    <a:srcRect/>
                    <a:stretch>
                      <a:fillRect/>
                    </a:stretch>
                  </pic:blipFill>
                  <pic:spPr bwMode="auto">
                    <a:xfrm>
                      <a:off x="0" y="0"/>
                      <a:ext cx="3264535" cy="25400"/>
                    </a:xfrm>
                    <a:prstGeom prst="rect">
                      <a:avLst/>
                    </a:prstGeom>
                    <a:noFill/>
                  </pic:spPr>
                </pic:pic>
              </a:graphicData>
            </a:graphic>
          </wp:anchor>
        </w:drawing>
      </w:r>
    </w:p>
    <w:p>
      <w:pPr>
        <w:spacing w:after="0" w:line="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8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property tax paid on behalf of the landlord.</w:t>
      </w:r>
    </w:p>
    <w:p>
      <w:pPr>
        <w:spacing w:after="0" w:line="1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Supplemental cash flow information is as follows for the years ended December 31,:</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4940" w:type="dxa"/>
            <w:vAlign w:val="bottom"/>
            <w:tcBorders>
              <w:bottom w:val="single" w:sz="8" w:color="E3E4E5"/>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00"/>
        </w:trPr>
        <w:tc>
          <w:tcPr>
            <w:tcW w:w="4940" w:type="dxa"/>
            <w:vAlign w:val="bottom"/>
            <w:shd w:val="clear" w:color="auto" w:fill="E3E4E5"/>
          </w:tcPr>
          <w:p>
            <w:pPr>
              <w:ind w:left="40"/>
              <w:spacing w:after="0" w:line="200" w:lineRule="exact"/>
              <w:rPr>
                <w:sz w:val="20"/>
                <w:szCs w:val="20"/>
                <w:color w:val="auto"/>
              </w:rPr>
            </w:pPr>
            <w:r>
              <w:rPr>
                <w:rFonts w:ascii="Times New Roman" w:cs="Times New Roman" w:eastAsia="Times New Roman" w:hAnsi="Times New Roman"/>
                <w:sz w:val="20"/>
                <w:szCs w:val="20"/>
                <w:color w:val="231F20"/>
              </w:rPr>
              <w:t>Cash paid for amounts included in the measurement of lease</w:t>
            </w:r>
          </w:p>
        </w:tc>
        <w:tc>
          <w:tcPr>
            <w:tcW w:w="420" w:type="dxa"/>
            <w:vAlign w:val="bottom"/>
            <w:shd w:val="clear" w:color="auto" w:fill="E3E4E5"/>
          </w:tcPr>
          <w:p>
            <w:pPr>
              <w:spacing w:after="0"/>
              <w:rPr>
                <w:sz w:val="17"/>
                <w:szCs w:val="17"/>
                <w:color w:val="auto"/>
              </w:rPr>
            </w:pPr>
          </w:p>
        </w:tc>
        <w:tc>
          <w:tcPr>
            <w:tcW w:w="124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420" w:type="dxa"/>
            <w:vAlign w:val="bottom"/>
            <w:shd w:val="clear" w:color="auto" w:fill="E3E4E5"/>
          </w:tcPr>
          <w:p>
            <w:pPr>
              <w:spacing w:after="0"/>
              <w:rPr>
                <w:sz w:val="17"/>
                <w:szCs w:val="17"/>
                <w:color w:val="auto"/>
              </w:rPr>
            </w:pPr>
          </w:p>
        </w:tc>
        <w:tc>
          <w:tcPr>
            <w:tcW w:w="124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420" w:type="dxa"/>
            <w:vAlign w:val="bottom"/>
            <w:shd w:val="clear" w:color="auto" w:fill="E3E4E5"/>
          </w:tcPr>
          <w:p>
            <w:pPr>
              <w:spacing w:after="0"/>
              <w:rPr>
                <w:sz w:val="17"/>
                <w:szCs w:val="17"/>
                <w:color w:val="auto"/>
              </w:rPr>
            </w:pPr>
          </w:p>
        </w:tc>
        <w:tc>
          <w:tcPr>
            <w:tcW w:w="124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liabilities:</w:t>
            </w:r>
          </w:p>
        </w:tc>
        <w:tc>
          <w:tcPr>
            <w:tcW w:w="420" w:type="dxa"/>
            <w:vAlign w:val="bottom"/>
            <w:shd w:val="clear" w:color="auto" w:fill="E3E4E5"/>
          </w:tcPr>
          <w:p>
            <w:pPr>
              <w:spacing w:after="0"/>
              <w:rPr>
                <w:sz w:val="23"/>
                <w:szCs w:val="23"/>
                <w:color w:val="auto"/>
              </w:rPr>
            </w:pPr>
          </w:p>
        </w:tc>
        <w:tc>
          <w:tcPr>
            <w:tcW w:w="124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420" w:type="dxa"/>
            <w:vAlign w:val="bottom"/>
            <w:shd w:val="clear" w:color="auto" w:fill="E3E4E5"/>
          </w:tcPr>
          <w:p>
            <w:pPr>
              <w:spacing w:after="0"/>
              <w:rPr>
                <w:sz w:val="23"/>
                <w:szCs w:val="23"/>
                <w:color w:val="auto"/>
              </w:rPr>
            </w:pPr>
          </w:p>
        </w:tc>
        <w:tc>
          <w:tcPr>
            <w:tcW w:w="124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420" w:type="dxa"/>
            <w:vAlign w:val="bottom"/>
            <w:shd w:val="clear" w:color="auto" w:fill="E3E4E5"/>
          </w:tcPr>
          <w:p>
            <w:pPr>
              <w:spacing w:after="0"/>
              <w:rPr>
                <w:sz w:val="23"/>
                <w:szCs w:val="23"/>
                <w:color w:val="auto"/>
              </w:rPr>
            </w:pPr>
          </w:p>
        </w:tc>
        <w:tc>
          <w:tcPr>
            <w:tcW w:w="124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94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9"/>
              </w:rPr>
              <w:t xml:space="preserve">Operating cash flows from operating leases </w:t>
            </w:r>
            <w:r>
              <w:rPr>
                <w:rFonts w:ascii="Times New Roman" w:cs="Times New Roman" w:eastAsia="Times New Roman" w:hAnsi="Times New Roman"/>
                <w:sz w:val="20"/>
                <w:szCs w:val="20"/>
                <w:color w:val="BABCBE"/>
                <w:w w:val="99"/>
              </w:rPr>
              <w:t>....................</w:t>
            </w:r>
          </w:p>
        </w:tc>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(1,108.5)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(1,202.7)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(1,264.8)</w:t>
            </w:r>
          </w:p>
        </w:tc>
        <w:tc>
          <w:tcPr>
            <w:tcW w:w="0" w:type="dxa"/>
            <w:vAlign w:val="bottom"/>
          </w:tcPr>
          <w:p>
            <w:pPr>
              <w:spacing w:after="0"/>
              <w:rPr>
                <w:sz w:val="1"/>
                <w:szCs w:val="1"/>
                <w:color w:val="auto"/>
              </w:rPr>
            </w:pPr>
          </w:p>
        </w:tc>
      </w:tr>
      <w:tr>
        <w:trPr>
          <w:trHeight w:val="285"/>
        </w:trPr>
        <w:tc>
          <w:tcPr>
            <w:tcW w:w="494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2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24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420" w:type="dxa"/>
            <w:vAlign w:val="bottom"/>
            <w:shd w:val="clear" w:color="auto" w:fill="E3E4E5"/>
          </w:tcPr>
          <w:p>
            <w:pPr>
              <w:spacing w:after="0"/>
              <w:rPr>
                <w:sz w:val="24"/>
                <w:szCs w:val="24"/>
                <w:color w:val="auto"/>
              </w:rPr>
            </w:pPr>
          </w:p>
        </w:tc>
        <w:tc>
          <w:tcPr>
            <w:tcW w:w="124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Non-cash items:</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49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w w:val="99"/>
              </w:rPr>
              <w:t xml:space="preserve">New operating leases (1) </w:t>
            </w:r>
            <w:r>
              <w:rPr>
                <w:rFonts w:ascii="Times New Roman" w:cs="Times New Roman" w:eastAsia="Times New Roman" w:hAnsi="Times New Roman"/>
                <w:sz w:val="20"/>
                <w:szCs w:val="20"/>
                <w:color w:val="BABCBE"/>
                <w:w w:val="99"/>
              </w:rPr>
              <w:t>..................................................</w:t>
            </w:r>
          </w:p>
        </w:tc>
        <w:tc>
          <w:tcPr>
            <w:tcW w:w="420" w:type="dxa"/>
            <w:vAlign w:val="bottom"/>
            <w:shd w:val="clear" w:color="auto" w:fill="E3E4E5"/>
          </w:tcPr>
          <w:p>
            <w:pPr>
              <w:jc w:val="right"/>
              <w:ind w:right="16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154.6</w:t>
            </w:r>
          </w:p>
        </w:tc>
        <w:tc>
          <w:tcPr>
            <w:tcW w:w="480" w:type="dxa"/>
            <w:vAlign w:val="bottom"/>
            <w:gridSpan w:val="2"/>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230.0</w:t>
            </w:r>
          </w:p>
        </w:tc>
        <w:tc>
          <w:tcPr>
            <w:tcW w:w="480" w:type="dxa"/>
            <w:vAlign w:val="bottom"/>
            <w:gridSpan w:val="2"/>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245.7</w:t>
            </w:r>
          </w:p>
        </w:tc>
        <w:tc>
          <w:tcPr>
            <w:tcW w:w="0" w:type="dxa"/>
            <w:vAlign w:val="bottom"/>
          </w:tcPr>
          <w:p>
            <w:pPr>
              <w:spacing w:after="0"/>
              <w:rPr>
                <w:sz w:val="1"/>
                <w:szCs w:val="1"/>
                <w:color w:val="auto"/>
              </w:rPr>
            </w:pPr>
          </w:p>
        </w:tc>
      </w:tr>
      <w:tr>
        <w:trPr>
          <w:trHeight w:val="288"/>
        </w:trPr>
        <w:tc>
          <w:tcPr>
            <w:tcW w:w="494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9"/>
              </w:rPr>
              <w:t xml:space="preserve">Operating lease modifications and reassessments (2) </w:t>
            </w:r>
            <w:r>
              <w:rPr>
                <w:rFonts w:ascii="Times New Roman" w:cs="Times New Roman" w:eastAsia="Times New Roman" w:hAnsi="Times New Roman"/>
                <w:sz w:val="20"/>
                <w:szCs w:val="20"/>
                <w:color w:val="BABCBE"/>
                <w:w w:val="99"/>
              </w:rPr>
              <w:t>......</w:t>
            </w:r>
          </w:p>
        </w:tc>
        <w:tc>
          <w:tcPr>
            <w:tcW w:w="4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445.3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859.9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405.9</w:t>
            </w:r>
          </w:p>
        </w:tc>
        <w:tc>
          <w:tcPr>
            <w:tcW w:w="0" w:type="dxa"/>
            <w:vAlign w:val="bottom"/>
          </w:tcPr>
          <w:p>
            <w:pPr>
              <w:spacing w:after="0"/>
              <w:rPr>
                <w:sz w:val="1"/>
                <w:szCs w:val="1"/>
                <w:color w:val="auto"/>
              </w:rPr>
            </w:pPr>
          </w:p>
        </w:tc>
      </w:tr>
      <w:tr>
        <w:trPr>
          <w:trHeight w:val="215"/>
        </w:trPr>
        <w:tc>
          <w:tcPr>
            <w:tcW w:w="4940" w:type="dxa"/>
            <w:vAlign w:val="bottom"/>
            <w:shd w:val="clear" w:color="auto" w:fill="E3E4E5"/>
          </w:tcPr>
          <w:p>
            <w:pPr>
              <w:ind w:left="400"/>
              <w:spacing w:after="0" w:line="215" w:lineRule="exact"/>
              <w:rPr>
                <w:sz w:val="20"/>
                <w:szCs w:val="20"/>
                <w:color w:val="auto"/>
              </w:rPr>
            </w:pPr>
            <w:r>
              <w:rPr>
                <w:rFonts w:ascii="Times New Roman" w:cs="Times New Roman" w:eastAsia="Times New Roman" w:hAnsi="Times New Roman"/>
                <w:sz w:val="20"/>
                <w:szCs w:val="20"/>
                <w:color w:val="231F20"/>
              </w:rPr>
              <w:t>Reduction of operating lease liability due to the ATC</w:t>
            </w:r>
          </w:p>
        </w:tc>
        <w:tc>
          <w:tcPr>
            <w:tcW w:w="420" w:type="dxa"/>
            <w:vAlign w:val="bottom"/>
            <w:vMerge w:val="restart"/>
            <w:shd w:val="clear" w:color="auto" w:fill="E3E4E5"/>
          </w:tcPr>
          <w:p>
            <w:pPr>
              <w:jc w:val="right"/>
              <w:ind w:right="16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80" w:type="dxa"/>
            <w:vAlign w:val="bottom"/>
            <w:gridSpan w:val="2"/>
            <w:vMerge w:val="restart"/>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(766.4)</w:t>
            </w:r>
          </w:p>
        </w:tc>
        <w:tc>
          <w:tcPr>
            <w:tcW w:w="480" w:type="dxa"/>
            <w:vAlign w:val="bottom"/>
            <w:gridSpan w:val="2"/>
            <w:vMerge w:val="restart"/>
            <w:shd w:val="clear" w:color="auto" w:fill="E3E4E5"/>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6"/>
        </w:trPr>
        <w:tc>
          <w:tcPr>
            <w:tcW w:w="49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TIPL Transaction</w:t>
            </w:r>
            <w:r>
              <w:rPr>
                <w:rFonts w:ascii="Times New Roman" w:cs="Times New Roman" w:eastAsia="Times New Roman" w:hAnsi="Times New Roman"/>
                <w:sz w:val="20"/>
                <w:szCs w:val="20"/>
                <w:color w:val="BABCBE"/>
              </w:rPr>
              <w:t>..............................................................</w:t>
            </w:r>
          </w:p>
        </w:tc>
        <w:tc>
          <w:tcPr>
            <w:tcW w:w="420" w:type="dxa"/>
            <w:vAlign w:val="bottom"/>
            <w:vMerge w:val="continue"/>
            <w:shd w:val="clear" w:color="auto" w:fill="E3E4E5"/>
          </w:tcPr>
          <w:p>
            <w:pPr>
              <w:spacing w:after="0"/>
              <w:rPr>
                <w:sz w:val="23"/>
                <w:szCs w:val="23"/>
                <w:color w:val="auto"/>
              </w:rPr>
            </w:pPr>
          </w:p>
        </w:tc>
        <w:tc>
          <w:tcPr>
            <w:tcW w:w="1240" w:type="dxa"/>
            <w:vAlign w:val="bottom"/>
            <w:vMerge w:val="continue"/>
            <w:shd w:val="clear" w:color="auto" w:fill="E3E4E5"/>
          </w:tcPr>
          <w:p>
            <w:pPr>
              <w:spacing w:after="0"/>
              <w:rPr>
                <w:sz w:val="23"/>
                <w:szCs w:val="23"/>
                <w:color w:val="auto"/>
              </w:rPr>
            </w:pPr>
          </w:p>
        </w:tc>
        <w:tc>
          <w:tcPr>
            <w:tcW w:w="480" w:type="dxa"/>
            <w:vAlign w:val="bottom"/>
            <w:gridSpan w:val="2"/>
            <w:vMerge w:val="continue"/>
            <w:shd w:val="clear" w:color="auto" w:fill="E3E4E5"/>
          </w:tcPr>
          <w:p>
            <w:pPr>
              <w:spacing w:after="0"/>
              <w:rPr>
                <w:sz w:val="23"/>
                <w:szCs w:val="23"/>
                <w:color w:val="auto"/>
              </w:rPr>
            </w:pPr>
          </w:p>
        </w:tc>
        <w:tc>
          <w:tcPr>
            <w:tcW w:w="1240" w:type="dxa"/>
            <w:vAlign w:val="bottom"/>
            <w:vMerge w:val="continue"/>
            <w:shd w:val="clear" w:color="auto" w:fill="E3E4E5"/>
          </w:tcPr>
          <w:p>
            <w:pPr>
              <w:spacing w:after="0"/>
              <w:rPr>
                <w:sz w:val="23"/>
                <w:szCs w:val="23"/>
                <w:color w:val="auto"/>
              </w:rPr>
            </w:pPr>
          </w:p>
        </w:tc>
        <w:tc>
          <w:tcPr>
            <w:tcW w:w="480" w:type="dxa"/>
            <w:vAlign w:val="bottom"/>
            <w:gridSpan w:val="2"/>
            <w:vMerge w:val="continue"/>
            <w:shd w:val="clear" w:color="auto" w:fill="E3E4E5"/>
          </w:tcPr>
          <w:p>
            <w:pPr>
              <w:spacing w:after="0"/>
              <w:rPr>
                <w:sz w:val="23"/>
                <w:szCs w:val="23"/>
                <w:color w:val="auto"/>
              </w:rPr>
            </w:pPr>
          </w:p>
        </w:tc>
        <w:tc>
          <w:tcPr>
            <w:tcW w:w="124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-1551940</wp:posOffset>
            </wp:positionV>
            <wp:extent cx="32645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93">
                      <a:extLst>
                        <a:ext uri="{28A0092B-C50C-407E-A947-70E740481C1C}"/>
                      </a:extLst>
                    </a:blip>
                    <a:srcRect/>
                    <a:stretch>
                      <a:fillRect/>
                    </a:stretch>
                  </pic:blipFill>
                  <pic:spPr bwMode="auto">
                    <a:xfrm>
                      <a:off x="0" y="0"/>
                      <a:ext cx="3264535" cy="25400"/>
                    </a:xfrm>
                    <a:prstGeom prst="rect">
                      <a:avLst/>
                    </a:prstGeom>
                    <a:noFill/>
                  </pic:spPr>
                </pic:pic>
              </a:graphicData>
            </a:graphic>
          </wp:anchor>
        </w:drawing>
      </w:r>
    </w:p>
    <w:p>
      <w:pPr>
        <w:spacing w:after="0" w:line="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8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 includes new operating leases and leases acquired in connection with acquisitions.</w:t>
      </w:r>
    </w:p>
    <w:p>
      <w:pPr>
        <w:spacing w:after="0" w:line="4" w:lineRule="exact"/>
        <w:rPr>
          <w:rFonts w:ascii="Times New Roman" w:cs="Times New Roman" w:eastAsia="Times New Roman" w:hAnsi="Times New Roman"/>
          <w:sz w:val="16"/>
          <w:szCs w:val="16"/>
          <w:color w:val="231F20"/>
        </w:rPr>
      </w:pPr>
    </w:p>
    <w:p>
      <w:pPr>
        <w:ind w:left="347" w:right="60" w:hanging="347"/>
        <w:spacing w:after="0" w:line="250" w:lineRule="auto"/>
        <w:tabs>
          <w:tab w:leader="none" w:pos="348" w:val="left"/>
        </w:tabs>
        <w:numPr>
          <w:ilvl w:val="0"/>
          <w:numId w:val="8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2024, reflects a $515 million increase as a result of the Company’s change in estimated useful lives on January 1, 2024, as additional renewal options may be included.</w:t>
      </w:r>
    </w:p>
    <w:p>
      <w:pPr>
        <w:spacing w:after="0" w:line="1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As of December 31, 2025, the Company does not have material operating or financing leases that have not yet commenced.</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Maturities of operating lease liabilities as of December 31, 2025 were as follows:</w:t>
      </w:r>
    </w:p>
    <w:p>
      <w:pPr>
        <w:sectPr>
          <w:pgSz w:w="11880" w:h="15480" w:orient="portrait"/>
          <w:cols w:equalWidth="0" w:num="1">
            <w:col w:w="10047"/>
          </w:cols>
          <w:pgMar w:left="913" w:top="418" w:right="920" w:bottom="0" w:gutter="0" w:footer="0" w:header="0"/>
        </w:sectPr>
      </w:pPr>
    </w:p>
    <w:p>
      <w:pPr>
        <w:spacing w:after="0" w:line="9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b w:val="1"/>
          <w:bCs w:val="1"/>
          <w:color w:val="231F20"/>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410325" cy="1993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94">
                      <a:extLst>
                        <a:ext uri="{28A0092B-C50C-407E-A947-70E740481C1C}"/>
                      </a:extLst>
                    </a:blip>
                    <a:srcRect/>
                    <a:stretch>
                      <a:fillRect/>
                    </a:stretch>
                  </pic:blipFill>
                  <pic:spPr bwMode="auto">
                    <a:xfrm>
                      <a:off x="0" y="0"/>
                      <a:ext cx="6410325" cy="199390"/>
                    </a:xfrm>
                    <a:prstGeom prst="rect">
                      <a:avLst/>
                    </a:prstGeom>
                    <a:noFill/>
                  </pic:spPr>
                </pic:pic>
              </a:graphicData>
            </a:graphic>
          </wp:anchor>
        </w:drawing>
      </w:r>
    </w:p>
    <w:p>
      <w:pPr>
        <w:spacing w:after="0" w:line="32"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 xml:space="preserve">2026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 xml:space="preserve">2027 </w:t>
      </w:r>
      <w:r>
        <w:rPr>
          <w:rFonts w:ascii="Times New Roman" w:cs="Times New Roman" w:eastAsia="Times New Roman" w:hAnsi="Times New Roman"/>
          <w:sz w:val="19"/>
          <w:szCs w:val="19"/>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40005</wp:posOffset>
                </wp:positionV>
                <wp:extent cx="6384925" cy="18669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186690"/>
                        </a:xfrm>
                        <a:prstGeom prst="rect">
                          <a:avLst/>
                        </a:prstGeom>
                        <a:solidFill>
                          <a:srgbClr val="E3E4E5"/>
                        </a:solidFill>
                      </wps:spPr>
                      <wps:bodyPr/>
                    </wps:wsp>
                  </a:graphicData>
                </a:graphic>
              </wp:anchor>
            </w:drawing>
          </mc:Choice>
          <mc:Fallback>
            <w:pict>
              <v:rect id="Shape 241" o:spid="_x0000_s1266" style="position:absolute;margin-left:0pt;margin-top:3.15pt;width:502.7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 xml:space="preserve">2028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 xml:space="preserve">2029 </w:t>
      </w:r>
      <w:r>
        <w:rPr>
          <w:rFonts w:ascii="Times New Roman" w:cs="Times New Roman" w:eastAsia="Times New Roman" w:hAnsi="Times New Roman"/>
          <w:sz w:val="19"/>
          <w:szCs w:val="19"/>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40005</wp:posOffset>
                </wp:positionV>
                <wp:extent cx="6384925" cy="18669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186690"/>
                        </a:xfrm>
                        <a:prstGeom prst="rect">
                          <a:avLst/>
                        </a:prstGeom>
                        <a:solidFill>
                          <a:srgbClr val="E3E4E5"/>
                        </a:solidFill>
                      </wps:spPr>
                      <wps:bodyPr/>
                    </wps:wsp>
                  </a:graphicData>
                </a:graphic>
              </wp:anchor>
            </w:drawing>
          </mc:Choice>
          <mc:Fallback>
            <w:pict>
              <v:rect id="Shape 242" o:spid="_x0000_s1267" style="position:absolute;margin-left:0pt;margin-top:3.15pt;width:502.7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5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 xml:space="preserve">2030 </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Thereafter</w:t>
      </w:r>
      <w:r>
        <w:rPr>
          <w:rFonts w:ascii="Times New Roman" w:cs="Times New Roman" w:eastAsia="Times New Roman" w:hAnsi="Times New Roman"/>
          <w:sz w:val="19"/>
          <w:szCs w:val="19"/>
          <w:color w:val="BABCB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397625" cy="1993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95">
                      <a:extLst>
                        <a:ext uri="{28A0092B-C50C-407E-A947-70E740481C1C}"/>
                      </a:extLst>
                    </a:blip>
                    <a:srcRect/>
                    <a:stretch>
                      <a:fillRect/>
                    </a:stretch>
                  </pic:blipFill>
                  <pic:spPr bwMode="auto">
                    <a:xfrm>
                      <a:off x="0" y="0"/>
                      <a:ext cx="6397625" cy="199390"/>
                    </a:xfrm>
                    <a:prstGeom prst="rect">
                      <a:avLst/>
                    </a:prstGeom>
                    <a:noFill/>
                  </pic:spPr>
                </pic:pic>
              </a:graphicData>
            </a:graphic>
          </wp:anchor>
        </w:drawing>
      </w:r>
    </w:p>
    <w:p>
      <w:pPr>
        <w:spacing w:after="0" w:line="5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Total lease payments</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 xml:space="preserve">Less amounts representing interest </w:t>
      </w:r>
      <w:r>
        <w:rPr>
          <w:rFonts w:ascii="Times New Roman" w:cs="Times New Roman" w:eastAsia="Times New Roman" w:hAnsi="Times New Roman"/>
          <w:sz w:val="19"/>
          <w:szCs w:val="19"/>
          <w:color w:val="BABCB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397625" cy="1993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96">
                      <a:extLst>
                        <a:ext uri="{28A0092B-C50C-407E-A947-70E740481C1C}"/>
                      </a:extLst>
                    </a:blip>
                    <a:srcRect/>
                    <a:stretch>
                      <a:fillRect/>
                    </a:stretch>
                  </pic:blipFill>
                  <pic:spPr bwMode="auto">
                    <a:xfrm>
                      <a:off x="0" y="0"/>
                      <a:ext cx="6397625" cy="199390"/>
                    </a:xfrm>
                    <a:prstGeom prst="rect">
                      <a:avLst/>
                    </a:prstGeom>
                    <a:noFill/>
                  </pic:spPr>
                </pic:pic>
              </a:graphicData>
            </a:graphic>
          </wp:anchor>
        </w:drawing>
      </w:r>
    </w:p>
    <w:p>
      <w:pPr>
        <w:spacing w:after="0" w:line="5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Total lease liability</w:t>
      </w:r>
      <w:r>
        <w:rPr>
          <w:rFonts w:ascii="Times New Roman" w:cs="Times New Roman" w:eastAsia="Times New Roman" w:hAnsi="Times New Roman"/>
          <w:sz w:val="19"/>
          <w:szCs w:val="19"/>
          <w:color w:val="BABCBE"/>
        </w:rPr>
        <w:t>.........................................................................................................................................</w:t>
      </w:r>
    </w:p>
    <w:p>
      <w:pPr>
        <w:spacing w:after="0" w:line="7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Less current portion of lease liability</w:t>
      </w:r>
      <w:r>
        <w:rPr>
          <w:rFonts w:ascii="Times New Roman" w:cs="Times New Roman" w:eastAsia="Times New Roman" w:hAnsi="Times New Roman"/>
          <w:sz w:val="19"/>
          <w:szCs w:val="19"/>
          <w:color w:val="BABCB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6397625" cy="2247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7">
                      <a:extLst>
                        <a:ext uri="{28A0092B-C50C-407E-A947-70E740481C1C}"/>
                      </a:extLst>
                    </a:blip>
                    <a:srcRect/>
                    <a:stretch>
                      <a:fillRect/>
                    </a:stretch>
                  </pic:blipFill>
                  <pic:spPr bwMode="auto">
                    <a:xfrm>
                      <a:off x="0" y="0"/>
                      <a:ext cx="6397625" cy="224790"/>
                    </a:xfrm>
                    <a:prstGeom prst="rect">
                      <a:avLst/>
                    </a:prstGeom>
                    <a:noFill/>
                  </pic:spPr>
                </pic:pic>
              </a:graphicData>
            </a:graphic>
          </wp:anchor>
        </w:drawing>
      </w:r>
    </w:p>
    <w:p>
      <w:pPr>
        <w:spacing w:after="0" w:line="5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9"/>
          <w:szCs w:val="19"/>
          <w:color w:val="231F20"/>
        </w:rPr>
        <w:t>Non-current lease liability</w:t>
      </w:r>
      <w:r>
        <w:rPr>
          <w:rFonts w:ascii="Times New Roman" w:cs="Times New Roman" w:eastAsia="Times New Roman" w:hAnsi="Times New Roman"/>
          <w:sz w:val="19"/>
          <w:szCs w:val="19"/>
          <w:color w:val="BABCBE"/>
        </w:rPr>
        <w:t>..............................................................................................................................</w:t>
      </w:r>
    </w:p>
    <w:p>
      <w:pPr>
        <w:spacing w:after="0" w:line="1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8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are translated at the applicable period-end exchange rate, which may impact comparability between periods.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231F20"/>
        </w:rPr>
        <w:t>Operating Lease (1)</w:t>
      </w:r>
    </w:p>
    <w:p>
      <w:pPr>
        <w:spacing w:after="0" w:line="6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1,028.4</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1,005.5</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959.3</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916.1</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865.6</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7,201.7</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11,976.6</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231F20"/>
        </w:rPr>
        <w:t>(4,233.0)</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7,743.6</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584.9</w:t>
      </w:r>
    </w:p>
    <w:p>
      <w:pPr>
        <w:spacing w:after="0" w:line="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7,158.7</w:t>
      </w:r>
    </w:p>
    <w:p>
      <w:pPr>
        <w:spacing w:after="0" w:line="676" w:lineRule="exact"/>
        <w:rPr>
          <w:sz w:val="20"/>
          <w:szCs w:val="20"/>
          <w:color w:val="auto"/>
        </w:rPr>
      </w:pPr>
    </w:p>
    <w:p>
      <w:pPr>
        <w:sectPr>
          <w:pgSz w:w="11880" w:h="15480" w:orient="portrait"/>
          <w:cols w:equalWidth="0" w:num="2">
            <w:col w:w="8287" w:space="180"/>
            <w:col w:w="1580"/>
          </w:cols>
          <w:pgMar w:left="913" w:top="41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F-21</w:t>
      </w:r>
    </w:p>
    <w:p>
      <w:pPr>
        <w:sectPr>
          <w:pgSz w:w="11880" w:h="15480" w:orient="portrait"/>
          <w:cols w:equalWidth="0" w:num="1">
            <w:col w:w="10047"/>
          </w:cols>
          <w:pgMar w:left="913" w:top="418" w:right="920" w:bottom="0" w:gutter="0" w:footer="0" w:header="0"/>
          <w:type w:val="continuous"/>
        </w:sectPr>
      </w:pPr>
    </w:p>
    <w:bookmarkStart w:id="111" w:name="page112"/>
    <w:bookmarkEnd w:id="111"/>
    <w:p>
      <w:pPr>
        <w:jc w:val="center"/>
        <w:ind w:left="947" w:right="1680"/>
        <w:spacing w:after="0" w:line="283" w:lineRule="auto"/>
        <w:rPr>
          <w:sz w:val="20"/>
          <w:szCs w:val="20"/>
          <w:color w:val="auto"/>
        </w:rPr>
      </w:pPr>
      <w:r>
        <w:rPr>
          <w:rFonts w:ascii="Times New Roman" w:cs="Times New Roman" w:eastAsia="Times New Roman" w:hAnsi="Times New Roman"/>
          <w:sz w:val="17"/>
          <w:szCs w:val="17"/>
          <w:b w:val="1"/>
          <w:bCs w:val="1"/>
          <w:color w:val="231F20"/>
        </w:rPr>
        <w:t>AMERICAN TOWER CORPORATION AND SUBSIDIARIES NOTES TO CONSOLIDATED FINANCIAL STATEMENTS (Tabular amounts in millions, unless otherwise disclosed)</w:t>
      </w:r>
    </w:p>
    <w:p>
      <w:pPr>
        <w:spacing w:after="0" w:line="35"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20"/>
          <w:szCs w:val="20"/>
          <w:b w:val="1"/>
          <w:bCs w:val="1"/>
          <w:color w:val="231F20"/>
        </w:rPr>
        <w:t>5.</w:t>
      </w:r>
      <w:r>
        <w:rPr>
          <w:sz w:val="20"/>
          <w:szCs w:val="20"/>
          <w:color w:val="auto"/>
        </w:rPr>
        <w:tab/>
      </w:r>
      <w:r>
        <w:rPr>
          <w:rFonts w:ascii="Times New Roman" w:cs="Times New Roman" w:eastAsia="Times New Roman" w:hAnsi="Times New Roman"/>
          <w:sz w:val="19"/>
          <w:szCs w:val="19"/>
          <w:b w:val="1"/>
          <w:bCs w:val="1"/>
          <w:color w:val="231F20"/>
        </w:rPr>
        <w:t>GOODWILL AND OTHER INTANGIBLE ASSETS</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changes in the carrying value of goodwill for each of the Company’s business segments were as follows:</w:t>
      </w:r>
    </w:p>
    <w:p>
      <w:pPr>
        <w:spacing w:after="0" w:line="93"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4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Property</w:t>
            </w:r>
          </w:p>
        </w:tc>
        <w:tc>
          <w:tcPr>
            <w:tcW w:w="6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231F20"/>
              </w:rPr>
              <w:t>U.S. &amp;</w:t>
            </w:r>
          </w:p>
        </w:tc>
        <w:tc>
          <w:tcPr>
            <w:tcW w:w="40" w:type="dxa"/>
            <w:vAlign w:val="bottom"/>
          </w:tcPr>
          <w:p>
            <w:pPr>
              <w:spacing w:after="0"/>
              <w:rPr>
                <w:sz w:val="15"/>
                <w:szCs w:val="15"/>
                <w:color w:val="auto"/>
              </w:rPr>
            </w:pPr>
          </w:p>
        </w:tc>
        <w:tc>
          <w:tcPr>
            <w:tcW w:w="820" w:type="dxa"/>
            <w:vAlign w:val="bottom"/>
            <w:gridSpan w:val="2"/>
          </w:tcPr>
          <w:p>
            <w:pPr>
              <w:jc w:val="right"/>
              <w:ind w:right="2"/>
              <w:spacing w:after="0" w:line="182" w:lineRule="exact"/>
              <w:rPr>
                <w:sz w:val="20"/>
                <w:szCs w:val="20"/>
                <w:color w:val="auto"/>
              </w:rPr>
            </w:pPr>
            <w:r>
              <w:rPr>
                <w:rFonts w:ascii="Times New Roman" w:cs="Times New Roman" w:eastAsia="Times New Roman" w:hAnsi="Times New Roman"/>
                <w:sz w:val="16"/>
                <w:szCs w:val="16"/>
                <w:b w:val="1"/>
                <w:bCs w:val="1"/>
                <w:color w:val="231F20"/>
              </w:rPr>
              <w:t>Africa &amp;</w:t>
            </w:r>
          </w:p>
        </w:tc>
        <w:tc>
          <w:tcPr>
            <w:tcW w:w="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4"/>
              </w:rPr>
              <w:t>Europe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24"/>
              <w:spacing w:after="0" w:line="182" w:lineRule="exact"/>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5"/>
                <w:szCs w:val="15"/>
                <w:color w:val="auto"/>
              </w:rPr>
            </w:pPr>
          </w:p>
        </w:tc>
        <w:tc>
          <w:tcPr>
            <w:tcW w:w="820" w:type="dxa"/>
            <w:vAlign w:val="bottom"/>
          </w:tcPr>
          <w:p>
            <w:pPr>
              <w:jc w:val="right"/>
              <w:ind w:right="149"/>
              <w:spacing w:after="0" w:line="182" w:lineRule="exact"/>
              <w:rPr>
                <w:sz w:val="20"/>
                <w:szCs w:val="20"/>
                <w:color w:val="auto"/>
              </w:rPr>
            </w:pPr>
            <w:r>
              <w:rPr>
                <w:rFonts w:ascii="Times New Roman" w:cs="Times New Roman" w:eastAsia="Times New Roman" w:hAnsi="Times New Roman"/>
                <w:sz w:val="16"/>
                <w:szCs w:val="16"/>
                <w:b w:val="1"/>
                <w:bCs w:val="1"/>
                <w:color w:val="231F20"/>
              </w:rPr>
              <w:t>Data</w:t>
            </w:r>
          </w:p>
        </w:tc>
        <w:tc>
          <w:tcPr>
            <w:tcW w:w="60" w:type="dxa"/>
            <w:vAlign w:val="bottom"/>
          </w:tcPr>
          <w:p>
            <w:pPr>
              <w:spacing w:after="0"/>
              <w:rPr>
                <w:sz w:val="15"/>
                <w:szCs w:val="15"/>
                <w:color w:val="auto"/>
              </w:rPr>
            </w:pPr>
          </w:p>
        </w:tc>
        <w:tc>
          <w:tcPr>
            <w:tcW w:w="7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Services</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Canada</w:t>
            </w:r>
          </w:p>
        </w:tc>
        <w:tc>
          <w:tcPr>
            <w:tcW w:w="40" w:type="dxa"/>
            <w:vAlign w:val="bottom"/>
          </w:tcPr>
          <w:p>
            <w:pPr>
              <w:spacing w:after="0"/>
              <w:rPr>
                <w:sz w:val="18"/>
                <w:szCs w:val="18"/>
                <w:color w:val="auto"/>
              </w:rPr>
            </w:pPr>
          </w:p>
        </w:tc>
        <w:tc>
          <w:tcPr>
            <w:tcW w:w="82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APAC (1)</w:t>
            </w:r>
          </w:p>
        </w:tc>
        <w:tc>
          <w:tcPr>
            <w:tcW w:w="60" w:type="dxa"/>
            <w:vAlign w:val="bottom"/>
          </w:tcPr>
          <w:p>
            <w:pPr>
              <w:spacing w:after="0"/>
              <w:rPr>
                <w:sz w:val="18"/>
                <w:szCs w:val="18"/>
                <w:color w:val="auto"/>
              </w:rPr>
            </w:pPr>
          </w:p>
        </w:tc>
        <w:tc>
          <w:tcPr>
            <w:tcW w:w="80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231F20"/>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rPr>
              <w:t>America</w:t>
            </w:r>
          </w:p>
        </w:tc>
        <w:tc>
          <w:tcPr>
            <w:tcW w:w="60" w:type="dxa"/>
            <w:vAlign w:val="bottom"/>
          </w:tcPr>
          <w:p>
            <w:pPr>
              <w:spacing w:after="0"/>
              <w:rPr>
                <w:sz w:val="18"/>
                <w:szCs w:val="18"/>
                <w:color w:val="auto"/>
              </w:rPr>
            </w:pPr>
          </w:p>
        </w:tc>
        <w:tc>
          <w:tcPr>
            <w:tcW w:w="820" w:type="dxa"/>
            <w:vAlign w:val="bottom"/>
            <w:tcBorders>
              <w:bottom w:val="single" w:sz="8" w:color="231F20"/>
            </w:tcBorders>
          </w:tcPr>
          <w:p>
            <w:pPr>
              <w:jc w:val="right"/>
              <w:ind w:right="49"/>
              <w:spacing w:after="0"/>
              <w:rPr>
                <w:sz w:val="20"/>
                <w:szCs w:val="20"/>
                <w:color w:val="auto"/>
              </w:rPr>
            </w:pPr>
            <w:r>
              <w:rPr>
                <w:rFonts w:ascii="Times New Roman" w:cs="Times New Roman" w:eastAsia="Times New Roman" w:hAnsi="Times New Roman"/>
                <w:sz w:val="16"/>
                <w:szCs w:val="16"/>
                <w:b w:val="1"/>
                <w:bCs w:val="1"/>
                <w:color w:val="231F20"/>
              </w:rPr>
              <w:t>Centers</w:t>
            </w:r>
          </w:p>
        </w:tc>
        <w:tc>
          <w:tcPr>
            <w:tcW w:w="60" w:type="dxa"/>
            <w:vAlign w:val="bottom"/>
          </w:tcPr>
          <w:p>
            <w:pPr>
              <w:spacing w:after="0"/>
              <w:rPr>
                <w:sz w:val="18"/>
                <w:szCs w:val="18"/>
                <w:color w:val="auto"/>
              </w:rPr>
            </w:pPr>
          </w:p>
        </w:tc>
        <w:tc>
          <w:tcPr>
            <w:tcW w:w="780" w:type="dxa"/>
            <w:vAlign w:val="bottom"/>
            <w:tcBorders>
              <w:bottom w:val="single" w:sz="8" w:color="231F20"/>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Balance as of December 31, 2023</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$4,638.6</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504.9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$3,051.9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966.1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$2,920.0</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9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Effect of foreign currency translation</w:t>
            </w:r>
            <w:r>
              <w:rPr>
                <w:rFonts w:ascii="Times New Roman" w:cs="Times New Roman" w:eastAsia="Times New Roman" w:hAnsi="Times New Roman"/>
                <w:sz w:val="20"/>
                <w:szCs w:val="20"/>
                <w:color w:val="BABCBE"/>
              </w:rPr>
              <w:t>..................</w:t>
            </w: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4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60" w:type="dxa"/>
            <w:vAlign w:val="bottom"/>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(189.6)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(133.5)</w:t>
            </w:r>
          </w:p>
        </w:tc>
        <w:tc>
          <w:tcPr>
            <w:tcW w:w="60" w:type="dxa"/>
            <w:vAlign w:val="bottom"/>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3"/>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Balance as of December 31, 2024</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$4,634.7</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516.5</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$2,862.3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$2,920.0</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9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(2) </w:t>
            </w:r>
            <w:r>
              <w:rPr>
                <w:rFonts w:ascii="Times New Roman" w:cs="Times New Roman" w:eastAsia="Times New Roman" w:hAnsi="Times New Roman"/>
                <w:sz w:val="20"/>
                <w:szCs w:val="20"/>
                <w:color w:val="BABCB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Impairments (3) </w:t>
            </w:r>
            <w:r>
              <w:rPr>
                <w:rFonts w:ascii="Times New Roman" w:cs="Times New Roman" w:eastAsia="Times New Roman" w:hAnsi="Times New Roman"/>
                <w:sz w:val="20"/>
                <w:szCs w:val="20"/>
                <w:color w:val="BABCBE"/>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9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Effect of foreign currency translation</w:t>
            </w:r>
            <w:r>
              <w:rPr>
                <w:rFonts w:ascii="Times New Roman" w:cs="Times New Roman" w:eastAsia="Times New Roman" w:hAnsi="Times New Roman"/>
                <w:sz w:val="20"/>
                <w:szCs w:val="20"/>
                <w:color w:val="BABCBE"/>
              </w:rPr>
              <w:t>..................</w:t>
            </w: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4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60" w:type="dxa"/>
            <w:vAlign w:val="bottom"/>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385.0</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94.9</w:t>
            </w:r>
          </w:p>
        </w:tc>
        <w:tc>
          <w:tcPr>
            <w:tcW w:w="60" w:type="dxa"/>
            <w:vAlign w:val="bottom"/>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shd w:val="clear" w:color="auto" w:fill="E3E4E5"/>
              </w:rPr>
              <w:t xml:space="preserve">Balance as of December 31, 2025 </w:t>
            </w:r>
            <w:r>
              <w:rPr>
                <w:rFonts w:ascii="Times New Roman" w:cs="Times New Roman" w:eastAsia="Times New Roman" w:hAnsi="Times New Roman"/>
                <w:sz w:val="20"/>
                <w:szCs w:val="20"/>
                <w:color w:val="BABCBE"/>
                <w:shd w:val="clear" w:color="auto" w:fill="E3E4E5"/>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u w:val="single" w:color="auto"/>
                <w:color w:val="231F20"/>
                <w:w w:val="97"/>
                <w:shd w:val="clear" w:color="auto" w:fill="E3E4E5"/>
              </w:rPr>
              <w:t>$</w:t>
            </w:r>
            <w:r>
              <w:rPr>
                <w:rFonts w:ascii="Times New Roman" w:cs="Times New Roman" w:eastAsia="Times New Roman" w:hAnsi="Times New Roman"/>
                <w:sz w:val="20"/>
                <w:szCs w:val="20"/>
                <w:color w:val="231F20"/>
                <w:w w:val="97"/>
                <w:shd w:val="clear" w:color="auto" w:fill="E3E4E5"/>
              </w:rPr>
              <w:t>4,636.8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521.9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u w:val="single" w:color="auto"/>
                <w:color w:val="231F20"/>
                <w:w w:val="99"/>
                <w:shd w:val="clear" w:color="auto" w:fill="E3E4E5"/>
              </w:rPr>
              <w:t>$</w:t>
            </w:r>
            <w:r>
              <w:rPr>
                <w:rFonts w:ascii="Times New Roman" w:cs="Times New Roman" w:eastAsia="Times New Roman" w:hAnsi="Times New Roman"/>
                <w:sz w:val="20"/>
                <w:szCs w:val="20"/>
                <w:color w:val="231F20"/>
                <w:w w:val="99"/>
                <w:shd w:val="clear" w:color="auto" w:fill="E3E4E5"/>
              </w:rPr>
              <w:t>3,247.3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927.5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231F20"/>
                <w:shd w:val="clear" w:color="auto" w:fill="E3E4E5"/>
              </w:rPr>
              <w:t>$</w:t>
            </w:r>
            <w:r>
              <w:rPr>
                <w:rFonts w:ascii="Times New Roman" w:cs="Times New Roman" w:eastAsia="Times New Roman" w:hAnsi="Times New Roman"/>
                <w:sz w:val="20"/>
                <w:szCs w:val="20"/>
                <w:color w:val="231F20"/>
                <w:shd w:val="clear" w:color="auto" w:fill="E3E4E5"/>
              </w:rPr>
              <w:t>2,920.0</w:t>
            </w:r>
          </w:p>
        </w:tc>
        <w:tc>
          <w:tcPr>
            <w:tcW w:w="360" w:type="dxa"/>
            <w:vAlign w:val="bottom"/>
            <w:gridSpan w:val="2"/>
          </w:tcPr>
          <w:p>
            <w:pPr>
              <w:jc w:val="right"/>
              <w:ind w:right="82"/>
              <w:spacing w:after="0"/>
              <w:rPr>
                <w:sz w:val="20"/>
                <w:szCs w:val="20"/>
                <w:color w:val="auto"/>
              </w:rPr>
            </w:pPr>
            <w:r>
              <w:rPr>
                <w:rFonts w:ascii="Times New Roman" w:cs="Times New Roman" w:eastAsia="Times New Roman" w:hAnsi="Times New Roman"/>
                <w:sz w:val="20"/>
                <w:szCs w:val="20"/>
                <w:color w:val="231F20"/>
                <w:shd w:val="clear" w:color="auto" w:fill="E3E4E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shd w:val="clear" w:color="auto" w:fill="E3E4E5"/>
              </w:rPr>
              <w:t>2.0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-577850</wp:posOffset>
                </wp:positionV>
                <wp:extent cx="6384925" cy="18669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186690"/>
                        </a:xfrm>
                        <a:prstGeom prst="rect">
                          <a:avLst/>
                        </a:prstGeom>
                        <a:solidFill>
                          <a:srgbClr val="E3E4E5"/>
                        </a:solidFill>
                      </wps:spPr>
                      <wps:bodyPr/>
                    </wps:wsp>
                  </a:graphicData>
                </a:graphic>
              </wp:anchor>
            </w:drawing>
          </mc:Choice>
          <mc:Fallback>
            <w:pict>
              <v:rect id="Shape 246" o:spid="_x0000_s1271" style="position:absolute;margin-left:0pt;margin-top:-45.4999pt;width:502.7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3571875</wp:posOffset>
            </wp:positionH>
            <wp:positionV relativeFrom="paragraph">
              <wp:posOffset>-1598930</wp:posOffset>
            </wp:positionV>
            <wp:extent cx="168719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98">
                      <a:extLst>
                        <a:ext uri="{28A0092B-C50C-407E-A947-70E740481C1C}"/>
                      </a:extLst>
                    </a:blip>
                    <a:srcRect/>
                    <a:stretch>
                      <a:fillRect/>
                    </a:stretch>
                  </pic:blipFill>
                  <pic:spPr bwMode="auto">
                    <a:xfrm>
                      <a:off x="0" y="0"/>
                      <a:ext cx="168719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-1337310</wp:posOffset>
            </wp:positionV>
            <wp:extent cx="6397625" cy="1993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99">
                      <a:extLst>
                        <a:ext uri="{28A0092B-C50C-407E-A947-70E740481C1C}"/>
                      </a:extLst>
                    </a:blip>
                    <a:srcRect/>
                    <a:stretch>
                      <a:fillRect/>
                    </a:stretch>
                  </pic:blipFill>
                  <pic:spPr bwMode="auto">
                    <a:xfrm>
                      <a:off x="0" y="0"/>
                      <a:ext cx="6397625" cy="1993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-963930</wp:posOffset>
            </wp:positionV>
            <wp:extent cx="6397625" cy="1993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00">
                      <a:extLst>
                        <a:ext uri="{28A0092B-C50C-407E-A947-70E740481C1C}"/>
                      </a:extLst>
                    </a:blip>
                    <a:srcRect/>
                    <a:stretch>
                      <a:fillRect/>
                    </a:stretch>
                  </pic:blipFill>
                  <pic:spPr bwMode="auto">
                    <a:xfrm>
                      <a:off x="0" y="0"/>
                      <a:ext cx="6397625" cy="1993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-217170</wp:posOffset>
            </wp:positionV>
            <wp:extent cx="32829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1">
                      <a:extLst>
                        <a:ext uri="{28A0092B-C50C-407E-A947-70E740481C1C}"/>
                      </a:extLst>
                    </a:blip>
                    <a:srcRect/>
                    <a:stretch>
                      <a:fillRect/>
                    </a:stretch>
                  </pic:blipFill>
                  <pic:spPr bwMode="auto">
                    <a:xfrm>
                      <a:off x="0" y="0"/>
                      <a:ext cx="3282950" cy="2540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-43180</wp:posOffset>
            </wp:positionV>
            <wp:extent cx="3282950" cy="50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02">
                      <a:extLst>
                        <a:ext uri="{28A0092B-C50C-407E-A947-70E740481C1C}"/>
                      </a:extLst>
                    </a:blip>
                    <a:srcRect/>
                    <a:stretch>
                      <a:fillRect/>
                    </a:stretch>
                  </pic:blipFill>
                  <pic:spPr bwMode="auto">
                    <a:xfrm>
                      <a:off x="0" y="0"/>
                      <a:ext cx="3282950"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8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Excludes goodwill associated with the India reporting unit, which is reported as discontinued operations. See note 21 for further discussion.</w:t>
      </w:r>
    </w:p>
    <w:p>
      <w:pPr>
        <w:spacing w:after="0" w:line="15" w:lineRule="exact"/>
        <w:rPr>
          <w:rFonts w:ascii="Times New Roman" w:cs="Times New Roman" w:eastAsia="Times New Roman" w:hAnsi="Times New Roman"/>
          <w:sz w:val="15"/>
          <w:szCs w:val="15"/>
          <w:color w:val="231F20"/>
        </w:rPr>
      </w:pPr>
    </w:p>
    <w:p>
      <w:pPr>
        <w:ind w:left="347" w:hanging="347"/>
        <w:spacing w:after="0"/>
        <w:tabs>
          <w:tab w:leader="none" w:pos="347" w:val="left"/>
        </w:tabs>
        <w:numPr>
          <w:ilvl w:val="0"/>
          <w:numId w:val="8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represents the goodwill associated with the sale of South Africa Fiber, which was sold during the year ended December 31, 2025.</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8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$6.5 million of goodwill impairments associated with the Bangladesh reporting unit.</w:t>
      </w:r>
    </w:p>
    <w:p>
      <w:pPr>
        <w:spacing w:after="0" w:line="1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Goodwill Impairment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Total</w:t>
      </w:r>
    </w:p>
    <w:p>
      <w:pPr>
        <w:spacing w:after="0" w:line="6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color w:val="231F20"/>
        </w:rPr>
        <w:t>$12,083.5</w:t>
      </w:r>
    </w:p>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231F20"/>
        </w:rPr>
        <w:t>(315.4)</w:t>
      </w:r>
    </w:p>
    <w:p>
      <w:pPr>
        <w:spacing w:after="0" w:line="6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color w:val="231F20"/>
        </w:rPr>
        <w:t>$11,768.1</w:t>
      </w:r>
    </w:p>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231F20"/>
        </w:rPr>
        <w:t>(6.1)</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231F20"/>
        </w:rPr>
        <w:t>(6.5)</w:t>
      </w:r>
    </w:p>
    <w:p>
      <w:pPr>
        <w:spacing w:after="0" w:line="6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11430</wp:posOffset>
            </wp:positionV>
            <wp:extent cx="58547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03">
                      <a:extLst>
                        <a:ext uri="{28A0092B-C50C-407E-A947-70E740481C1C}"/>
                      </a:extLst>
                    </a:blip>
                    <a:srcRect/>
                    <a:stretch>
                      <a:fillRect/>
                    </a:stretch>
                  </pic:blipFill>
                  <pic:spPr bwMode="auto">
                    <a:xfrm>
                      <a:off x="0" y="0"/>
                      <a:ext cx="585470" cy="25400"/>
                    </a:xfrm>
                    <a:prstGeom prst="rect">
                      <a:avLst/>
                    </a:prstGeom>
                    <a:noFill/>
                  </pic:spPr>
                </pic:pic>
              </a:graphicData>
            </a:graphic>
          </wp:anchor>
        </w:drawing>
      </w:r>
    </w:p>
    <w:p>
      <w:pPr>
        <w:spacing w:after="0" w:line="4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u w:val="single" w:color="auto"/>
          <w:color w:val="231F20"/>
          <w:shd w:val="clear" w:color="auto" w:fill="E3E4E5"/>
        </w:rPr>
        <w:t>$12,255.5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6350</wp:posOffset>
            </wp:positionV>
            <wp:extent cx="585470" cy="50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4">
                      <a:extLst>
                        <a:ext uri="{28A0092B-C50C-407E-A947-70E740481C1C}"/>
                      </a:extLst>
                    </a:blip>
                    <a:srcRect/>
                    <a:stretch>
                      <a:fillRect/>
                    </a:stretch>
                  </pic:blipFill>
                  <pic:spPr bwMode="auto">
                    <a:xfrm>
                      <a:off x="0" y="0"/>
                      <a:ext cx="585470" cy="50165"/>
                    </a:xfrm>
                    <a:prstGeom prst="rect">
                      <a:avLst/>
                    </a:prstGeom>
                    <a:noFill/>
                  </pic:spPr>
                </pic:pic>
              </a:graphicData>
            </a:graphic>
          </wp:anchor>
        </w:drawing>
      </w:r>
    </w:p>
    <w:p>
      <w:pPr>
        <w:spacing w:after="0" w:line="1341" w:lineRule="exact"/>
        <w:rPr>
          <w:sz w:val="20"/>
          <w:szCs w:val="20"/>
          <w:color w:val="auto"/>
        </w:rPr>
      </w:pPr>
    </w:p>
    <w:p>
      <w:pPr>
        <w:sectPr>
          <w:pgSz w:w="11880" w:h="15480" w:orient="portrait"/>
          <w:cols w:equalWidth="0" w:num="2">
            <w:col w:w="9107" w:space="120"/>
            <w:col w:w="820"/>
          </w:cols>
          <w:pgMar w:left="913" w:top="418" w:right="920" w:bottom="0" w:gutter="0" w:footer="0" w:header="0"/>
        </w:sectPr>
      </w:pPr>
    </w:p>
    <w:p>
      <w:pPr>
        <w:ind w:left="7" w:right="20"/>
        <w:spacing w:after="0" w:line="273" w:lineRule="auto"/>
        <w:rPr>
          <w:sz w:val="20"/>
          <w:szCs w:val="20"/>
          <w:color w:val="auto"/>
        </w:rPr>
      </w:pPr>
      <w:r>
        <w:rPr>
          <w:rFonts w:ascii="Times New Roman" w:cs="Times New Roman" w:eastAsia="Times New Roman" w:hAnsi="Times New Roman"/>
          <w:sz w:val="20"/>
          <w:szCs w:val="20"/>
          <w:color w:val="231F20"/>
        </w:rPr>
        <w:t>The Company reviews goodwill for impairment annually (as of December 31) or whenever events or circumstances indicate the carrying amount of an asset may not be recoverable, as further discussed in note 1.</w:t>
      </w:r>
    </w:p>
    <w:p>
      <w:pPr>
        <w:spacing w:after="0" w:line="104" w:lineRule="exact"/>
        <w:rPr>
          <w:sz w:val="20"/>
          <w:szCs w:val="20"/>
          <w:color w:val="auto"/>
        </w:rPr>
      </w:pPr>
    </w:p>
    <w:p>
      <w:pPr>
        <w:ind w:left="7" w:right="280"/>
        <w:spacing w:after="0" w:line="252" w:lineRule="auto"/>
        <w:rPr>
          <w:sz w:val="20"/>
          <w:szCs w:val="20"/>
          <w:color w:val="auto"/>
        </w:rPr>
      </w:pPr>
      <w:r>
        <w:rPr>
          <w:rFonts w:ascii="Times New Roman" w:cs="Times New Roman" w:eastAsia="Times New Roman" w:hAnsi="Times New Roman"/>
          <w:sz w:val="20"/>
          <w:szCs w:val="20"/>
          <w:color w:val="231F20"/>
        </w:rPr>
        <w:t>For the year ended December 31, 2025, the Company estimated the fair value of the Bangladesh reporting unit using, among other things, indications of value received from third parties in connection with the Company’s review of various strategic alternatives for its Bangladesh operations. As a result, the Company recorded a goodwill impairment charge of $6.5 million. The goodwill impairment charge is recorded in Other operating expense in the consolidated statements of operations for the year ended December 31, 2025.</w:t>
      </w:r>
    </w:p>
    <w:p>
      <w:pPr>
        <w:spacing w:after="0" w:line="1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Company’s other intangible assets subject to amortization consisted of the following:</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2380" w:type="dxa"/>
            <w:vAlign w:val="bottom"/>
            <w:tcBorders>
              <w:bottom w:val="single" w:sz="8" w:color="231F20"/>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As of December 31, 2025</w:t>
            </w:r>
          </w:p>
        </w:tc>
        <w:tc>
          <w:tcPr>
            <w:tcW w:w="88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2380" w:type="dxa"/>
            <w:vAlign w:val="bottom"/>
            <w:tcBorders>
              <w:bottom w:val="single" w:sz="8" w:color="231F20"/>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As of December 31, 2024</w:t>
            </w:r>
          </w:p>
        </w:tc>
        <w:tc>
          <w:tcPr>
            <w:tcW w:w="88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9"/>
              </w:rPr>
              <w:t>Estimated Useful</w:t>
            </w:r>
          </w:p>
        </w:tc>
        <w:tc>
          <w:tcPr>
            <w:tcW w:w="200" w:type="dxa"/>
            <w:vAlign w:val="bottom"/>
          </w:tcPr>
          <w:p>
            <w:pPr>
              <w:spacing w:after="0"/>
              <w:rPr>
                <w:sz w:val="16"/>
                <w:szCs w:val="16"/>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231F20"/>
                <w:w w:val="99"/>
              </w:rPr>
              <w:t>Gross</w:t>
            </w:r>
          </w:p>
        </w:tc>
        <w:tc>
          <w:tcPr>
            <w:tcW w:w="80" w:type="dxa"/>
            <w:vAlign w:val="bottom"/>
          </w:tcPr>
          <w:p>
            <w:pPr>
              <w:spacing w:after="0"/>
              <w:rPr>
                <w:sz w:val="16"/>
                <w:szCs w:val="16"/>
                <w:color w:val="auto"/>
              </w:rPr>
            </w:pPr>
          </w:p>
        </w:tc>
        <w:tc>
          <w:tcPr>
            <w:tcW w:w="11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149"/>
              <w:spacing w:after="0"/>
              <w:rPr>
                <w:sz w:val="20"/>
                <w:szCs w:val="20"/>
                <w:color w:val="auto"/>
              </w:rPr>
            </w:pPr>
            <w:r>
              <w:rPr>
                <w:rFonts w:ascii="Times New Roman" w:cs="Times New Roman" w:eastAsia="Times New Roman" w:hAnsi="Times New Roman"/>
                <w:sz w:val="16"/>
                <w:szCs w:val="16"/>
                <w:b w:val="1"/>
                <w:bCs w:val="1"/>
                <w:color w:val="231F20"/>
                <w:w w:val="97"/>
              </w:rPr>
              <w:t>Net Book</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231F20"/>
                <w:w w:val="99"/>
              </w:rPr>
              <w:t>Gross</w:t>
            </w:r>
          </w:p>
        </w:tc>
        <w:tc>
          <w:tcPr>
            <w:tcW w:w="60" w:type="dxa"/>
            <w:vAlign w:val="bottom"/>
          </w:tcPr>
          <w:p>
            <w:pPr>
              <w:spacing w:after="0"/>
              <w:rPr>
                <w:sz w:val="16"/>
                <w:szCs w:val="16"/>
                <w:color w:val="auto"/>
              </w:rPr>
            </w:pPr>
          </w:p>
        </w:tc>
        <w:tc>
          <w:tcPr>
            <w:tcW w:w="11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restart"/>
          </w:tcPr>
          <w:p>
            <w:pPr>
              <w:jc w:val="right"/>
              <w:ind w:right="149"/>
              <w:spacing w:after="0"/>
              <w:rPr>
                <w:sz w:val="20"/>
                <w:szCs w:val="20"/>
                <w:color w:val="auto"/>
              </w:rPr>
            </w:pPr>
            <w:r>
              <w:rPr>
                <w:rFonts w:ascii="Times New Roman" w:cs="Times New Roman" w:eastAsia="Times New Roman" w:hAnsi="Times New Roman"/>
                <w:sz w:val="16"/>
                <w:szCs w:val="16"/>
                <w:b w:val="1"/>
                <w:bCs w:val="1"/>
                <w:color w:val="231F20"/>
                <w:w w:val="97"/>
              </w:rPr>
              <w:t>Net Book</w:t>
            </w: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12"/>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2"/>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Carrying</w:t>
            </w:r>
          </w:p>
        </w:tc>
        <w:tc>
          <w:tcPr>
            <w:tcW w:w="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8"/>
              </w:rPr>
              <w:t>Lives (years)</w:t>
            </w:r>
          </w:p>
        </w:tc>
        <w:tc>
          <w:tcPr>
            <w:tcW w:w="20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80" w:type="dxa"/>
            <w:vAlign w:val="bottom"/>
          </w:tcPr>
          <w:p>
            <w:pPr>
              <w:spacing w:after="0"/>
              <w:rPr>
                <w:sz w:val="18"/>
                <w:szCs w:val="18"/>
                <w:color w:val="auto"/>
              </w:rPr>
            </w:pPr>
          </w:p>
        </w:tc>
        <w:tc>
          <w:tcPr>
            <w:tcW w:w="11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6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0" w:type="dxa"/>
            <w:vAlign w:val="bottom"/>
          </w:tcPr>
          <w:p>
            <w:pPr>
              <w:spacing w:after="0"/>
              <w:rPr>
                <w:sz w:val="1"/>
                <w:szCs w:val="1"/>
                <w:color w:val="auto"/>
              </w:rPr>
            </w:pPr>
          </w:p>
        </w:tc>
      </w:tr>
      <w:tr>
        <w:trPr>
          <w:trHeight w:val="200"/>
        </w:trPr>
        <w:tc>
          <w:tcPr>
            <w:tcW w:w="1680" w:type="dxa"/>
            <w:vAlign w:val="bottom"/>
            <w:tcBorders>
              <w:top w:val="single" w:sz="8" w:color="E3E4E5"/>
            </w:tcBorders>
            <w:shd w:val="clear" w:color="auto" w:fill="E3E4E5"/>
          </w:tcPr>
          <w:p>
            <w:pPr>
              <w:ind w:left="40"/>
              <w:spacing w:after="0" w:line="200" w:lineRule="exact"/>
              <w:rPr>
                <w:sz w:val="20"/>
                <w:szCs w:val="20"/>
                <w:color w:val="auto"/>
              </w:rPr>
            </w:pPr>
            <w:r>
              <w:rPr>
                <w:rFonts w:ascii="Times New Roman" w:cs="Times New Roman" w:eastAsia="Times New Roman" w:hAnsi="Times New Roman"/>
                <w:sz w:val="20"/>
                <w:szCs w:val="20"/>
                <w:color w:val="231F20"/>
              </w:rPr>
              <w:t>Acquired network</w:t>
            </w:r>
          </w:p>
        </w:tc>
        <w:tc>
          <w:tcPr>
            <w:tcW w:w="1320" w:type="dxa"/>
            <w:vAlign w:val="bottom"/>
            <w:tcBorders>
              <w:top w:val="single" w:sz="8" w:color="231F20"/>
            </w:tcBorders>
            <w:shd w:val="clear" w:color="auto" w:fill="E3E4E5"/>
          </w:tcPr>
          <w:p>
            <w:pPr>
              <w:spacing w:after="0"/>
              <w:rPr>
                <w:sz w:val="17"/>
                <w:szCs w:val="17"/>
                <w:color w:val="auto"/>
              </w:rPr>
            </w:pPr>
          </w:p>
        </w:tc>
        <w:tc>
          <w:tcPr>
            <w:tcW w:w="60" w:type="dxa"/>
            <w:vAlign w:val="bottom"/>
            <w:tcBorders>
              <w:top w:val="single" w:sz="8" w:color="E3E4E5"/>
            </w:tcBorders>
            <w:shd w:val="clear" w:color="auto" w:fill="E3E4E5"/>
          </w:tcPr>
          <w:p>
            <w:pPr>
              <w:spacing w:after="0"/>
              <w:rPr>
                <w:sz w:val="17"/>
                <w:szCs w:val="17"/>
                <w:color w:val="auto"/>
              </w:rPr>
            </w:pPr>
          </w:p>
        </w:tc>
        <w:tc>
          <w:tcPr>
            <w:tcW w:w="200" w:type="dxa"/>
            <w:vAlign w:val="bottom"/>
            <w:tcBorders>
              <w:top w:val="single" w:sz="8" w:color="231F20"/>
            </w:tcBorders>
            <w:shd w:val="clear" w:color="auto" w:fill="E3E4E5"/>
          </w:tcPr>
          <w:p>
            <w:pPr>
              <w:spacing w:after="0"/>
              <w:rPr>
                <w:sz w:val="17"/>
                <w:szCs w:val="17"/>
                <w:color w:val="auto"/>
              </w:rPr>
            </w:pPr>
          </w:p>
        </w:tc>
        <w:tc>
          <w:tcPr>
            <w:tcW w:w="900" w:type="dxa"/>
            <w:vAlign w:val="bottom"/>
            <w:tcBorders>
              <w:top w:val="single" w:sz="8" w:color="231F20"/>
            </w:tcBorders>
            <w:shd w:val="clear" w:color="auto" w:fill="E3E4E5"/>
          </w:tcPr>
          <w:p>
            <w:pPr>
              <w:spacing w:after="0"/>
              <w:rPr>
                <w:sz w:val="17"/>
                <w:szCs w:val="17"/>
                <w:color w:val="auto"/>
              </w:rPr>
            </w:pPr>
          </w:p>
        </w:tc>
        <w:tc>
          <w:tcPr>
            <w:tcW w:w="80" w:type="dxa"/>
            <w:vAlign w:val="bottom"/>
            <w:tcBorders>
              <w:top w:val="single" w:sz="8" w:color="E3E4E5"/>
            </w:tcBorders>
            <w:shd w:val="clear" w:color="auto" w:fill="E3E4E5"/>
          </w:tcPr>
          <w:p>
            <w:pPr>
              <w:spacing w:after="0"/>
              <w:rPr>
                <w:sz w:val="17"/>
                <w:szCs w:val="17"/>
                <w:color w:val="auto"/>
              </w:rPr>
            </w:pPr>
          </w:p>
        </w:tc>
        <w:tc>
          <w:tcPr>
            <w:tcW w:w="220" w:type="dxa"/>
            <w:vAlign w:val="bottom"/>
            <w:tcBorders>
              <w:top w:val="single" w:sz="8" w:color="231F20"/>
            </w:tcBorders>
            <w:shd w:val="clear" w:color="auto" w:fill="E3E4E5"/>
          </w:tcPr>
          <w:p>
            <w:pPr>
              <w:spacing w:after="0"/>
              <w:rPr>
                <w:sz w:val="17"/>
                <w:szCs w:val="17"/>
                <w:color w:val="auto"/>
              </w:rPr>
            </w:pPr>
          </w:p>
        </w:tc>
        <w:tc>
          <w:tcPr>
            <w:tcW w:w="880" w:type="dxa"/>
            <w:vAlign w:val="bottom"/>
            <w:tcBorders>
              <w:top w:val="single" w:sz="8" w:color="231F20"/>
            </w:tcBorders>
            <w:shd w:val="clear" w:color="auto" w:fill="E3E4E5"/>
          </w:tcPr>
          <w:p>
            <w:pPr>
              <w:spacing w:after="0"/>
              <w:rPr>
                <w:sz w:val="17"/>
                <w:szCs w:val="17"/>
                <w:color w:val="auto"/>
              </w:rPr>
            </w:pPr>
          </w:p>
        </w:tc>
        <w:tc>
          <w:tcPr>
            <w:tcW w:w="80" w:type="dxa"/>
            <w:vAlign w:val="bottom"/>
            <w:tcBorders>
              <w:top w:val="single" w:sz="8" w:color="E3E4E5"/>
            </w:tcBorders>
            <w:shd w:val="clear" w:color="auto" w:fill="E3E4E5"/>
          </w:tcPr>
          <w:p>
            <w:pPr>
              <w:spacing w:after="0"/>
              <w:rPr>
                <w:sz w:val="17"/>
                <w:szCs w:val="17"/>
                <w:color w:val="auto"/>
              </w:rPr>
            </w:pPr>
          </w:p>
        </w:tc>
        <w:tc>
          <w:tcPr>
            <w:tcW w:w="220" w:type="dxa"/>
            <w:vAlign w:val="bottom"/>
            <w:tcBorders>
              <w:top w:val="single" w:sz="8" w:color="231F20"/>
            </w:tcBorders>
            <w:shd w:val="clear" w:color="auto" w:fill="E3E4E5"/>
          </w:tcPr>
          <w:p>
            <w:pPr>
              <w:spacing w:after="0"/>
              <w:rPr>
                <w:sz w:val="17"/>
                <w:szCs w:val="17"/>
                <w:color w:val="auto"/>
              </w:rPr>
            </w:pPr>
          </w:p>
        </w:tc>
        <w:tc>
          <w:tcPr>
            <w:tcW w:w="880" w:type="dxa"/>
            <w:vAlign w:val="bottom"/>
            <w:tcBorders>
              <w:top w:val="single" w:sz="8" w:color="231F20"/>
            </w:tcBorders>
            <w:shd w:val="clear" w:color="auto" w:fill="E3E4E5"/>
          </w:tcPr>
          <w:p>
            <w:pPr>
              <w:spacing w:after="0"/>
              <w:rPr>
                <w:sz w:val="17"/>
                <w:szCs w:val="17"/>
                <w:color w:val="auto"/>
              </w:rPr>
            </w:pPr>
          </w:p>
        </w:tc>
        <w:tc>
          <w:tcPr>
            <w:tcW w:w="80" w:type="dxa"/>
            <w:vAlign w:val="bottom"/>
            <w:tcBorders>
              <w:top w:val="single" w:sz="8" w:color="E3E4E5"/>
            </w:tcBorders>
            <w:shd w:val="clear" w:color="auto" w:fill="E3E4E5"/>
          </w:tcPr>
          <w:p>
            <w:pPr>
              <w:spacing w:after="0"/>
              <w:rPr>
                <w:sz w:val="17"/>
                <w:szCs w:val="17"/>
                <w:color w:val="auto"/>
              </w:rPr>
            </w:pPr>
          </w:p>
        </w:tc>
        <w:tc>
          <w:tcPr>
            <w:tcW w:w="180" w:type="dxa"/>
            <w:vAlign w:val="bottom"/>
            <w:tcBorders>
              <w:top w:val="single" w:sz="8" w:color="231F20"/>
            </w:tcBorders>
            <w:shd w:val="clear" w:color="auto" w:fill="E3E4E5"/>
          </w:tcPr>
          <w:p>
            <w:pPr>
              <w:spacing w:after="0"/>
              <w:rPr>
                <w:sz w:val="17"/>
                <w:szCs w:val="17"/>
                <w:color w:val="auto"/>
              </w:rPr>
            </w:pPr>
          </w:p>
        </w:tc>
        <w:tc>
          <w:tcPr>
            <w:tcW w:w="920" w:type="dxa"/>
            <w:vAlign w:val="bottom"/>
            <w:tcBorders>
              <w:top w:val="single" w:sz="8" w:color="231F20"/>
            </w:tcBorders>
            <w:shd w:val="clear" w:color="auto" w:fill="E3E4E5"/>
          </w:tcPr>
          <w:p>
            <w:pPr>
              <w:spacing w:after="0"/>
              <w:rPr>
                <w:sz w:val="17"/>
                <w:szCs w:val="17"/>
                <w:color w:val="auto"/>
              </w:rPr>
            </w:pPr>
          </w:p>
        </w:tc>
        <w:tc>
          <w:tcPr>
            <w:tcW w:w="60" w:type="dxa"/>
            <w:vAlign w:val="bottom"/>
            <w:tcBorders>
              <w:top w:val="single" w:sz="8" w:color="E3E4E5"/>
            </w:tcBorders>
            <w:shd w:val="clear" w:color="auto" w:fill="E3E4E5"/>
          </w:tcPr>
          <w:p>
            <w:pPr>
              <w:spacing w:after="0"/>
              <w:rPr>
                <w:sz w:val="17"/>
                <w:szCs w:val="17"/>
                <w:color w:val="auto"/>
              </w:rPr>
            </w:pPr>
          </w:p>
        </w:tc>
        <w:tc>
          <w:tcPr>
            <w:tcW w:w="260" w:type="dxa"/>
            <w:vAlign w:val="bottom"/>
            <w:tcBorders>
              <w:top w:val="single" w:sz="8" w:color="231F20"/>
            </w:tcBorders>
            <w:shd w:val="clear" w:color="auto" w:fill="E3E4E5"/>
          </w:tcPr>
          <w:p>
            <w:pPr>
              <w:spacing w:after="0"/>
              <w:rPr>
                <w:sz w:val="17"/>
                <w:szCs w:val="17"/>
                <w:color w:val="auto"/>
              </w:rPr>
            </w:pPr>
          </w:p>
        </w:tc>
        <w:tc>
          <w:tcPr>
            <w:tcW w:w="860" w:type="dxa"/>
            <w:vAlign w:val="bottom"/>
            <w:tcBorders>
              <w:top w:val="single" w:sz="8" w:color="231F20"/>
            </w:tcBorders>
            <w:shd w:val="clear" w:color="auto" w:fill="E3E4E5"/>
          </w:tcPr>
          <w:p>
            <w:pPr>
              <w:spacing w:after="0"/>
              <w:rPr>
                <w:sz w:val="17"/>
                <w:szCs w:val="17"/>
                <w:color w:val="auto"/>
              </w:rPr>
            </w:pPr>
          </w:p>
        </w:tc>
        <w:tc>
          <w:tcPr>
            <w:tcW w:w="60" w:type="dxa"/>
            <w:vAlign w:val="bottom"/>
            <w:tcBorders>
              <w:top w:val="single" w:sz="8" w:color="E3E4E5"/>
            </w:tcBorders>
            <w:shd w:val="clear" w:color="auto" w:fill="E3E4E5"/>
          </w:tcPr>
          <w:p>
            <w:pPr>
              <w:spacing w:after="0"/>
              <w:rPr>
                <w:sz w:val="17"/>
                <w:szCs w:val="17"/>
                <w:color w:val="auto"/>
              </w:rPr>
            </w:pPr>
          </w:p>
        </w:tc>
        <w:tc>
          <w:tcPr>
            <w:tcW w:w="220" w:type="dxa"/>
            <w:vAlign w:val="bottom"/>
            <w:tcBorders>
              <w:top w:val="single" w:sz="8" w:color="231F20"/>
            </w:tcBorders>
            <w:shd w:val="clear" w:color="auto" w:fill="E3E4E5"/>
          </w:tcPr>
          <w:p>
            <w:pPr>
              <w:spacing w:after="0"/>
              <w:rPr>
                <w:sz w:val="17"/>
                <w:szCs w:val="17"/>
                <w:color w:val="auto"/>
              </w:rPr>
            </w:pPr>
          </w:p>
        </w:tc>
        <w:tc>
          <w:tcPr>
            <w:tcW w:w="880" w:type="dxa"/>
            <w:vAlign w:val="bottom"/>
            <w:tcBorders>
              <w:top w:val="single" w:sz="8" w:color="231F20"/>
            </w:tcBorders>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E3E4E5"/>
          </w:tcPr>
          <w:p>
            <w:pPr>
              <w:ind w:left="40"/>
              <w:spacing w:after="0" w:line="196" w:lineRule="exact"/>
              <w:rPr>
                <w:sz w:val="20"/>
                <w:szCs w:val="20"/>
                <w:color w:val="auto"/>
              </w:rPr>
            </w:pPr>
            <w:r>
              <w:rPr>
                <w:rFonts w:ascii="Times New Roman" w:cs="Times New Roman" w:eastAsia="Times New Roman" w:hAnsi="Times New Roman"/>
                <w:sz w:val="20"/>
                <w:szCs w:val="20"/>
                <w:color w:val="231F20"/>
              </w:rPr>
              <w:t>location intangibles</w:t>
            </w:r>
          </w:p>
        </w:tc>
        <w:tc>
          <w:tcPr>
            <w:tcW w:w="13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0" w:type="dxa"/>
            <w:vAlign w:val="bottom"/>
            <w:shd w:val="clear" w:color="auto" w:fill="E3E4E5"/>
          </w:tcPr>
          <w:p>
            <w:pPr>
              <w:spacing w:after="0"/>
              <w:rPr>
                <w:sz w:val="17"/>
                <w:szCs w:val="17"/>
                <w:color w:val="auto"/>
              </w:rPr>
            </w:pPr>
          </w:p>
        </w:tc>
        <w:tc>
          <w:tcPr>
            <w:tcW w:w="90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60" w:type="dxa"/>
            <w:vAlign w:val="bottom"/>
            <w:shd w:val="clear" w:color="auto" w:fill="E3E4E5"/>
          </w:tcPr>
          <w:p>
            <w:pPr>
              <w:spacing w:after="0"/>
              <w:rPr>
                <w:sz w:val="17"/>
                <w:szCs w:val="17"/>
                <w:color w:val="auto"/>
              </w:rPr>
            </w:pPr>
          </w:p>
        </w:tc>
        <w:tc>
          <w:tcPr>
            <w:tcW w:w="86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(1) </w:t>
            </w:r>
            <w:r>
              <w:rPr>
                <w:rFonts w:ascii="Times New Roman" w:cs="Times New Roman" w:eastAsia="Times New Roman" w:hAnsi="Times New Roman"/>
                <w:sz w:val="20"/>
                <w:szCs w:val="20"/>
                <w:color w:val="BABCBE"/>
                <w:w w:val="99"/>
              </w:rPr>
              <w:t>...........................</w:t>
            </w:r>
          </w:p>
        </w:tc>
        <w:tc>
          <w:tcPr>
            <w:tcW w:w="138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Up to 30</w:t>
            </w:r>
          </w:p>
        </w:tc>
        <w:tc>
          <w:tcPr>
            <w:tcW w:w="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5,511.3</w:t>
            </w:r>
          </w:p>
        </w:tc>
        <w:tc>
          <w:tcPr>
            <w:tcW w:w="3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(2,798.4)</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2,712.9</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5,365.4</w:t>
            </w:r>
          </w:p>
        </w:tc>
        <w:tc>
          <w:tcPr>
            <w:tcW w:w="320" w:type="dxa"/>
            <w:vAlign w:val="bottom"/>
            <w:gridSpan w:val="2"/>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(2,659.8)</w:t>
            </w:r>
          </w:p>
        </w:tc>
        <w:tc>
          <w:tcPr>
            <w:tcW w:w="28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2,705.6</w:t>
            </w:r>
          </w:p>
        </w:tc>
        <w:tc>
          <w:tcPr>
            <w:tcW w:w="0" w:type="dxa"/>
            <w:vAlign w:val="bottom"/>
          </w:tcPr>
          <w:p>
            <w:pPr>
              <w:spacing w:after="0"/>
              <w:rPr>
                <w:sz w:val="1"/>
                <w:szCs w:val="1"/>
                <w:color w:val="auto"/>
              </w:rPr>
            </w:pPr>
          </w:p>
        </w:tc>
      </w:tr>
      <w:tr>
        <w:trPr>
          <w:trHeight w:val="209"/>
        </w:trPr>
        <w:tc>
          <w:tcPr>
            <w:tcW w:w="168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231F20"/>
              </w:rPr>
              <w:t>Acquired tenant-</w:t>
            </w: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Up to 30</w:t>
            </w:r>
          </w:p>
        </w:tc>
        <w:tc>
          <w:tcPr>
            <w:tcW w:w="2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18,636.8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(7,609.3)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11,027.5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17,666.0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(6,823.7)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10,842.3</w:t>
            </w:r>
          </w:p>
        </w:tc>
        <w:tc>
          <w:tcPr>
            <w:tcW w:w="0" w:type="dxa"/>
            <w:vAlign w:val="bottom"/>
          </w:tcPr>
          <w:p>
            <w:pPr>
              <w:spacing w:after="0"/>
              <w:rPr>
                <w:sz w:val="1"/>
                <w:szCs w:val="1"/>
                <w:color w:val="auto"/>
              </w:rPr>
            </w:pPr>
          </w:p>
        </w:tc>
      </w:tr>
      <w:tr>
        <w:trPr>
          <w:trHeight w:val="270"/>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related intangibles</w:t>
            </w:r>
            <w:r>
              <w:rPr>
                <w:rFonts w:ascii="Times New Roman" w:cs="Times New Roman" w:eastAsia="Times New Roman" w:hAnsi="Times New Roman"/>
                <w:sz w:val="20"/>
                <w:szCs w:val="20"/>
                <w:color w:val="BABCBE"/>
                <w:w w:val="99"/>
              </w:rPr>
              <w:t>...</w:t>
            </w:r>
          </w:p>
        </w:tc>
        <w:tc>
          <w:tcPr>
            <w:tcW w:w="13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680" w:type="dxa"/>
            <w:vAlign w:val="bottom"/>
            <w:shd w:val="clear" w:color="auto" w:fill="E3E4E5"/>
          </w:tcPr>
          <w:p>
            <w:pPr>
              <w:ind w:left="40"/>
              <w:spacing w:after="0" w:line="215" w:lineRule="exact"/>
              <w:rPr>
                <w:sz w:val="20"/>
                <w:szCs w:val="20"/>
                <w:color w:val="auto"/>
              </w:rPr>
            </w:pPr>
            <w:r>
              <w:rPr>
                <w:rFonts w:ascii="Times New Roman" w:cs="Times New Roman" w:eastAsia="Times New Roman" w:hAnsi="Times New Roman"/>
                <w:sz w:val="20"/>
                <w:szCs w:val="20"/>
                <w:color w:val="231F20"/>
              </w:rPr>
              <w:t>Acquired licenses</w:t>
            </w:r>
          </w:p>
        </w:tc>
        <w:tc>
          <w:tcPr>
            <w:tcW w:w="132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200" w:type="dxa"/>
            <w:vAlign w:val="bottom"/>
            <w:shd w:val="clear" w:color="auto" w:fill="E3E4E5"/>
          </w:tcPr>
          <w:p>
            <w:pPr>
              <w:spacing w:after="0"/>
              <w:rPr>
                <w:sz w:val="18"/>
                <w:szCs w:val="18"/>
                <w:color w:val="auto"/>
              </w:rPr>
            </w:pPr>
          </w:p>
        </w:tc>
        <w:tc>
          <w:tcPr>
            <w:tcW w:w="90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88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880" w:type="dxa"/>
            <w:vAlign w:val="bottom"/>
            <w:shd w:val="clear" w:color="auto" w:fill="E3E4E5"/>
          </w:tcPr>
          <w:p>
            <w:pPr>
              <w:spacing w:after="0"/>
              <w:rPr>
                <w:sz w:val="18"/>
                <w:szCs w:val="18"/>
                <w:color w:val="auto"/>
              </w:rPr>
            </w:pPr>
          </w:p>
        </w:tc>
        <w:tc>
          <w:tcPr>
            <w:tcW w:w="80" w:type="dxa"/>
            <w:vAlign w:val="bottom"/>
            <w:shd w:val="clear" w:color="auto" w:fill="E3E4E5"/>
          </w:tcPr>
          <w:p>
            <w:pPr>
              <w:spacing w:after="0"/>
              <w:rPr>
                <w:sz w:val="18"/>
                <w:szCs w:val="18"/>
                <w:color w:val="auto"/>
              </w:rPr>
            </w:pPr>
          </w:p>
        </w:tc>
        <w:tc>
          <w:tcPr>
            <w:tcW w:w="180" w:type="dxa"/>
            <w:vAlign w:val="bottom"/>
            <w:shd w:val="clear" w:color="auto" w:fill="E3E4E5"/>
          </w:tcPr>
          <w:p>
            <w:pPr>
              <w:spacing w:after="0"/>
              <w:rPr>
                <w:sz w:val="18"/>
                <w:szCs w:val="18"/>
                <w:color w:val="auto"/>
              </w:rPr>
            </w:pPr>
          </w:p>
        </w:tc>
        <w:tc>
          <w:tcPr>
            <w:tcW w:w="92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260" w:type="dxa"/>
            <w:vAlign w:val="bottom"/>
            <w:shd w:val="clear" w:color="auto" w:fill="E3E4E5"/>
          </w:tcPr>
          <w:p>
            <w:pPr>
              <w:spacing w:after="0"/>
              <w:rPr>
                <w:sz w:val="18"/>
                <w:szCs w:val="18"/>
                <w:color w:val="auto"/>
              </w:rPr>
            </w:pPr>
          </w:p>
        </w:tc>
        <w:tc>
          <w:tcPr>
            <w:tcW w:w="860" w:type="dxa"/>
            <w:vAlign w:val="bottom"/>
            <w:shd w:val="clear" w:color="auto" w:fill="E3E4E5"/>
          </w:tcPr>
          <w:p>
            <w:pPr>
              <w:spacing w:after="0"/>
              <w:rPr>
                <w:sz w:val="18"/>
                <w:szCs w:val="18"/>
                <w:color w:val="auto"/>
              </w:rPr>
            </w:pPr>
          </w:p>
        </w:tc>
        <w:tc>
          <w:tcPr>
            <w:tcW w:w="60" w:type="dxa"/>
            <w:vAlign w:val="bottom"/>
            <w:shd w:val="clear" w:color="auto" w:fill="E3E4E5"/>
          </w:tcPr>
          <w:p>
            <w:pPr>
              <w:spacing w:after="0"/>
              <w:rPr>
                <w:sz w:val="18"/>
                <w:szCs w:val="18"/>
                <w:color w:val="auto"/>
              </w:rPr>
            </w:pPr>
          </w:p>
        </w:tc>
        <w:tc>
          <w:tcPr>
            <w:tcW w:w="220" w:type="dxa"/>
            <w:vAlign w:val="bottom"/>
            <w:shd w:val="clear" w:color="auto" w:fill="E3E4E5"/>
          </w:tcPr>
          <w:p>
            <w:pPr>
              <w:spacing w:after="0"/>
              <w:rPr>
                <w:sz w:val="18"/>
                <w:szCs w:val="18"/>
                <w:color w:val="auto"/>
              </w:rPr>
            </w:pPr>
          </w:p>
        </w:tc>
        <w:tc>
          <w:tcPr>
            <w:tcW w:w="88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E3E4E5"/>
          </w:tcPr>
          <w:p>
            <w:pPr>
              <w:ind w:left="40"/>
              <w:spacing w:after="0" w:line="196" w:lineRule="exact"/>
              <w:rPr>
                <w:sz w:val="20"/>
                <w:szCs w:val="20"/>
                <w:color w:val="auto"/>
              </w:rPr>
            </w:pPr>
            <w:r>
              <w:rPr>
                <w:rFonts w:ascii="Times New Roman" w:cs="Times New Roman" w:eastAsia="Times New Roman" w:hAnsi="Times New Roman"/>
                <w:sz w:val="20"/>
                <w:szCs w:val="20"/>
                <w:color w:val="231F20"/>
              </w:rPr>
              <w:t>and other</w:t>
            </w:r>
          </w:p>
        </w:tc>
        <w:tc>
          <w:tcPr>
            <w:tcW w:w="13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00" w:type="dxa"/>
            <w:vAlign w:val="bottom"/>
            <w:shd w:val="clear" w:color="auto" w:fill="E3E4E5"/>
          </w:tcPr>
          <w:p>
            <w:pPr>
              <w:spacing w:after="0"/>
              <w:rPr>
                <w:sz w:val="17"/>
                <w:szCs w:val="17"/>
                <w:color w:val="auto"/>
              </w:rPr>
            </w:pPr>
          </w:p>
        </w:tc>
        <w:tc>
          <w:tcPr>
            <w:tcW w:w="90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80" w:type="dxa"/>
            <w:vAlign w:val="bottom"/>
            <w:shd w:val="clear" w:color="auto" w:fill="E3E4E5"/>
          </w:tcPr>
          <w:p>
            <w:pPr>
              <w:spacing w:after="0"/>
              <w:rPr>
                <w:sz w:val="17"/>
                <w:szCs w:val="17"/>
                <w:color w:val="auto"/>
              </w:rPr>
            </w:pPr>
          </w:p>
        </w:tc>
        <w:tc>
          <w:tcPr>
            <w:tcW w:w="180" w:type="dxa"/>
            <w:vAlign w:val="bottom"/>
            <w:shd w:val="clear" w:color="auto" w:fill="E3E4E5"/>
          </w:tcPr>
          <w:p>
            <w:pPr>
              <w:spacing w:after="0"/>
              <w:rPr>
                <w:sz w:val="17"/>
                <w:szCs w:val="17"/>
                <w:color w:val="auto"/>
              </w:rPr>
            </w:pPr>
          </w:p>
        </w:tc>
        <w:tc>
          <w:tcPr>
            <w:tcW w:w="92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60" w:type="dxa"/>
            <w:vAlign w:val="bottom"/>
            <w:shd w:val="clear" w:color="auto" w:fill="E3E4E5"/>
          </w:tcPr>
          <w:p>
            <w:pPr>
              <w:spacing w:after="0"/>
              <w:rPr>
                <w:sz w:val="17"/>
                <w:szCs w:val="17"/>
                <w:color w:val="auto"/>
              </w:rPr>
            </w:pPr>
          </w:p>
        </w:tc>
        <w:tc>
          <w:tcPr>
            <w:tcW w:w="860" w:type="dxa"/>
            <w:vAlign w:val="bottom"/>
            <w:shd w:val="clear" w:color="auto" w:fill="E3E4E5"/>
          </w:tcPr>
          <w:p>
            <w:pPr>
              <w:spacing w:after="0"/>
              <w:rPr>
                <w:sz w:val="17"/>
                <w:szCs w:val="17"/>
                <w:color w:val="auto"/>
              </w:rPr>
            </w:pPr>
          </w:p>
        </w:tc>
        <w:tc>
          <w:tcPr>
            <w:tcW w:w="60" w:type="dxa"/>
            <w:vAlign w:val="bottom"/>
            <w:shd w:val="clear" w:color="auto" w:fill="E3E4E5"/>
          </w:tcPr>
          <w:p>
            <w:pPr>
              <w:spacing w:after="0"/>
              <w:rPr>
                <w:sz w:val="17"/>
                <w:szCs w:val="17"/>
                <w:color w:val="auto"/>
              </w:rPr>
            </w:pPr>
          </w:p>
        </w:tc>
        <w:tc>
          <w:tcPr>
            <w:tcW w:w="220" w:type="dxa"/>
            <w:vAlign w:val="bottom"/>
            <w:shd w:val="clear" w:color="auto" w:fill="E3E4E5"/>
          </w:tcPr>
          <w:p>
            <w:pPr>
              <w:spacing w:after="0"/>
              <w:rPr>
                <w:sz w:val="17"/>
                <w:szCs w:val="17"/>
                <w:color w:val="auto"/>
              </w:rPr>
            </w:pPr>
          </w:p>
        </w:tc>
        <w:tc>
          <w:tcPr>
            <w:tcW w:w="88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6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intangibles </w:t>
            </w:r>
            <w:r>
              <w:rPr>
                <w:rFonts w:ascii="Times New Roman" w:cs="Times New Roman" w:eastAsia="Times New Roman" w:hAnsi="Times New Roman"/>
                <w:sz w:val="20"/>
                <w:szCs w:val="20"/>
                <w:color w:val="BABCBE"/>
                <w:w w:val="99"/>
              </w:rPr>
              <w:t>..............</w:t>
            </w:r>
          </w:p>
        </w:tc>
        <w:tc>
          <w:tcPr>
            <w:tcW w:w="13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6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1,332.8</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(542.5)</w:t>
            </w:r>
          </w:p>
        </w:tc>
        <w:tc>
          <w:tcPr>
            <w:tcW w:w="8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790.3</w:t>
            </w:r>
          </w:p>
        </w:tc>
        <w:tc>
          <w:tcPr>
            <w:tcW w:w="80" w:type="dxa"/>
            <w:vAlign w:val="bottom"/>
            <w:tcBorders>
              <w:bottom w:val="single" w:sz="8" w:color="E3E4E5"/>
            </w:tcBorders>
            <w:shd w:val="clear" w:color="auto" w:fill="E3E4E5"/>
          </w:tcPr>
          <w:p>
            <w:pPr>
              <w:spacing w:after="0"/>
              <w:rPr>
                <w:sz w:val="24"/>
                <w:szCs w:val="24"/>
                <w:color w:val="auto"/>
              </w:rPr>
            </w:pPr>
          </w:p>
        </w:tc>
        <w:tc>
          <w:tcPr>
            <w:tcW w:w="180" w:type="dxa"/>
            <w:vAlign w:val="bottom"/>
            <w:tcBorders>
              <w:bottom w:val="single" w:sz="8" w:color="231F20"/>
            </w:tcBorders>
            <w:shd w:val="clear" w:color="auto" w:fill="E3E4E5"/>
          </w:tcPr>
          <w:p>
            <w:pPr>
              <w:spacing w:after="0"/>
              <w:rPr>
                <w:sz w:val="24"/>
                <w:szCs w:val="24"/>
                <w:color w:val="auto"/>
              </w:rPr>
            </w:pPr>
          </w:p>
        </w:tc>
        <w:tc>
          <w:tcPr>
            <w:tcW w:w="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1,406.8</w:t>
            </w:r>
          </w:p>
        </w:tc>
        <w:tc>
          <w:tcPr>
            <w:tcW w:w="6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(480.4)</w:t>
            </w:r>
          </w:p>
        </w:tc>
        <w:tc>
          <w:tcPr>
            <w:tcW w:w="60" w:type="dxa"/>
            <w:vAlign w:val="bottom"/>
            <w:tcBorders>
              <w:bottom w:val="single" w:sz="8" w:color="E3E4E5"/>
            </w:tcBorders>
            <w:shd w:val="clear" w:color="auto" w:fill="E3E4E5"/>
          </w:tcPr>
          <w:p>
            <w:pPr>
              <w:spacing w:after="0"/>
              <w:rPr>
                <w:sz w:val="24"/>
                <w:szCs w:val="24"/>
                <w:color w:val="auto"/>
              </w:rPr>
            </w:pPr>
          </w:p>
        </w:tc>
        <w:tc>
          <w:tcPr>
            <w:tcW w:w="22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926.4</w:t>
            </w:r>
          </w:p>
        </w:tc>
        <w:tc>
          <w:tcPr>
            <w:tcW w:w="0" w:type="dxa"/>
            <w:vAlign w:val="bottom"/>
          </w:tcPr>
          <w:p>
            <w:pPr>
              <w:spacing w:after="0"/>
              <w:rPr>
                <w:sz w:val="1"/>
                <w:szCs w:val="1"/>
                <w:color w:val="auto"/>
              </w:rPr>
            </w:pPr>
          </w:p>
        </w:tc>
      </w:tr>
      <w:tr>
        <w:trPr>
          <w:trHeight w:val="180"/>
        </w:trPr>
        <w:tc>
          <w:tcPr>
            <w:tcW w:w="168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231F20"/>
              </w:rPr>
              <w:t>Total other</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25,480.9</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(10,950.2)</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14,530.7</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24,438.2</w:t>
            </w:r>
          </w:p>
        </w:tc>
        <w:tc>
          <w:tcPr>
            <w:tcW w:w="32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(9,963.9)</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14,474.3</w:t>
            </w:r>
          </w:p>
        </w:tc>
        <w:tc>
          <w:tcPr>
            <w:tcW w:w="0" w:type="dxa"/>
            <w:vAlign w:val="bottom"/>
          </w:tcPr>
          <w:p>
            <w:pPr>
              <w:spacing w:after="0"/>
              <w:rPr>
                <w:sz w:val="1"/>
                <w:szCs w:val="1"/>
                <w:color w:val="auto"/>
              </w:rPr>
            </w:pPr>
          </w:p>
        </w:tc>
      </w:tr>
      <w:tr>
        <w:trPr>
          <w:trHeight w:val="246"/>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intangible assets</w:t>
            </w:r>
            <w:r>
              <w:rPr>
                <w:rFonts w:ascii="Times New Roman" w:cs="Times New Roman" w:eastAsia="Times New Roman" w:hAnsi="Times New Roman"/>
                <w:sz w:val="20"/>
                <w:szCs w:val="20"/>
                <w:color w:val="BABCBE"/>
              </w:rPr>
              <w:t>......</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-1524000</wp:posOffset>
            </wp:positionV>
            <wp:extent cx="533654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05">
                      <a:extLst>
                        <a:ext uri="{28A0092B-C50C-407E-A947-70E740481C1C}"/>
                      </a:extLst>
                    </a:blip>
                    <a:srcRect/>
                    <a:stretch>
                      <a:fillRect/>
                    </a:stretch>
                  </pic:blipFill>
                  <pic:spPr bwMode="auto">
                    <a:xfrm>
                      <a:off x="0" y="0"/>
                      <a:ext cx="5336540" cy="2540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-339090</wp:posOffset>
            </wp:positionV>
            <wp:extent cx="445960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6">
                      <a:extLst>
                        <a:ext uri="{28A0092B-C50C-407E-A947-70E740481C1C}"/>
                      </a:extLst>
                    </a:blip>
                    <a:srcRect/>
                    <a:stretch>
                      <a:fillRect/>
                    </a:stretch>
                  </pic:blipFill>
                  <pic:spPr bwMode="auto">
                    <a:xfrm>
                      <a:off x="0" y="0"/>
                      <a:ext cx="4459605"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line="250" w:lineRule="auto"/>
        <w:tabs>
          <w:tab w:leader="none" w:pos="348" w:val="left"/>
        </w:tabs>
        <w:numPr>
          <w:ilvl w:val="0"/>
          <w:numId w:val="9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Acquired network location intangibles are amortized over the remaining estimated useful life of the tower, taking into account residual value, generally up to 30 years, as the Company considers these intangibles to be directly related to the tower assets.</w:t>
      </w:r>
    </w:p>
    <w:p>
      <w:pPr>
        <w:spacing w:after="0" w:line="151" w:lineRule="exact"/>
        <w:rPr>
          <w:sz w:val="20"/>
          <w:szCs w:val="20"/>
          <w:color w:val="auto"/>
        </w:rPr>
      </w:pPr>
    </w:p>
    <w:p>
      <w:pPr>
        <w:ind w:left="7" w:right="20"/>
        <w:spacing w:after="0" w:line="249" w:lineRule="auto"/>
        <w:rPr>
          <w:sz w:val="20"/>
          <w:szCs w:val="20"/>
          <w:color w:val="auto"/>
        </w:rPr>
      </w:pPr>
      <w:r>
        <w:rPr>
          <w:rFonts w:ascii="Times New Roman" w:cs="Times New Roman" w:eastAsia="Times New Roman" w:hAnsi="Times New Roman"/>
          <w:sz w:val="20"/>
          <w:szCs w:val="20"/>
          <w:color w:val="231F20"/>
        </w:rPr>
        <w:t>The acquired network location intangibles represent the value to the Company of the incremental revenue growth that could potentially be obtained from leasing the excess capacity on acquired tower communications infrastructure. The acquired tenant-related intangibles typically represent the value to the Company of tenant contracts and relationships in place at the time of an acquisition or similar transaction, including assumptions regarding estimated renewals. Other intangibles represent the value of acquired licenses, trade name and in place leases. In place lease value represents the fair value of costs avoided in securing data center customers, including vacancy periods, legal costs and commissions. In place lease value also includes assumptions on similar costs avoided upon the renewal or extension of existing leases on a basis consistent with occupancy assumptions used in the fair value of other assets.</w:t>
      </w:r>
    </w:p>
    <w:p>
      <w:pPr>
        <w:spacing w:after="0" w:line="130" w:lineRule="exact"/>
        <w:rPr>
          <w:sz w:val="20"/>
          <w:szCs w:val="20"/>
          <w:color w:val="auto"/>
        </w:rPr>
      </w:pPr>
    </w:p>
    <w:p>
      <w:pPr>
        <w:ind w:left="7" w:right="420"/>
        <w:spacing w:after="0" w:line="300" w:lineRule="auto"/>
        <w:rPr>
          <w:sz w:val="20"/>
          <w:szCs w:val="20"/>
          <w:color w:val="auto"/>
        </w:rPr>
      </w:pPr>
      <w:r>
        <w:rPr>
          <w:rFonts w:ascii="Times New Roman" w:cs="Times New Roman" w:eastAsia="Times New Roman" w:hAnsi="Times New Roman"/>
          <w:sz w:val="19"/>
          <w:szCs w:val="19"/>
          <w:color w:val="231F20"/>
        </w:rPr>
        <w:t>The Company amortizes its acquired intangible assets on a straight-line basis over their estimated useful lives. As of December 31, 2025, the remaining weighted average amortization period of the Company’s intangible assets was 20 years.</w:t>
      </w:r>
    </w:p>
    <w:p>
      <w:pPr>
        <w:sectPr>
          <w:pgSz w:w="11880" w:h="15480" w:orient="portrait"/>
          <w:cols w:equalWidth="0" w:num="1">
            <w:col w:w="10047"/>
          </w:cols>
          <w:pgMar w:left="913" w:top="418" w:right="920" w:bottom="0" w:gutter="0" w:footer="0" w:header="0"/>
          <w:type w:val="continuous"/>
        </w:sectPr>
      </w:pPr>
    </w:p>
    <w:p>
      <w:pPr>
        <w:spacing w:after="0" w:line="34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10047"/>
          </w:cols>
          <w:pgMar w:left="913" w:top="418" w:right="92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20"/>
          <w:szCs w:val="20"/>
          <w:color w:val="231F20"/>
        </w:rPr>
        <w:t>Amortization of intangible assets for the years ended December 31, 2025, 2024 and 2023 was $879.7 million, $892.0 million and $1.4 billion,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Based on current exchange rates, the Company expects to record amortization expense as follows over the next five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Fiscal Year</w:t>
            </w:r>
          </w:p>
        </w:tc>
        <w:tc>
          <w:tcPr>
            <w:tcW w:w="60" w:type="dxa"/>
            <w:vAlign w:val="bottom"/>
            <w:tcBorders>
              <w:bottom w:val="single" w:sz="8" w:color="E3E4E5"/>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Amount</w:t>
            </w:r>
          </w:p>
        </w:tc>
      </w:tr>
      <w:tr>
        <w:trPr>
          <w:trHeight w:val="270"/>
        </w:trPr>
        <w:tc>
          <w:tcPr>
            <w:tcW w:w="8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2026</w:t>
            </w:r>
            <w:r>
              <w:rPr>
                <w:rFonts w:ascii="Times New Roman" w:cs="Times New Roman" w:eastAsia="Times New Roman" w:hAnsi="Times New Roman"/>
                <w:sz w:val="20"/>
                <w:szCs w:val="20"/>
                <w:color w:val="BABCBE"/>
                <w:w w:val="98"/>
              </w:rPr>
              <w:t>............................................................................................................................................................................</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852.1</w:t>
            </w:r>
          </w:p>
        </w:tc>
      </w:tr>
      <w:tr>
        <w:trPr>
          <w:trHeight w:val="274"/>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2027</w:t>
            </w:r>
            <w:r>
              <w:rPr>
                <w:rFonts w:ascii="Times New Roman" w:cs="Times New Roman" w:eastAsia="Times New Roman" w:hAnsi="Times New Roman"/>
                <w:sz w:val="20"/>
                <w:szCs w:val="20"/>
                <w:color w:val="BABCBE"/>
                <w:w w:val="98"/>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834.9</w:t>
            </w:r>
          </w:p>
        </w:tc>
      </w:tr>
      <w:tr>
        <w:trPr>
          <w:trHeight w:val="284"/>
        </w:trPr>
        <w:tc>
          <w:tcPr>
            <w:tcW w:w="8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2028</w:t>
            </w:r>
            <w:r>
              <w:rPr>
                <w:rFonts w:ascii="Times New Roman" w:cs="Times New Roman" w:eastAsia="Times New Roman" w:hAnsi="Times New Roman"/>
                <w:sz w:val="20"/>
                <w:szCs w:val="20"/>
                <w:color w:val="BABCBE"/>
                <w:w w:val="98"/>
              </w:rPr>
              <w:t>............................................................................................................................................................................</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825.6</w:t>
            </w:r>
          </w:p>
        </w:tc>
      </w:tr>
      <w:tr>
        <w:trPr>
          <w:trHeight w:val="274"/>
        </w:trPr>
        <w:tc>
          <w:tcPr>
            <w:tcW w:w="894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2029</w:t>
            </w:r>
            <w:r>
              <w:rPr>
                <w:rFonts w:ascii="Times New Roman" w:cs="Times New Roman" w:eastAsia="Times New Roman" w:hAnsi="Times New Roman"/>
                <w:sz w:val="20"/>
                <w:szCs w:val="20"/>
                <w:color w:val="BABCBE"/>
                <w:w w:val="98"/>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808.9</w:t>
            </w:r>
          </w:p>
        </w:tc>
      </w:tr>
      <w:tr>
        <w:trPr>
          <w:trHeight w:val="284"/>
        </w:trPr>
        <w:tc>
          <w:tcPr>
            <w:tcW w:w="89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2030</w:t>
            </w:r>
            <w:r>
              <w:rPr>
                <w:rFonts w:ascii="Times New Roman" w:cs="Times New Roman" w:eastAsia="Times New Roman" w:hAnsi="Times New Roman"/>
                <w:sz w:val="20"/>
                <w:szCs w:val="20"/>
                <w:color w:val="BABCBE"/>
                <w:w w:val="98"/>
              </w:rPr>
              <w:t>............................................................................................................................................................................</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-899160</wp:posOffset>
            </wp:positionV>
            <wp:extent cx="641032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07">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20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231F20"/>
        </w:rPr>
        <w:t>6.</w:t>
      </w:r>
      <w:r>
        <w:rPr>
          <w:sz w:val="20"/>
          <w:szCs w:val="20"/>
          <w:color w:val="auto"/>
        </w:rPr>
        <w:tab/>
      </w:r>
      <w:r>
        <w:rPr>
          <w:rFonts w:ascii="Times New Roman" w:cs="Times New Roman" w:eastAsia="Times New Roman" w:hAnsi="Times New Roman"/>
          <w:sz w:val="19"/>
          <w:szCs w:val="19"/>
          <w:b w:val="1"/>
          <w:bCs w:val="1"/>
          <w:color w:val="231F20"/>
        </w:rPr>
        <w:t>ACQUISITIONS</w:t>
      </w:r>
    </w:p>
    <w:p>
      <w:pPr>
        <w:spacing w:after="0" w:line="20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231F20"/>
        </w:rPr>
        <w:t>The Company evaluates each of its acquisitions under the accounting guidance framework to determine whether to treat an acquisition as an asset acquisition or a business combination. For those transactions treated as asset acquisitions, the purchase price is allocated to the assets or rights acquired and liabilities assumed, with no recognition of goodwill. For those transactions treated as business combinations, the estimates of the fair value of the assets or rights acquired and liabilities assumed at the date of the applicable acquisition are subject to adjustment during the measurement period (up to one year from the particular acquisition date), and may include an allocation to goodwill.</w:t>
      </w:r>
    </w:p>
    <w:p>
      <w:pPr>
        <w:spacing w:after="0" w:line="1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231F20"/>
        </w:rPr>
        <w:t>The fair value of these net assets acquired are based on management’s estimates and assumptions, as well as other information compiled by management, including valuations that utilize customary valuation procedures and techniques. While the Company believes that such preliminary estimates provide a reasonable basis for estimating the fair value of assets acquired and liabilities assumed, it evaluates any necessary information prior to finalization of the fair value. During the measurement period for those acquisitions accounted for as business combinations, the Company will adjust assets or liabilities if new information is obtained about facts and circumstances that existed as of the acquisition date that, if known, would have resulted in the revised estimated values of those assets or liabilities as of that date.</w:t>
      </w:r>
    </w:p>
    <w:p>
      <w:pPr>
        <w:spacing w:after="0" w:line="12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i w:val="1"/>
          <w:iCs w:val="1"/>
          <w:color w:val="231F20"/>
        </w:rPr>
        <w:t>Impact of current year acquisitions</w:t>
      </w:r>
      <w:r>
        <w:rPr>
          <w:rFonts w:ascii="Times New Roman" w:cs="Times New Roman" w:eastAsia="Times New Roman" w:hAnsi="Times New Roman"/>
          <w:sz w:val="20"/>
          <w:szCs w:val="20"/>
          <w:color w:val="231F20"/>
        </w:rPr>
        <w:t>—The Company typically acquires communications sites and other communications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infrastructure assets from wireless carriers or other tower operators and subsequently integrates those sites and related assets into its existing portfolio of communications sites and related assets. In the United States, acquisitions may also include data center facilities and related assets. The financial results of the Company’s acquisitions have been included in the Company’s consolidated statements of operations for the year ended December 31, 2025 from the date of the respective acquisition. The date of acquisition, and by extension the point at which the Company begins to recognize the results of an acquisition, may depend on, among other things, the receipt of contractual consents, the commencement and extent of leasing arrangements and the timing of the transfer of title or rights to the assets, which may be accomplished in phases. Communications sites acquired from communications service providers may never have been operated as a business and may instead have been utilized solely by the seller as a component of its network infrastructure. An acquisition may or may not involve the transfer of business operations or employees.</w:t>
      </w:r>
    </w:p>
    <w:p>
      <w:pPr>
        <w:spacing w:after="0" w:line="13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color w:val="231F20"/>
        </w:rPr>
        <w:t>For those acquisitions accounted for as business combinations, the Company recognizes acquisition and merger related expenses in the period in which they are incurred and services are received; for transactions accounted for as asset acquisitions, these costs are capitalized as part of the purchase price. Acquisition, disposition and merger related costs may include finder’s fees, advisory, legal, accounting, valuation and other professional or consulting fees and general administrative costs directly related to completing the transaction. Integration costs include incremental and non-recurring costs necessary to convert data and systems, retain employees and otherwise enable the Company to operate acquired businesses or assets efficiently. The Company records acquisition, disposition and merger related expenses not subject to capitalization, as well as integration costs for all transactions, in Other operating expenses in the consolidated statements of operations.</w:t>
      </w:r>
    </w:p>
    <w:p>
      <w:pPr>
        <w:spacing w:after="0" w:line="116"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color w:val="231F20"/>
        </w:rPr>
        <w:t>During the years ended December 31, 2025, 2024 and 2023, the Company recorded acquisition, disposition and merger related expenses for business combinations, dispositions and non-capitalized asset acquisition costs and integration costs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760" w:type="dxa"/>
            <w:vAlign w:val="bottom"/>
            <w:tcBorders>
              <w:bottom w:val="single" w:sz="8" w:color="231F20"/>
            </w:tcBorders>
          </w:tcPr>
          <w:p>
            <w:pPr>
              <w:spacing w:after="0"/>
              <w:rPr>
                <w:sz w:val="18"/>
                <w:szCs w:val="18"/>
                <w:color w:val="auto"/>
              </w:rPr>
            </w:pPr>
          </w:p>
        </w:tc>
        <w:tc>
          <w:tcPr>
            <w:tcW w:w="1980" w:type="dxa"/>
            <w:vAlign w:val="bottom"/>
            <w:tcBorders>
              <w:bottom w:val="single" w:sz="8" w:color="231F20"/>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00" w:type="dxa"/>
            <w:vAlign w:val="bottom"/>
            <w:tcBorders>
              <w:bottom w:val="single" w:sz="8" w:color="231F20"/>
            </w:tcBorders>
          </w:tcPr>
          <w:p>
            <w:pPr>
              <w:spacing w:after="0"/>
              <w:rPr>
                <w:sz w:val="18"/>
                <w:szCs w:val="18"/>
                <w:color w:val="auto"/>
              </w:rPr>
            </w:pPr>
          </w:p>
        </w:tc>
      </w:tr>
      <w:tr>
        <w:trPr>
          <w:trHeight w:val="274"/>
        </w:trPr>
        <w:tc>
          <w:tcPr>
            <w:tcW w:w="6480" w:type="dxa"/>
            <w:vAlign w:val="bottom"/>
            <w:tcBorders>
              <w:bottom w:val="single" w:sz="8" w:color="E3E4E5"/>
            </w:tcBorders>
          </w:tcPr>
          <w:p>
            <w:pPr>
              <w:spacing w:after="0"/>
              <w:rPr>
                <w:sz w:val="23"/>
                <w:szCs w:val="23"/>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Borders>
              <w:bottom w:val="single" w:sz="8" w:color="231F20"/>
            </w:tcBorders>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Acquisition, disposition and merger related expenses</w:t>
            </w:r>
            <w:r>
              <w:rPr>
                <w:rFonts w:ascii="Times New Roman" w:cs="Times New Roman" w:eastAsia="Times New Roman" w:hAnsi="Times New Roman"/>
                <w:sz w:val="20"/>
                <w:szCs w:val="20"/>
                <w:color w:val="BABCBE"/>
                <w:w w:val="99"/>
              </w:rPr>
              <w:t>............................................</w:t>
            </w:r>
          </w:p>
        </w:tc>
        <w:tc>
          <w:tcPr>
            <w:tcW w:w="760" w:type="dxa"/>
            <w:vAlign w:val="bottom"/>
            <w:shd w:val="clear" w:color="auto" w:fill="E3E4E5"/>
          </w:tcPr>
          <w:p>
            <w:pPr>
              <w:jc w:val="right"/>
              <w:ind w:right="529"/>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36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16.9</w:t>
            </w:r>
          </w:p>
        </w:tc>
      </w:tr>
      <w:tr>
        <w:trPr>
          <w:trHeight w:val="282"/>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Integration costs</w:t>
            </w:r>
            <w:r>
              <w:rPr>
                <w:rFonts w:ascii="Times New Roman" w:cs="Times New Roman" w:eastAsia="Times New Roman" w:hAnsi="Times New Roman"/>
                <w:sz w:val="20"/>
                <w:szCs w:val="20"/>
                <w:color w:val="BABCBE"/>
                <w:w w:val="99"/>
              </w:rPr>
              <w:t>......................................................................................................</w:t>
            </w:r>
          </w:p>
        </w:tc>
        <w:tc>
          <w:tcPr>
            <w:tcW w:w="760" w:type="dxa"/>
            <w:vAlign w:val="bottom"/>
          </w:tcPr>
          <w:p>
            <w:pPr>
              <w:jc w:val="right"/>
              <w:ind w:right="529"/>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-377825</wp:posOffset>
            </wp:positionV>
            <wp:extent cx="227520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08">
                      <a:extLst>
                        <a:ext uri="{28A0092B-C50C-407E-A947-70E740481C1C}"/>
                      </a:extLst>
                    </a:blip>
                    <a:srcRect/>
                    <a:stretch>
                      <a:fillRect/>
                    </a:stretch>
                  </pic:blipFill>
                  <pic:spPr bwMode="auto">
                    <a:xfrm>
                      <a:off x="0" y="0"/>
                      <a:ext cx="2275205" cy="25400"/>
                    </a:xfrm>
                    <a:prstGeom prst="rect">
                      <a:avLst/>
                    </a:prstGeom>
                    <a:noFill/>
                  </pic:spPr>
                </pic:pic>
              </a:graphicData>
            </a:graphic>
          </wp:anchor>
        </w:drawing>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F-23</w:t>
      </w:r>
    </w:p>
    <w:p>
      <w:pPr>
        <w:sectPr>
          <w:pgSz w:w="11880" w:h="15480" w:orient="portrait"/>
          <w:cols w:equalWidth="0" w:num="1">
            <w:col w:w="10040"/>
          </w:cols>
          <w:pgMar w:left="920" w:top="418" w:right="920" w:bottom="0" w:gutter="0" w:footer="0" w:header="0"/>
          <w:type w:val="continuous"/>
        </w:sectPr>
      </w:pPr>
    </w:p>
    <w:bookmarkStart w:id="113" w:name="page114"/>
    <w:bookmarkEnd w:id="113"/>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60"/>
        <w:spacing w:after="0" w:line="273" w:lineRule="auto"/>
        <w:rPr>
          <w:sz w:val="20"/>
          <w:szCs w:val="20"/>
          <w:color w:val="auto"/>
        </w:rPr>
      </w:pPr>
      <w:r>
        <w:rPr>
          <w:rFonts w:ascii="Times New Roman" w:cs="Times New Roman" w:eastAsia="Times New Roman" w:hAnsi="Times New Roman"/>
          <w:sz w:val="20"/>
          <w:szCs w:val="20"/>
          <w:color w:val="231F20"/>
        </w:rPr>
        <w:t>During the years ended December 31, 2025, 2024 and 2023, the Company recorded net benefits of $14.7 million, $23.4 million and $10.3 million related to pre-acquisition contingencies and settlements, respectively.</w:t>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231F20"/>
        </w:rPr>
        <w:t>2025 Transactions</w:t>
      </w:r>
    </w:p>
    <w:p>
      <w:pPr>
        <w:spacing w:after="0" w:line="169" w:lineRule="exact"/>
        <w:rPr>
          <w:sz w:val="20"/>
          <w:szCs w:val="20"/>
          <w:color w:val="auto"/>
        </w:rPr>
      </w:pPr>
    </w:p>
    <w:p>
      <w:pPr>
        <w:jc w:val="both"/>
        <w:ind w:left="7" w:right="360"/>
        <w:spacing w:after="0" w:line="259" w:lineRule="auto"/>
        <w:rPr>
          <w:sz w:val="20"/>
          <w:szCs w:val="20"/>
          <w:color w:val="auto"/>
        </w:rPr>
      </w:pPr>
      <w:r>
        <w:rPr>
          <w:rFonts w:ascii="Times New Roman" w:cs="Times New Roman" w:eastAsia="Times New Roman" w:hAnsi="Times New Roman"/>
          <w:sz w:val="20"/>
          <w:szCs w:val="20"/>
          <w:color w:val="231F20"/>
        </w:rPr>
        <w:t>The estimated aggregate impact of the acquisitions completed in 2025 on the Company’s revenues and gross margin for the year ended December 31, 2025 was not material to the Company’s operating results. Acquisitions completed in 2025 were included in the Company’s U.S. &amp; Canada, Europe and Data Centers property segments.</w:t>
      </w:r>
    </w:p>
    <w:p>
      <w:pPr>
        <w:spacing w:after="0" w:line="116" w:lineRule="exact"/>
        <w:rPr>
          <w:sz w:val="20"/>
          <w:szCs w:val="20"/>
          <w:color w:val="auto"/>
        </w:rPr>
      </w:pPr>
    </w:p>
    <w:p>
      <w:pPr>
        <w:ind w:left="7" w:right="40"/>
        <w:spacing w:after="0" w:line="252" w:lineRule="auto"/>
        <w:rPr>
          <w:sz w:val="20"/>
          <w:szCs w:val="20"/>
          <w:color w:val="auto"/>
        </w:rPr>
      </w:pPr>
      <w:r>
        <w:rPr>
          <w:rFonts w:ascii="Times New Roman" w:cs="Times New Roman" w:eastAsia="Times New Roman" w:hAnsi="Times New Roman"/>
          <w:sz w:val="20"/>
          <w:szCs w:val="20"/>
          <w:i w:val="1"/>
          <w:iCs w:val="1"/>
          <w:color w:val="231F20"/>
        </w:rPr>
        <w:t>Other Acquisitions—</w:t>
      </w:r>
      <w:r>
        <w:rPr>
          <w:rFonts w:ascii="Times New Roman" w:cs="Times New Roman" w:eastAsia="Times New Roman" w:hAnsi="Times New Roman"/>
          <w:sz w:val="20"/>
          <w:szCs w:val="20"/>
          <w:color w:val="231F20"/>
        </w:rPr>
        <w:t>During the year ended December 31, 2025, the Company acquired a total of 312 communications sites, 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well as other communications infrastructure assets, data center facilities and related assets, in the United States, Canada, France and Spain for an aggregate purchase price of $403.6 million. Of the aggregate purchase price, $24.1 million, is reflected as a payable in the consolidated balance sheet as of December 31, 2025, which includes accrued contingent consideration and the CoreSite DE1 Note (as defined in note 8). These acquisitions were accounted for as asset acquisitions.</w:t>
      </w:r>
    </w:p>
    <w:p>
      <w:pPr>
        <w:spacing w:after="0" w:line="127" w:lineRule="exact"/>
        <w:rPr>
          <w:sz w:val="20"/>
          <w:szCs w:val="20"/>
          <w:color w:val="auto"/>
        </w:rPr>
      </w:pPr>
    </w:p>
    <w:p>
      <w:pPr>
        <w:ind w:left="7" w:right="380"/>
        <w:spacing w:after="0" w:line="273" w:lineRule="auto"/>
        <w:rPr>
          <w:sz w:val="20"/>
          <w:szCs w:val="20"/>
          <w:color w:val="auto"/>
        </w:rPr>
      </w:pPr>
      <w:r>
        <w:rPr>
          <w:rFonts w:ascii="Times New Roman" w:cs="Times New Roman" w:eastAsia="Times New Roman" w:hAnsi="Times New Roman"/>
          <w:sz w:val="20"/>
          <w:szCs w:val="20"/>
          <w:color w:val="231F20"/>
        </w:rPr>
        <w:t>The following table summarizes the allocations of the purchase prices for the fiscal year 2025 acquisitions based upon their estimated fair value at the date of acquisition:</w:t>
      </w:r>
    </w:p>
    <w:p>
      <w:pPr>
        <w:spacing w:after="0" w:line="19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8540" w:type="dxa"/>
            <w:vAlign w:val="bottom"/>
            <w:tcBorders>
              <w:bottom w:val="single" w:sz="8" w:color="E3E4E5"/>
            </w:tcBorders>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116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Other</w:t>
            </w:r>
          </w:p>
        </w:tc>
      </w:tr>
      <w:tr>
        <w:trPr>
          <w:trHeight w:val="284"/>
        </w:trPr>
        <w:tc>
          <w:tcPr>
            <w:tcW w:w="854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7"/>
              </w:rPr>
              <w:t xml:space="preserve">Current assets </w:t>
            </w:r>
            <w:r>
              <w:rPr>
                <w:rFonts w:ascii="Times New Roman" w:cs="Times New Roman" w:eastAsia="Times New Roman" w:hAnsi="Times New Roman"/>
                <w:sz w:val="20"/>
                <w:szCs w:val="20"/>
                <w:color w:val="BABCBE"/>
                <w:w w:val="97"/>
              </w:rPr>
              <w:t>....................................................................................................................................................</w:t>
            </w:r>
          </w:p>
        </w:tc>
        <w:tc>
          <w:tcPr>
            <w:tcW w:w="340" w:type="dxa"/>
            <w:vAlign w:val="bottom"/>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w:t>
            </w:r>
          </w:p>
        </w:tc>
      </w:tr>
      <w:tr>
        <w:trPr>
          <w:trHeight w:val="288"/>
        </w:trPr>
        <w:tc>
          <w:tcPr>
            <w:tcW w:w="8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w w:val="97"/>
              </w:rPr>
              <w:t xml:space="preserve">Property and equipment </w:t>
            </w:r>
            <w:r>
              <w:rPr>
                <w:rFonts w:ascii="Times New Roman" w:cs="Times New Roman" w:eastAsia="Times New Roman" w:hAnsi="Times New Roman"/>
                <w:sz w:val="20"/>
                <w:szCs w:val="20"/>
                <w:color w:val="BABCBE"/>
                <w:w w:val="97"/>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251.2</w:t>
            </w:r>
          </w:p>
        </w:tc>
      </w:tr>
      <w:tr>
        <w:trPr>
          <w:trHeight w:val="300"/>
        </w:trPr>
        <w:tc>
          <w:tcPr>
            <w:tcW w:w="8540" w:type="dxa"/>
            <w:vAlign w:val="bottom"/>
            <w:shd w:val="clear" w:color="auto" w:fill="E3E4E5"/>
          </w:tcPr>
          <w:p>
            <w:pPr>
              <w:jc w:val="right"/>
              <w:ind w:right="6762"/>
              <w:spacing w:after="0"/>
              <w:rPr>
                <w:sz w:val="20"/>
                <w:szCs w:val="20"/>
                <w:color w:val="auto"/>
              </w:rPr>
            </w:pPr>
            <w:r>
              <w:rPr>
                <w:rFonts w:ascii="Times New Roman" w:cs="Times New Roman" w:eastAsia="Times New Roman" w:hAnsi="Times New Roman"/>
                <w:sz w:val="20"/>
                <w:szCs w:val="20"/>
                <w:color w:val="231F20"/>
                <w:w w:val="99"/>
              </w:rPr>
              <w:t>Intangible assets (1):</w:t>
            </w:r>
          </w:p>
        </w:tc>
        <w:tc>
          <w:tcPr>
            <w:tcW w:w="340" w:type="dxa"/>
            <w:vAlign w:val="bottom"/>
            <w:shd w:val="clear" w:color="auto" w:fill="E3E4E5"/>
          </w:tcPr>
          <w:p>
            <w:pPr>
              <w:spacing w:after="0"/>
              <w:rPr>
                <w:sz w:val="24"/>
                <w:szCs w:val="24"/>
                <w:color w:val="auto"/>
              </w:rPr>
            </w:pPr>
          </w:p>
        </w:tc>
        <w:tc>
          <w:tcPr>
            <w:tcW w:w="1160" w:type="dxa"/>
            <w:vAlign w:val="bottom"/>
            <w:shd w:val="clear" w:color="auto" w:fill="E3E4E5"/>
          </w:tcPr>
          <w:p>
            <w:pPr>
              <w:spacing w:after="0"/>
              <w:rPr>
                <w:sz w:val="24"/>
                <w:szCs w:val="24"/>
                <w:color w:val="auto"/>
              </w:rPr>
            </w:pPr>
          </w:p>
        </w:tc>
      </w:tr>
      <w:tr>
        <w:trPr>
          <w:trHeight w:val="288"/>
        </w:trPr>
        <w:tc>
          <w:tcPr>
            <w:tcW w:w="8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Tenant-related intangible assets</w:t>
            </w:r>
            <w:r>
              <w:rPr>
                <w:rFonts w:ascii="Times New Roman" w:cs="Times New Roman" w:eastAsia="Times New Roman" w:hAnsi="Times New Roman"/>
                <w:sz w:val="20"/>
                <w:szCs w:val="20"/>
                <w:color w:val="BABCBE"/>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77.2</w:t>
            </w:r>
          </w:p>
        </w:tc>
      </w:tr>
      <w:tr>
        <w:trPr>
          <w:trHeight w:val="300"/>
        </w:trPr>
        <w:tc>
          <w:tcPr>
            <w:tcW w:w="854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 xml:space="preserve">Network location intangible assets </w:t>
            </w:r>
            <w:r>
              <w:rPr>
                <w:rFonts w:ascii="Times New Roman" w:cs="Times New Roman" w:eastAsia="Times New Roman" w:hAnsi="Times New Roman"/>
                <w:sz w:val="20"/>
                <w:szCs w:val="20"/>
                <w:color w:val="BABCBE"/>
              </w:rPr>
              <w:t>..............................................................................................................</w:t>
            </w:r>
          </w:p>
        </w:tc>
        <w:tc>
          <w:tcPr>
            <w:tcW w:w="34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51.8</w:t>
            </w:r>
          </w:p>
        </w:tc>
      </w:tr>
      <w:tr>
        <w:trPr>
          <w:trHeight w:val="288"/>
        </w:trPr>
        <w:tc>
          <w:tcPr>
            <w:tcW w:w="8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 xml:space="preserve">Other intangible assets </w:t>
            </w:r>
            <w:r>
              <w:rPr>
                <w:rFonts w:ascii="Times New Roman" w:cs="Times New Roman" w:eastAsia="Times New Roman" w:hAnsi="Times New Roman"/>
                <w:sz w:val="20"/>
                <w:szCs w:val="20"/>
                <w:color w:val="BABCBE"/>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r>
      <w:tr>
        <w:trPr>
          <w:trHeight w:val="300"/>
        </w:trPr>
        <w:tc>
          <w:tcPr>
            <w:tcW w:w="854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8"/>
              </w:rPr>
              <w:t xml:space="preserve">Other non-current assets </w:t>
            </w:r>
            <w:r>
              <w:rPr>
                <w:rFonts w:ascii="Times New Roman" w:cs="Times New Roman" w:eastAsia="Times New Roman" w:hAnsi="Times New Roman"/>
                <w:sz w:val="20"/>
                <w:szCs w:val="20"/>
                <w:color w:val="BABCBE"/>
                <w:w w:val="98"/>
              </w:rPr>
              <w:t>...................................................................................................................................</w:t>
            </w:r>
          </w:p>
        </w:tc>
        <w:tc>
          <w:tcPr>
            <w:tcW w:w="340" w:type="dxa"/>
            <w:vAlign w:val="bottom"/>
            <w:shd w:val="clear" w:color="auto" w:fill="E3E4E5"/>
          </w:tcPr>
          <w:p>
            <w:pPr>
              <w:spacing w:after="0"/>
              <w:rPr>
                <w:sz w:val="24"/>
                <w:szCs w:val="24"/>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33.2</w:t>
            </w:r>
          </w:p>
        </w:tc>
      </w:tr>
      <w:tr>
        <w:trPr>
          <w:trHeight w:val="288"/>
        </w:trPr>
        <w:tc>
          <w:tcPr>
            <w:tcW w:w="8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w w:val="98"/>
              </w:rPr>
              <w:t xml:space="preserve">Current liabilities </w:t>
            </w:r>
            <w:r>
              <w:rPr>
                <w:rFonts w:ascii="Times New Roman" w:cs="Times New Roman" w:eastAsia="Times New Roman" w:hAnsi="Times New Roman"/>
                <w:sz w:val="20"/>
                <w:szCs w:val="20"/>
                <w:color w:val="BABCBE"/>
                <w:w w:val="98"/>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r>
      <w:tr>
        <w:trPr>
          <w:trHeight w:val="290"/>
        </w:trPr>
        <w:tc>
          <w:tcPr>
            <w:tcW w:w="854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8"/>
              </w:rPr>
              <w:t>Other non-current liabilities</w:t>
            </w:r>
            <w:r>
              <w:rPr>
                <w:rFonts w:ascii="Times New Roman" w:cs="Times New Roman" w:eastAsia="Times New Roman" w:hAnsi="Times New Roman"/>
                <w:sz w:val="20"/>
                <w:szCs w:val="20"/>
                <w:color w:val="BABCBE"/>
                <w:w w:val="98"/>
              </w:rPr>
              <w:t>..............................................................................................................................</w:t>
            </w:r>
          </w:p>
        </w:tc>
        <w:tc>
          <w:tcPr>
            <w:tcW w:w="340" w:type="dxa"/>
            <w:vAlign w:val="bottom"/>
            <w:tcBorders>
              <w:bottom w:val="single" w:sz="8" w:color="231F20"/>
            </w:tcBorders>
            <w:shd w:val="clear" w:color="auto" w:fill="E3E4E5"/>
          </w:tcPr>
          <w:p>
            <w:pPr>
              <w:spacing w:after="0"/>
              <w:rPr>
                <w:sz w:val="24"/>
                <w:szCs w:val="24"/>
                <w:color w:val="auto"/>
              </w:rPr>
            </w:pP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(26.4)</w:t>
            </w:r>
          </w:p>
        </w:tc>
      </w:tr>
      <w:tr>
        <w:trPr>
          <w:trHeight w:val="274"/>
        </w:trPr>
        <w:tc>
          <w:tcPr>
            <w:tcW w:w="8540" w:type="dxa"/>
            <w:vAlign w:val="bottom"/>
            <w:tcBorders>
              <w:bottom w:val="single" w:sz="8" w:color="E3E4E5"/>
            </w:tcBorders>
          </w:tcPr>
          <w:p>
            <w:pPr>
              <w:jc w:val="right"/>
              <w:ind w:right="22"/>
              <w:spacing w:after="0"/>
              <w:rPr>
                <w:sz w:val="20"/>
                <w:szCs w:val="20"/>
                <w:color w:val="auto"/>
              </w:rPr>
            </w:pPr>
            <w:r>
              <w:rPr>
                <w:rFonts w:ascii="Times New Roman" w:cs="Times New Roman" w:eastAsia="Times New Roman" w:hAnsi="Times New Roman"/>
                <w:sz w:val="20"/>
                <w:szCs w:val="20"/>
                <w:color w:val="231F20"/>
                <w:w w:val="98"/>
              </w:rPr>
              <w:t>Net assets acquired</w:t>
            </w:r>
            <w:r>
              <w:rPr>
                <w:rFonts w:ascii="Times New Roman" w:cs="Times New Roman" w:eastAsia="Times New Roman" w:hAnsi="Times New Roman"/>
                <w:sz w:val="20"/>
                <w:szCs w:val="20"/>
                <w:color w:val="BABCBE"/>
                <w:w w:val="98"/>
              </w:rPr>
              <w:t>............................................................................................................................................</w:t>
            </w:r>
          </w:p>
        </w:tc>
        <w:tc>
          <w:tcPr>
            <w:tcW w:w="34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403.6</w:t>
            </w:r>
          </w:p>
        </w:tc>
      </w:tr>
      <w:tr>
        <w:trPr>
          <w:trHeight w:val="294"/>
        </w:trPr>
        <w:tc>
          <w:tcPr>
            <w:tcW w:w="8540" w:type="dxa"/>
            <w:vAlign w:val="bottom"/>
            <w:tcBorders>
              <w:bottom w:val="single" w:sz="8" w:color="E3E4E5"/>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w w:val="97"/>
              </w:rPr>
              <w:t xml:space="preserve">Purchase price </w:t>
            </w:r>
            <w:r>
              <w:rPr>
                <w:rFonts w:ascii="Times New Roman" w:cs="Times New Roman" w:eastAsia="Times New Roman" w:hAnsi="Times New Roman"/>
                <w:sz w:val="20"/>
                <w:szCs w:val="20"/>
                <w:color w:val="BABCBE"/>
                <w:w w:val="97"/>
              </w:rPr>
              <w:t>...................................................................................................................................................</w:t>
            </w:r>
          </w:p>
        </w:tc>
        <w:tc>
          <w:tcPr>
            <w:tcW w:w="340" w:type="dxa"/>
            <w:vAlign w:val="bottom"/>
            <w:tcBorders>
              <w:bottom w:val="single" w:sz="8" w:color="231F20"/>
            </w:tcBorders>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5410835</wp:posOffset>
            </wp:positionH>
            <wp:positionV relativeFrom="paragraph">
              <wp:posOffset>-2084070</wp:posOffset>
            </wp:positionV>
            <wp:extent cx="98679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09">
                      <a:extLst>
                        <a:ext uri="{28A0092B-C50C-407E-A947-70E740481C1C}"/>
                      </a:extLst>
                    </a:blip>
                    <a:srcRect/>
                    <a:stretch>
                      <a:fillRect/>
                    </a:stretch>
                  </pic:blipFill>
                  <pic:spPr bwMode="auto">
                    <a:xfrm>
                      <a:off x="0" y="0"/>
                      <a:ext cx="986790" cy="2540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-403860</wp:posOffset>
            </wp:positionV>
            <wp:extent cx="98679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10">
                      <a:extLst>
                        <a:ext uri="{28A0092B-C50C-407E-A947-70E740481C1C}"/>
                      </a:extLst>
                    </a:blip>
                    <a:srcRect/>
                    <a:stretch>
                      <a:fillRect/>
                    </a:stretch>
                  </pic:blipFill>
                  <pic:spPr bwMode="auto">
                    <a:xfrm>
                      <a:off x="0" y="0"/>
                      <a:ext cx="986790" cy="2540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-217170</wp:posOffset>
            </wp:positionV>
            <wp:extent cx="98679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11">
                      <a:extLst>
                        <a:ext uri="{28A0092B-C50C-407E-A947-70E740481C1C}"/>
                      </a:extLst>
                    </a:blip>
                    <a:srcRect/>
                    <a:stretch>
                      <a:fillRect/>
                    </a:stretch>
                  </pic:blipFill>
                  <pic:spPr bwMode="auto">
                    <a:xfrm>
                      <a:off x="0" y="0"/>
                      <a:ext cx="986790" cy="2540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-43180</wp:posOffset>
            </wp:positionV>
            <wp:extent cx="986790" cy="501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12">
                      <a:extLst>
                        <a:ext uri="{28A0092B-C50C-407E-A947-70E740481C1C}"/>
                      </a:extLst>
                    </a:blip>
                    <a:srcRect/>
                    <a:stretch>
                      <a:fillRect/>
                    </a:stretch>
                  </pic:blipFill>
                  <pic:spPr bwMode="auto">
                    <a:xfrm>
                      <a:off x="0" y="0"/>
                      <a:ext cx="986790"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w:t>
      </w:r>
    </w:p>
    <w:p>
      <w:pPr>
        <w:spacing w:after="0" w:line="7" w:lineRule="exact"/>
        <w:rPr>
          <w:sz w:val="20"/>
          <w:szCs w:val="20"/>
          <w:color w:val="auto"/>
        </w:rPr>
      </w:pPr>
    </w:p>
    <w:p>
      <w:pPr>
        <w:ind w:left="347" w:hanging="347"/>
        <w:spacing w:after="0"/>
        <w:tabs>
          <w:tab w:leader="none" w:pos="347" w:val="left"/>
        </w:tabs>
        <w:numPr>
          <w:ilvl w:val="0"/>
          <w:numId w:val="91"/>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Tenant-related intangible assets and network location intangible assets are amortized on a straight-line basis over the estimated useful lives of the assets.</w:t>
      </w:r>
    </w:p>
    <w:p>
      <w:pPr>
        <w:spacing w:after="0" w:line="221" w:lineRule="exact"/>
        <w:rPr>
          <w:sz w:val="20"/>
          <w:szCs w:val="20"/>
          <w:color w:val="auto"/>
        </w:rPr>
      </w:pPr>
    </w:p>
    <w:p>
      <w:pPr>
        <w:ind w:left="7" w:right="100"/>
        <w:spacing w:after="0" w:line="273" w:lineRule="auto"/>
        <w:rPr>
          <w:sz w:val="20"/>
          <w:szCs w:val="20"/>
          <w:color w:val="auto"/>
        </w:rPr>
      </w:pPr>
      <w:r>
        <w:rPr>
          <w:rFonts w:ascii="Times New Roman" w:cs="Times New Roman" w:eastAsia="Times New Roman" w:hAnsi="Times New Roman"/>
          <w:sz w:val="20"/>
          <w:szCs w:val="20"/>
          <w:color w:val="231F20"/>
        </w:rPr>
        <w:t>In addition to the acquisitions discussed above, during the year ended December 31, 2025, the Company purchased 104 towers in connection with the AT&amp;T transaction described in note 17 for an aggregate purchase price of $82.0 million.</w:t>
      </w:r>
    </w:p>
    <w:p>
      <w:pPr>
        <w:spacing w:after="0" w:line="104" w:lineRule="exact"/>
        <w:rPr>
          <w:sz w:val="20"/>
          <w:szCs w:val="20"/>
          <w:color w:val="auto"/>
        </w:rPr>
      </w:pPr>
    </w:p>
    <w:p>
      <w:pPr>
        <w:ind w:left="7" w:right="100"/>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2025, the Company made 91.7 million EUR (approximately $107.2 million) of deferred payments, including post-closing adjustments, associated with the Company’s acquisition of the European and Latin American tower divisions from Telxius Telecom, S.A. in 2021 (the “Telxius Acquisition”), which is included in Deferred financing costs and other financing activities in the cash flows from financing activities in the Company’s consolidated statements of cash flows.</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F-24</w:t>
      </w:r>
    </w:p>
    <w:p>
      <w:pPr>
        <w:sectPr>
          <w:pgSz w:w="11880" w:h="15480" w:orient="portrait"/>
          <w:cols w:equalWidth="0" w:num="1">
            <w:col w:w="10047"/>
          </w:cols>
          <w:pgMar w:left="913" w:top="418" w:right="920" w:bottom="0" w:gutter="0" w:footer="0" w:header="0"/>
          <w:type w:val="continuous"/>
        </w:sectPr>
      </w:pPr>
    </w:p>
    <w:bookmarkStart w:id="114" w:name="page115"/>
    <w:bookmarkEnd w:id="114"/>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75"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20"/>
          <w:szCs w:val="20"/>
          <w:b w:val="1"/>
          <w:bCs w:val="1"/>
          <w:color w:val="231F20"/>
        </w:rPr>
        <w:t>7.</w:t>
      </w:r>
      <w:r>
        <w:rPr>
          <w:sz w:val="20"/>
          <w:szCs w:val="20"/>
          <w:color w:val="auto"/>
        </w:rPr>
        <w:tab/>
      </w:r>
      <w:r>
        <w:rPr>
          <w:rFonts w:ascii="Times New Roman" w:cs="Times New Roman" w:eastAsia="Times New Roman" w:hAnsi="Times New Roman"/>
          <w:sz w:val="19"/>
          <w:szCs w:val="19"/>
          <w:b w:val="1"/>
          <w:bCs w:val="1"/>
          <w:color w:val="231F20"/>
        </w:rPr>
        <w:t>ACCRUED EXPENSES</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Accrued expenses consisted of the following:</w:t>
      </w:r>
    </w:p>
    <w:p>
      <w:pPr>
        <w:spacing w:after="0" w:line="78"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640" w:type="dxa"/>
            <w:vAlign w:val="bottom"/>
            <w:tcBorders>
              <w:bottom w:val="single" w:sz="8" w:color="231F20"/>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1420" w:type="dxa"/>
            <w:vAlign w:val="bottom"/>
            <w:tcBorders>
              <w:bottom w:val="single" w:sz="8" w:color="231F20"/>
            </w:tcBorders>
          </w:tcPr>
          <w:p>
            <w:pPr>
              <w:spacing w:after="0"/>
              <w:rPr>
                <w:sz w:val="18"/>
                <w:szCs w:val="18"/>
                <w:color w:val="auto"/>
              </w:rPr>
            </w:pPr>
          </w:p>
        </w:tc>
      </w:tr>
      <w:tr>
        <w:trPr>
          <w:trHeight w:val="215"/>
        </w:trPr>
        <w:tc>
          <w:tcPr>
            <w:tcW w:w="682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231F20"/>
                <w:w w:val="95"/>
              </w:rPr>
              <w:t>December 31, 2025</w:t>
            </w:r>
          </w:p>
        </w:tc>
        <w:tc>
          <w:tcPr>
            <w:tcW w:w="8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w w:val="97"/>
              </w:rPr>
              <w:t>December 31, 2024</w:t>
            </w:r>
          </w:p>
        </w:tc>
      </w:tr>
      <w:tr>
        <w:trPr>
          <w:trHeight w:val="270"/>
        </w:trPr>
        <w:tc>
          <w:tcPr>
            <w:tcW w:w="68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Accrued construction costs</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195.6</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166.7</w:t>
            </w:r>
          </w:p>
        </w:tc>
      </w:tr>
      <w:tr>
        <w:trPr>
          <w:trHeight w:val="274"/>
        </w:trPr>
        <w:tc>
          <w:tcPr>
            <w:tcW w:w="68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Accrued income tax payable</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r>
      <w:tr>
        <w:trPr>
          <w:trHeight w:val="285"/>
        </w:trPr>
        <w:tc>
          <w:tcPr>
            <w:tcW w:w="68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Accrued pass-through costs</w:t>
            </w:r>
          </w:p>
        </w:tc>
        <w:tc>
          <w:tcPr>
            <w:tcW w:w="160" w:type="dxa"/>
            <w:vAlign w:val="bottom"/>
            <w:shd w:val="clear" w:color="auto" w:fill="E3E4E5"/>
          </w:tcPr>
          <w:p>
            <w:pPr>
              <w:spacing w:after="0"/>
              <w:rPr>
                <w:sz w:val="24"/>
                <w:szCs w:val="24"/>
                <w:color w:val="auto"/>
              </w:rPr>
            </w:pP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65.6</w:t>
            </w:r>
          </w:p>
        </w:tc>
        <w:tc>
          <w:tcPr>
            <w:tcW w:w="8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56.8</w:t>
            </w:r>
          </w:p>
        </w:tc>
      </w:tr>
      <w:tr>
        <w:trPr>
          <w:trHeight w:val="274"/>
        </w:trPr>
        <w:tc>
          <w:tcPr>
            <w:tcW w:w="68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Amounts payable for acquisitions (1)</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106.4</w:t>
            </w:r>
          </w:p>
        </w:tc>
      </w:tr>
      <w:tr>
        <w:trPr>
          <w:trHeight w:val="284"/>
        </w:trPr>
        <w:tc>
          <w:tcPr>
            <w:tcW w:w="68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Amounts payable to tenants</w:t>
            </w:r>
          </w:p>
        </w:tc>
        <w:tc>
          <w:tcPr>
            <w:tcW w:w="160" w:type="dxa"/>
            <w:vAlign w:val="bottom"/>
            <w:shd w:val="clear" w:color="auto" w:fill="E3E4E5"/>
          </w:tcPr>
          <w:p>
            <w:pPr>
              <w:spacing w:after="0"/>
              <w:rPr>
                <w:sz w:val="24"/>
                <w:szCs w:val="24"/>
                <w:color w:val="auto"/>
              </w:rPr>
            </w:pP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70.9</w:t>
            </w:r>
          </w:p>
        </w:tc>
        <w:tc>
          <w:tcPr>
            <w:tcW w:w="8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74.7</w:t>
            </w:r>
          </w:p>
        </w:tc>
      </w:tr>
      <w:tr>
        <w:trPr>
          <w:trHeight w:val="274"/>
        </w:trPr>
        <w:tc>
          <w:tcPr>
            <w:tcW w:w="68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Accrued property and real estate taxes</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199.3</w:t>
            </w:r>
          </w:p>
        </w:tc>
      </w:tr>
      <w:tr>
        <w:trPr>
          <w:trHeight w:val="284"/>
        </w:trPr>
        <w:tc>
          <w:tcPr>
            <w:tcW w:w="68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Accrued rent</w:t>
            </w:r>
          </w:p>
        </w:tc>
        <w:tc>
          <w:tcPr>
            <w:tcW w:w="160" w:type="dxa"/>
            <w:vAlign w:val="bottom"/>
            <w:shd w:val="clear" w:color="auto" w:fill="E3E4E5"/>
          </w:tcPr>
          <w:p>
            <w:pPr>
              <w:spacing w:after="0"/>
              <w:rPr>
                <w:sz w:val="24"/>
                <w:szCs w:val="24"/>
                <w:color w:val="auto"/>
              </w:rPr>
            </w:pP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52.0</w:t>
            </w:r>
          </w:p>
        </w:tc>
        <w:tc>
          <w:tcPr>
            <w:tcW w:w="80" w:type="dxa"/>
            <w:vAlign w:val="bottom"/>
            <w:shd w:val="clear" w:color="auto" w:fill="E3E4E5"/>
          </w:tcPr>
          <w:p>
            <w:pPr>
              <w:spacing w:after="0"/>
              <w:rPr>
                <w:sz w:val="24"/>
                <w:szCs w:val="24"/>
                <w:color w:val="auto"/>
              </w:rPr>
            </w:pPr>
          </w:p>
        </w:tc>
        <w:tc>
          <w:tcPr>
            <w:tcW w:w="140" w:type="dxa"/>
            <w:vAlign w:val="bottom"/>
            <w:shd w:val="clear" w:color="auto" w:fill="E3E4E5"/>
          </w:tcPr>
          <w:p>
            <w:pPr>
              <w:spacing w:after="0"/>
              <w:rPr>
                <w:sz w:val="24"/>
                <w:szCs w:val="24"/>
                <w:color w:val="auto"/>
              </w:rPr>
            </w:pP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54.7</w:t>
            </w:r>
          </w:p>
        </w:tc>
      </w:tr>
      <w:tr>
        <w:trPr>
          <w:trHeight w:val="274"/>
        </w:trPr>
        <w:tc>
          <w:tcPr>
            <w:tcW w:w="68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Payroll and related withholdings</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129.6</w:t>
            </w:r>
          </w:p>
        </w:tc>
      </w:tr>
      <w:tr>
        <w:trPr>
          <w:trHeight w:val="295"/>
        </w:trPr>
        <w:tc>
          <w:tcPr>
            <w:tcW w:w="682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Other accrued expenses</w:t>
            </w:r>
          </w:p>
        </w:tc>
        <w:tc>
          <w:tcPr>
            <w:tcW w:w="160" w:type="dxa"/>
            <w:vAlign w:val="bottom"/>
            <w:tcBorders>
              <w:bottom w:val="single" w:sz="8" w:color="231F20"/>
            </w:tcBorders>
            <w:shd w:val="clear" w:color="auto" w:fill="E3E4E5"/>
          </w:tcPr>
          <w:p>
            <w:pPr>
              <w:spacing w:after="0"/>
              <w:rPr>
                <w:sz w:val="24"/>
                <w:szCs w:val="24"/>
                <w:color w:val="auto"/>
              </w:rPr>
            </w:pPr>
          </w:p>
        </w:tc>
        <w:tc>
          <w:tcPr>
            <w:tcW w:w="14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279.3</w:t>
            </w:r>
          </w:p>
        </w:tc>
        <w:tc>
          <w:tcPr>
            <w:tcW w:w="80" w:type="dxa"/>
            <w:vAlign w:val="bottom"/>
            <w:tcBorders>
              <w:bottom w:val="single" w:sz="8" w:color="231F20"/>
            </w:tcBorders>
            <w:shd w:val="clear" w:color="auto" w:fill="E3E4E5"/>
          </w:tcPr>
          <w:p>
            <w:pPr>
              <w:spacing w:after="0"/>
              <w:rPr>
                <w:sz w:val="24"/>
                <w:szCs w:val="24"/>
                <w:color w:val="auto"/>
              </w:rPr>
            </w:pPr>
          </w:p>
        </w:tc>
        <w:tc>
          <w:tcPr>
            <w:tcW w:w="140" w:type="dxa"/>
            <w:vAlign w:val="bottom"/>
            <w:tcBorders>
              <w:bottom w:val="single" w:sz="8" w:color="231F20"/>
            </w:tcBorders>
            <w:shd w:val="clear" w:color="auto" w:fill="E3E4E5"/>
          </w:tcPr>
          <w:p>
            <w:pPr>
              <w:spacing w:after="0"/>
              <w:rPr>
                <w:sz w:val="24"/>
                <w:szCs w:val="24"/>
                <w:color w:val="auto"/>
              </w:rPr>
            </w:pPr>
          </w:p>
        </w:tc>
        <w:tc>
          <w:tcPr>
            <w:tcW w:w="14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273.2</w:t>
            </w:r>
          </w:p>
        </w:tc>
      </w:tr>
      <w:tr>
        <w:trPr>
          <w:trHeight w:val="220"/>
        </w:trPr>
        <w:tc>
          <w:tcPr>
            <w:tcW w:w="682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231F20"/>
                <w:w w:val="98"/>
              </w:rPr>
              <w:t>Accrued expenses</w:t>
            </w:r>
            <w:r>
              <w:rPr>
                <w:rFonts w:ascii="Times New Roman" w:cs="Times New Roman" w:eastAsia="Times New Roman" w:hAnsi="Times New Roman"/>
                <w:sz w:val="20"/>
                <w:szCs w:val="20"/>
                <w:color w:val="BABCBE"/>
                <w:w w:val="98"/>
              </w:rPr>
              <w:t>............................................................................................................</w:t>
            </w:r>
          </w:p>
        </w:tc>
        <w:tc>
          <w:tcPr>
            <w:tcW w:w="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1,112.5</w:t>
            </w:r>
          </w:p>
        </w:tc>
        <w:tc>
          <w:tcPr>
            <w:tcW w:w="2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1,082.0</w:t>
            </w:r>
          </w:p>
        </w:tc>
      </w:tr>
      <w:tr>
        <w:trPr>
          <w:trHeight w:val="20"/>
        </w:trPr>
        <w:tc>
          <w:tcPr>
            <w:tcW w:w="68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4328160</wp:posOffset>
            </wp:positionH>
            <wp:positionV relativeFrom="paragraph">
              <wp:posOffset>-1804035</wp:posOffset>
            </wp:positionV>
            <wp:extent cx="206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3">
                      <a:extLst>
                        <a:ext uri="{28A0092B-C50C-407E-A947-70E740481C1C}"/>
                      </a:extLst>
                    </a:blip>
                    <a:srcRect/>
                    <a:stretch>
                      <a:fillRect/>
                    </a:stretch>
                  </pic:blipFill>
                  <pic:spPr bwMode="auto">
                    <a:xfrm>
                      <a:off x="0" y="0"/>
                      <a:ext cx="2069465" cy="25400"/>
                    </a:xfrm>
                    <a:prstGeom prst="rect">
                      <a:avLst/>
                    </a:prstGeom>
                    <a:noFill/>
                  </pic:spPr>
                </pic:pic>
              </a:graphicData>
            </a:graphic>
          </wp:anchor>
        </w:drawing>
        <w:drawing>
          <wp:anchor simplePos="0" relativeHeight="251657728" behindDoc="1" locked="0" layoutInCell="0" allowOverlap="1">
            <wp:simplePos x="0" y="0"/>
            <wp:positionH relativeFrom="column">
              <wp:posOffset>4328160</wp:posOffset>
            </wp:positionH>
            <wp:positionV relativeFrom="paragraph">
              <wp:posOffset>-208280</wp:posOffset>
            </wp:positionV>
            <wp:extent cx="206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4">
                      <a:extLst>
                        <a:ext uri="{28A0092B-C50C-407E-A947-70E740481C1C}"/>
                      </a:extLst>
                    </a:blip>
                    <a:srcRect/>
                    <a:stretch>
                      <a:fillRect/>
                    </a:stretch>
                  </pic:blipFill>
                  <pic:spPr bwMode="auto">
                    <a:xfrm>
                      <a:off x="0" y="0"/>
                      <a:ext cx="2069465" cy="2540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right="180" w:hanging="347"/>
        <w:spacing w:after="0" w:line="250" w:lineRule="auto"/>
        <w:tabs>
          <w:tab w:leader="none" w:pos="347" w:val="left"/>
        </w:tabs>
        <w:numPr>
          <w:ilvl w:val="0"/>
          <w:numId w:val="9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of December 31, 2025 and December 31, 2024 includes $106.9 million and $94.9 million of deferred payments, respectively, including post-closing adjustments, associated with the Telxius Acquisition due in 2026 and 2025, respectively.</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F-25</w:t>
      </w:r>
    </w:p>
    <w:p>
      <w:pPr>
        <w:sectPr>
          <w:pgSz w:w="11880" w:h="15480" w:orient="portrait"/>
          <w:cols w:equalWidth="0" w:num="1">
            <w:col w:w="10047"/>
          </w:cols>
          <w:pgMar w:left="913" w:top="418" w:right="92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7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231F20"/>
        </w:rPr>
        <w:t>8.</w:t>
      </w:r>
      <w:r>
        <w:rPr>
          <w:sz w:val="20"/>
          <w:szCs w:val="20"/>
          <w:color w:val="auto"/>
        </w:rPr>
        <w:tab/>
      </w:r>
      <w:r>
        <w:rPr>
          <w:rFonts w:ascii="Times New Roman" w:cs="Times New Roman" w:eastAsia="Times New Roman" w:hAnsi="Times New Roman"/>
          <w:sz w:val="19"/>
          <w:szCs w:val="19"/>
          <w:b w:val="1"/>
          <w:bCs w:val="1"/>
          <w:color w:val="231F20"/>
        </w:rPr>
        <w:t>LONG-TERM OBLIGATIONS</w:t>
      </w:r>
    </w:p>
    <w:p>
      <w:pPr>
        <w:spacing w:after="0" w:line="208"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20"/>
          <w:szCs w:val="20"/>
          <w:color w:val="231F20"/>
        </w:rPr>
        <w:t>Outstanding amounts under the Company’s long-term obligations, reflecting discounts, premiums and debt issuance costs,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460" w:type="dxa"/>
            <w:vAlign w:val="bottom"/>
            <w:tcBorders>
              <w:bottom w:val="single" w:sz="8" w:color="231F20"/>
            </w:tcBorders>
          </w:tcPr>
          <w:p>
            <w:pPr>
              <w:spacing w:after="0"/>
              <w:rPr>
                <w:sz w:val="18"/>
                <w:szCs w:val="18"/>
                <w:color w:val="auto"/>
              </w:rPr>
            </w:pPr>
          </w:p>
        </w:tc>
        <w:tc>
          <w:tcPr>
            <w:tcW w:w="1500" w:type="dxa"/>
            <w:vAlign w:val="bottom"/>
            <w:tcBorders>
              <w:bottom w:val="single" w:sz="8" w:color="231F20"/>
            </w:tcBorders>
            <w:gridSpan w:val="3"/>
          </w:tcPr>
          <w:p>
            <w:pPr>
              <w:jc w:val="right"/>
              <w:ind w:right="257"/>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92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5"/>
        </w:trPr>
        <w:tc>
          <w:tcPr>
            <w:tcW w:w="3220" w:type="dxa"/>
            <w:vAlign w:val="bottom"/>
            <w:tcBorders>
              <w:bottom w:val="single" w:sz="8" w:color="E3E4E5"/>
            </w:tcBorders>
          </w:tcPr>
          <w:p>
            <w:pPr>
              <w:spacing w:after="0"/>
              <w:rPr>
                <w:sz w:val="18"/>
                <w:szCs w:val="18"/>
                <w:color w:val="auto"/>
              </w:rPr>
            </w:pPr>
          </w:p>
        </w:tc>
        <w:tc>
          <w:tcPr>
            <w:tcW w:w="140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80" w:type="dxa"/>
            <w:vAlign w:val="bottom"/>
            <w:tcBorders>
              <w:bottom w:val="single" w:sz="8" w:color="E3E4E5"/>
            </w:tcBorders>
          </w:tcPr>
          <w:p>
            <w:pPr>
              <w:spacing w:after="0"/>
              <w:rPr>
                <w:sz w:val="18"/>
                <w:szCs w:val="18"/>
                <w:color w:val="auto"/>
              </w:rPr>
            </w:pPr>
          </w:p>
        </w:tc>
        <w:tc>
          <w:tcPr>
            <w:tcW w:w="14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80" w:type="dxa"/>
            <w:vAlign w:val="bottom"/>
            <w:tcBorders>
              <w:bottom w:val="single" w:sz="8" w:color="E3E4E5"/>
            </w:tcBorders>
          </w:tcPr>
          <w:p>
            <w:pPr>
              <w:spacing w:after="0"/>
              <w:rPr>
                <w:sz w:val="18"/>
                <w:szCs w:val="18"/>
                <w:color w:val="auto"/>
              </w:rPr>
            </w:pPr>
          </w:p>
        </w:tc>
        <w:tc>
          <w:tcPr>
            <w:tcW w:w="2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Contractual Interest Rate (1)</w:t>
            </w:r>
          </w:p>
        </w:tc>
        <w:tc>
          <w:tcPr>
            <w:tcW w:w="80" w:type="dxa"/>
            <w:vAlign w:val="bottom"/>
            <w:tcBorders>
              <w:bottom w:val="single" w:sz="8" w:color="E3E4E5"/>
            </w:tcBorders>
          </w:tcPr>
          <w:p>
            <w:pPr>
              <w:spacing w:after="0"/>
              <w:rPr>
                <w:sz w:val="18"/>
                <w:szCs w:val="18"/>
                <w:color w:val="auto"/>
              </w:rPr>
            </w:pPr>
          </w:p>
        </w:tc>
        <w:tc>
          <w:tcPr>
            <w:tcW w:w="1680" w:type="dxa"/>
            <w:vAlign w:val="bottom"/>
            <w:tcBorders>
              <w:bottom w:val="single" w:sz="8" w:color="231F20"/>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231F20"/>
              </w:rPr>
              <w:t>Maturity Date (1)</w:t>
            </w:r>
          </w:p>
        </w:tc>
      </w:tr>
      <w:tr>
        <w:trPr>
          <w:trHeight w:val="240"/>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 xml:space="preserve">2021 Multicurrency Credit Facility (2) </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380.0</w:t>
            </w:r>
          </w:p>
        </w:tc>
        <w:tc>
          <w:tcPr>
            <w:tcW w:w="80" w:type="dxa"/>
            <w:vAlign w:val="bottom"/>
            <w:shd w:val="clear" w:color="auto" w:fill="E3E4E5"/>
          </w:tcPr>
          <w:p>
            <w:pPr>
              <w:spacing w:after="0"/>
              <w:rPr>
                <w:sz w:val="20"/>
                <w:szCs w:val="20"/>
                <w:color w:val="auto"/>
              </w:rPr>
            </w:pPr>
          </w:p>
        </w:tc>
        <w:tc>
          <w:tcPr>
            <w:tcW w:w="480" w:type="dxa"/>
            <w:vAlign w:val="bottom"/>
            <w:shd w:val="clear" w:color="auto" w:fill="E3E4E5"/>
          </w:tcPr>
          <w:p>
            <w:pPr>
              <w:jc w:val="right"/>
              <w:ind w:right="257"/>
              <w:spacing w:after="0"/>
              <w:rPr>
                <w:sz w:val="20"/>
                <w:szCs w:val="20"/>
                <w:color w:val="auto"/>
              </w:rPr>
            </w:pPr>
            <w:r>
              <w:rPr>
                <w:rFonts w:ascii="Times New Roman" w:cs="Times New Roman" w:eastAsia="Times New Roman" w:hAnsi="Times New Roman"/>
                <w:sz w:val="18"/>
                <w:szCs w:val="18"/>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3E4E5"/>
          </w:tcPr>
          <w:p>
            <w:pPr>
              <w:spacing w:after="0"/>
              <w:rPr>
                <w:sz w:val="20"/>
                <w:szCs w:val="20"/>
                <w:color w:val="auto"/>
              </w:rPr>
            </w:pPr>
          </w:p>
        </w:tc>
        <w:tc>
          <w:tcPr>
            <w:tcW w:w="2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4.839 %</w:t>
            </w:r>
          </w:p>
        </w:tc>
        <w:tc>
          <w:tcPr>
            <w:tcW w:w="80" w:type="dxa"/>
            <w:vAlign w:val="bottom"/>
            <w:shd w:val="clear" w:color="auto" w:fill="E3E4E5"/>
          </w:tcPr>
          <w:p>
            <w:pPr>
              <w:spacing w:after="0"/>
              <w:rPr>
                <w:sz w:val="20"/>
                <w:szCs w:val="20"/>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28, 2028</w:t>
            </w:r>
          </w:p>
        </w:tc>
      </w:tr>
      <w:tr>
        <w:trPr>
          <w:trHeight w:val="25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 xml:space="preserve">2021 Term Loan (2) </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998.1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997.9</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4.839 %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28, 2028</w:t>
            </w:r>
          </w:p>
        </w:tc>
      </w:tr>
      <w:tr>
        <w:trPr>
          <w:trHeight w:val="250"/>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 xml:space="preserve">2021 Credit Facility (2) </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3E4E5"/>
          </w:tcPr>
          <w:p>
            <w:pPr>
              <w:spacing w:after="0"/>
              <w:rPr>
                <w:sz w:val="21"/>
                <w:szCs w:val="21"/>
                <w:color w:val="auto"/>
              </w:rPr>
            </w:pPr>
          </w:p>
        </w:tc>
        <w:tc>
          <w:tcPr>
            <w:tcW w:w="2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 %</w:t>
            </w:r>
          </w:p>
        </w:tc>
        <w:tc>
          <w:tcPr>
            <w:tcW w:w="80" w:type="dxa"/>
            <w:vAlign w:val="bottom"/>
            <w:shd w:val="clear" w:color="auto" w:fill="E3E4E5"/>
          </w:tcPr>
          <w:p>
            <w:pPr>
              <w:spacing w:after="0"/>
              <w:rPr>
                <w:sz w:val="21"/>
                <w:szCs w:val="21"/>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28, 2030</w:t>
            </w:r>
          </w:p>
        </w:tc>
      </w:tr>
      <w:tr>
        <w:trPr>
          <w:trHeight w:val="25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2.950% senior notes (3)</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650.0</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r>
      <w:tr>
        <w:trPr>
          <w:trHeight w:val="250"/>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2.400% senior notes (4)</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749.7</w:t>
            </w:r>
          </w:p>
        </w:tc>
        <w:tc>
          <w:tcPr>
            <w:tcW w:w="80" w:type="dxa"/>
            <w:vAlign w:val="bottom"/>
            <w:shd w:val="clear" w:color="auto" w:fill="E3E4E5"/>
          </w:tcPr>
          <w:p>
            <w:pPr>
              <w:spacing w:after="0"/>
              <w:rPr>
                <w:sz w:val="21"/>
                <w:szCs w:val="21"/>
                <w:color w:val="auto"/>
              </w:rPr>
            </w:pPr>
          </w:p>
        </w:tc>
        <w:tc>
          <w:tcPr>
            <w:tcW w:w="2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N/A</w:t>
            </w:r>
          </w:p>
        </w:tc>
        <w:tc>
          <w:tcPr>
            <w:tcW w:w="80" w:type="dxa"/>
            <w:vAlign w:val="bottom"/>
            <w:shd w:val="clear" w:color="auto" w:fill="E3E4E5"/>
          </w:tcPr>
          <w:p>
            <w:pPr>
              <w:spacing w:after="0"/>
              <w:rPr>
                <w:sz w:val="21"/>
                <w:szCs w:val="21"/>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N/A</w:t>
            </w:r>
          </w:p>
        </w:tc>
      </w:tr>
      <w:tr>
        <w:trPr>
          <w:trHeight w:val="25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 xml:space="preserve">1.375% senior notes (5)(6) </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517.3</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r>
      <w:tr>
        <w:trPr>
          <w:trHeight w:val="250"/>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4.000% senior notes (7)</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749.4</w:t>
            </w:r>
          </w:p>
        </w:tc>
        <w:tc>
          <w:tcPr>
            <w:tcW w:w="80" w:type="dxa"/>
            <w:vAlign w:val="bottom"/>
            <w:shd w:val="clear" w:color="auto" w:fill="E3E4E5"/>
          </w:tcPr>
          <w:p>
            <w:pPr>
              <w:spacing w:after="0"/>
              <w:rPr>
                <w:sz w:val="21"/>
                <w:szCs w:val="21"/>
                <w:color w:val="auto"/>
              </w:rPr>
            </w:pPr>
          </w:p>
        </w:tc>
        <w:tc>
          <w:tcPr>
            <w:tcW w:w="2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N/A</w:t>
            </w:r>
          </w:p>
        </w:tc>
        <w:tc>
          <w:tcPr>
            <w:tcW w:w="80" w:type="dxa"/>
            <w:vAlign w:val="bottom"/>
            <w:shd w:val="clear" w:color="auto" w:fill="E3E4E5"/>
          </w:tcPr>
          <w:p>
            <w:pPr>
              <w:spacing w:after="0"/>
              <w:rPr>
                <w:sz w:val="21"/>
                <w:szCs w:val="21"/>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N/A</w:t>
            </w:r>
          </w:p>
        </w:tc>
      </w:tr>
      <w:tr>
        <w:trPr>
          <w:trHeight w:val="25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1.300% senior notes (8)</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499.3</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r>
      <w:tr>
        <w:trPr>
          <w:trHeight w:val="250"/>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4.400% senior notes (9)</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499.9</w:t>
            </w:r>
          </w:p>
        </w:tc>
        <w:tc>
          <w:tcPr>
            <w:tcW w:w="8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499.3</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4.400 %</w:t>
            </w:r>
          </w:p>
        </w:tc>
        <w:tc>
          <w:tcPr>
            <w:tcW w:w="80" w:type="dxa"/>
            <w:vAlign w:val="bottom"/>
            <w:shd w:val="clear" w:color="auto" w:fill="E3E4E5"/>
          </w:tcPr>
          <w:p>
            <w:pPr>
              <w:spacing w:after="0"/>
              <w:rPr>
                <w:sz w:val="21"/>
                <w:szCs w:val="21"/>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February 15, 2026</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1.600%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699.7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698.5</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1.600 %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April 15, 2026</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1.950%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586.9</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516.4</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1.950 %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May 22, 2026</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1.450%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598.9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597.4</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1.450 %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September 15, 2026</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3.375%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998.5</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996.6</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3.375 %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October 15, 2026</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3.125%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399.6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399.3</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3.125 %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15, 2027</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2.750%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749.0</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748.0</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2.750 %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15, 2027</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0.450% senior notes (6)</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879.7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774.1</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0.450 %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15, 2027</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0.400%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585.8</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515.0</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0.400 %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February 15, 2027</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3.650%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648.0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646.4</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3.650 %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March 15, 2027</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4.125%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703.1</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618.5</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4.125 %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May 16, 2027</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3.55%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748.7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747.9</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3.550 %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July 15, 2027</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3.600%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697.9</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697.0</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3.600 %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15, 2028</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0.500% senior notes (6)</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878.3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772.6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0.500 %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15, 2028</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 xml:space="preserve">1.500% senior notes </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648.5</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647.8</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1.500 %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31, 2028</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5.500%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696.5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695.0</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5.500 %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March 15, 2028</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5.250%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646.4</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645.2</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5.250 %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July 15, 2028</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5.800%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745.9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744.6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5.800 %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November 15, 2028</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5.200%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645.1</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643.7</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5.200 %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February 15, 2029</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3.950%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596.0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594.8</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3.950 %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March 15, 2029</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0.875%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878.2</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773.0</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0.875 %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May 21, 2029</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3.800%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1,642.4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1,640.5</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3.800 %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August 15, 2029</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2.900%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746.0</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745.1</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2.900 %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15, 2030</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5.000%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594.4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593.2</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5.000 %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January 31, 2030</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4.900%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848.0</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4.900 %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March 15, 2030</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3.900% senior notes (6)</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583.3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512.9</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3.900 %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May 16, 2030</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2.100%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745.2</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744.1</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2.100 %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June 15, 2030</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0.950% senior notes (6)</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583.1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512.6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0.950 %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October 5, 2030</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1.875%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795.2</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794.3</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1.875 %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October 15, 2030</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2.700%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696.3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695.6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2.700 %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April 15, 2031</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4.625%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582.2</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511.7</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4.625 %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May 16, 2031</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2.300%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694.5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693.6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2.300 %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September 15, 2031</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1.000%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758.8</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667.6</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15, 2032</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4.050%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644.4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643.7</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March 15, 2032</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3.625% senior notes (6)</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583.9</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3.625 %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May 30, 2032</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4.700%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840.4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4.700 %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December 15, 2032</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5.650%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792.3</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791.4</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5.650 %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March 15, 2033</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1.250% senior notes (6)</w:t>
            </w:r>
            <w:r>
              <w:rPr>
                <w:rFonts w:ascii="Times New Roman" w:cs="Times New Roman" w:eastAsia="Times New Roman" w:hAnsi="Times New Roman"/>
                <w:sz w:val="18"/>
                <w:szCs w:val="18"/>
                <w:color w:val="BABCBE"/>
                <w:w w:val="99"/>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582.4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512.1</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1.250 %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May 21, 2033</w:t>
            </w:r>
          </w:p>
        </w:tc>
      </w:tr>
      <w:tr>
        <w:trPr>
          <w:trHeight w:val="257"/>
        </w:trPr>
        <w:tc>
          <w:tcPr>
            <w:tcW w:w="3220" w:type="dxa"/>
            <w:vAlign w:val="bottom"/>
            <w:shd w:val="clear" w:color="auto" w:fill="E3E4E5"/>
          </w:tcPr>
          <w:p>
            <w:pPr>
              <w:ind w:left="40"/>
              <w:spacing w:after="0"/>
              <w:rPr>
                <w:sz w:val="20"/>
                <w:szCs w:val="20"/>
                <w:color w:val="auto"/>
              </w:rPr>
            </w:pPr>
            <w:r>
              <w:rPr>
                <w:rFonts w:ascii="Times New Roman" w:cs="Times New Roman" w:eastAsia="Times New Roman" w:hAnsi="Times New Roman"/>
                <w:sz w:val="18"/>
                <w:szCs w:val="18"/>
                <w:color w:val="231F20"/>
                <w:w w:val="99"/>
              </w:rPr>
              <w:t>5.550% senior notes</w:t>
            </w:r>
            <w:r>
              <w:rPr>
                <w:rFonts w:ascii="Times New Roman" w:cs="Times New Roman" w:eastAsia="Times New Roman" w:hAnsi="Times New Roman"/>
                <w:sz w:val="18"/>
                <w:szCs w:val="18"/>
                <w:color w:val="BABCBE"/>
                <w:w w:val="99"/>
              </w:rPr>
              <w:t>......................................</w:t>
            </w:r>
          </w:p>
        </w:tc>
        <w:tc>
          <w:tcPr>
            <w:tcW w:w="460" w:type="dxa"/>
            <w:vAlign w:val="bottom"/>
            <w:shd w:val="clear" w:color="auto" w:fill="E3E4E5"/>
          </w:tcPr>
          <w:p>
            <w:pPr>
              <w:spacing w:after="0"/>
              <w:rPr>
                <w:sz w:val="22"/>
                <w:szCs w:val="22"/>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842.2</w:t>
            </w:r>
          </w:p>
        </w:tc>
        <w:tc>
          <w:tcPr>
            <w:tcW w:w="80" w:type="dxa"/>
            <w:vAlign w:val="bottom"/>
            <w:shd w:val="clear" w:color="auto" w:fill="E3E4E5"/>
          </w:tcPr>
          <w:p>
            <w:pPr>
              <w:spacing w:after="0"/>
              <w:rPr>
                <w:sz w:val="22"/>
                <w:szCs w:val="22"/>
                <w:color w:val="auto"/>
              </w:rPr>
            </w:pPr>
          </w:p>
        </w:tc>
        <w:tc>
          <w:tcPr>
            <w:tcW w:w="480" w:type="dxa"/>
            <w:vAlign w:val="bottom"/>
            <w:shd w:val="clear" w:color="auto" w:fill="E3E4E5"/>
          </w:tcPr>
          <w:p>
            <w:pPr>
              <w:spacing w:after="0"/>
              <w:rPr>
                <w:sz w:val="22"/>
                <w:szCs w:val="22"/>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841.4</w:t>
            </w:r>
          </w:p>
        </w:tc>
        <w:tc>
          <w:tcPr>
            <w:tcW w:w="21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5.550 %</w:t>
            </w:r>
          </w:p>
        </w:tc>
        <w:tc>
          <w:tcPr>
            <w:tcW w:w="80" w:type="dxa"/>
            <w:vAlign w:val="bottom"/>
            <w:shd w:val="clear" w:color="auto" w:fill="E3E4E5"/>
          </w:tcPr>
          <w:p>
            <w:pPr>
              <w:spacing w:after="0"/>
              <w:rPr>
                <w:sz w:val="22"/>
                <w:szCs w:val="22"/>
                <w:color w:val="auto"/>
              </w:rPr>
            </w:pPr>
          </w:p>
        </w:tc>
        <w:tc>
          <w:tcPr>
            <w:tcW w:w="1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July 15, 2033</w:t>
            </w:r>
          </w:p>
        </w:tc>
      </w:tr>
      <w:tr>
        <w:trPr>
          <w:trHeight w:val="23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231F20"/>
                <w:w w:val="99"/>
              </w:rPr>
              <w:t>5.900% senior notes</w:t>
            </w:r>
            <w:r>
              <w:rPr>
                <w:rFonts w:ascii="Times New Roman" w:cs="Times New Roman" w:eastAsia="Times New Roman" w:hAnsi="Times New Roman"/>
                <w:sz w:val="18"/>
                <w:szCs w:val="18"/>
                <w:color w:val="BABCBE"/>
                <w:w w:val="99"/>
              </w:rPr>
              <w:t>......................................</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742.9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742.2</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5.900 %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November 15, 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-7620635</wp:posOffset>
            </wp:positionV>
            <wp:extent cx="436562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15">
                      <a:extLst>
                        <a:ext uri="{28A0092B-C50C-407E-A947-70E740481C1C}"/>
                      </a:extLst>
                    </a:blip>
                    <a:srcRect/>
                    <a:stretch>
                      <a:fillRect/>
                    </a:stretch>
                  </pic:blipFill>
                  <pic:spPr bwMode="auto">
                    <a:xfrm>
                      <a:off x="0" y="0"/>
                      <a:ext cx="4365625" cy="25400"/>
                    </a:xfrm>
                    <a:prstGeom prst="rect">
                      <a:avLst/>
                    </a:prstGeom>
                    <a:noFill/>
                  </pic:spPr>
                </pic:pic>
              </a:graphicData>
            </a:graphic>
          </wp:anchor>
        </w:drawing>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1880" w:h="15480" w:orient="portrait"/>
          <w:cols w:equalWidth="0" w:num="1">
            <w:col w:w="10040"/>
          </w:cols>
          <w:pgMar w:left="920" w:top="418" w:right="920" w:bottom="0" w:gutter="0" w:footer="0" w:header="0"/>
          <w:type w:val="continuous"/>
        </w:sectPr>
      </w:pPr>
    </w:p>
    <w:bookmarkStart w:id="116" w:name="page117"/>
    <w:bookmarkEnd w:id="116"/>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250"/>
        </w:trPr>
        <w:tc>
          <w:tcPr>
            <w:tcW w:w="3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8"/>
              </w:rPr>
              <w:t>5.450% senior notes</w:t>
            </w:r>
            <w:r>
              <w:rPr>
                <w:rFonts w:ascii="Times New Roman" w:cs="Times New Roman" w:eastAsia="Times New Roman" w:hAnsi="Times New Roman"/>
                <w:sz w:val="18"/>
                <w:szCs w:val="18"/>
                <w:color w:val="BABCBE"/>
                <w:w w:val="98"/>
              </w:rPr>
              <w:t>......................................</w:t>
            </w:r>
          </w:p>
        </w:tc>
        <w:tc>
          <w:tcPr>
            <w:tcW w:w="420" w:type="dxa"/>
            <w:vAlign w:val="bottom"/>
            <w:shd w:val="clear" w:color="auto" w:fill="E3E4E5"/>
          </w:tcPr>
          <w:p>
            <w:pPr>
              <w:spacing w:after="0"/>
              <w:rPr>
                <w:sz w:val="21"/>
                <w:szCs w:val="21"/>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641.5</w:t>
            </w:r>
          </w:p>
        </w:tc>
        <w:tc>
          <w:tcPr>
            <w:tcW w:w="80" w:type="dxa"/>
            <w:vAlign w:val="bottom"/>
            <w:shd w:val="clear" w:color="auto" w:fill="E3E4E5"/>
          </w:tcPr>
          <w:p>
            <w:pPr>
              <w:spacing w:after="0"/>
              <w:rPr>
                <w:sz w:val="21"/>
                <w:szCs w:val="21"/>
                <w:color w:val="auto"/>
              </w:rPr>
            </w:pPr>
          </w:p>
        </w:tc>
        <w:tc>
          <w:tcPr>
            <w:tcW w:w="420" w:type="dxa"/>
            <w:vAlign w:val="bottom"/>
            <w:shd w:val="clear" w:color="auto" w:fill="E3E4E5"/>
          </w:tcPr>
          <w:p>
            <w:pPr>
              <w:spacing w:after="0"/>
              <w:rPr>
                <w:sz w:val="21"/>
                <w:szCs w:val="21"/>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640.6</w:t>
            </w:r>
          </w:p>
        </w:tc>
        <w:tc>
          <w:tcPr>
            <w:tcW w:w="2380" w:type="dxa"/>
            <w:vAlign w:val="bottom"/>
            <w:gridSpan w:val="2"/>
            <w:shd w:val="clear" w:color="auto" w:fill="E3E4E5"/>
          </w:tcPr>
          <w:p>
            <w:pPr>
              <w:jc w:val="right"/>
              <w:ind w:right="132"/>
              <w:spacing w:after="0"/>
              <w:rPr>
                <w:sz w:val="20"/>
                <w:szCs w:val="20"/>
                <w:color w:val="auto"/>
              </w:rPr>
            </w:pPr>
            <w:r>
              <w:rPr>
                <w:rFonts w:ascii="Times New Roman" w:cs="Times New Roman" w:eastAsia="Times New Roman" w:hAnsi="Times New Roman"/>
                <w:sz w:val="18"/>
                <w:szCs w:val="18"/>
                <w:color w:val="231F20"/>
              </w:rPr>
              <w:t>5.450 %</w:t>
            </w:r>
          </w:p>
        </w:tc>
        <w:tc>
          <w:tcPr>
            <w:tcW w:w="15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February 15, 2034</w:t>
            </w:r>
          </w:p>
        </w:tc>
        <w:tc>
          <w:tcPr>
            <w:tcW w:w="0" w:type="dxa"/>
            <w:vAlign w:val="bottom"/>
          </w:tcPr>
          <w:p>
            <w:pPr>
              <w:spacing w:after="0"/>
              <w:rPr>
                <w:sz w:val="1"/>
                <w:szCs w:val="1"/>
                <w:color w:val="auto"/>
              </w:rPr>
            </w:pPr>
          </w:p>
        </w:tc>
      </w:tr>
      <w:tr>
        <w:trPr>
          <w:trHeight w:val="243"/>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4.100% senior notes (6)</w:t>
            </w:r>
            <w:r>
              <w:rPr>
                <w:rFonts w:ascii="Times New Roman" w:cs="Times New Roman" w:eastAsia="Times New Roman" w:hAnsi="Times New Roman"/>
                <w:sz w:val="18"/>
                <w:szCs w:val="18"/>
                <w:color w:val="BABCBE"/>
                <w:w w:val="99"/>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580.8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510.5</w:t>
            </w:r>
          </w:p>
        </w:tc>
        <w:tc>
          <w:tcPr>
            <w:tcW w:w="23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231F20"/>
              </w:rPr>
              <w:t>4.100 %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May 16, 2034</w:t>
            </w:r>
          </w:p>
        </w:tc>
        <w:tc>
          <w:tcPr>
            <w:tcW w:w="0" w:type="dxa"/>
            <w:vAlign w:val="bottom"/>
          </w:tcPr>
          <w:p>
            <w:pPr>
              <w:spacing w:after="0"/>
              <w:rPr>
                <w:sz w:val="1"/>
                <w:szCs w:val="1"/>
                <w:color w:val="auto"/>
              </w:rPr>
            </w:pPr>
          </w:p>
        </w:tc>
      </w:tr>
      <w:tr>
        <w:trPr>
          <w:trHeight w:val="257"/>
        </w:trPr>
        <w:tc>
          <w:tcPr>
            <w:tcW w:w="3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8"/>
              </w:rPr>
              <w:t>5.400% senior notes</w:t>
            </w:r>
            <w:r>
              <w:rPr>
                <w:rFonts w:ascii="Times New Roman" w:cs="Times New Roman" w:eastAsia="Times New Roman" w:hAnsi="Times New Roman"/>
                <w:sz w:val="18"/>
                <w:szCs w:val="18"/>
                <w:color w:val="BABCBE"/>
                <w:w w:val="98"/>
              </w:rPr>
              <w:t>......................................</w:t>
            </w:r>
          </w:p>
        </w:tc>
        <w:tc>
          <w:tcPr>
            <w:tcW w:w="420" w:type="dxa"/>
            <w:vAlign w:val="bottom"/>
            <w:shd w:val="clear" w:color="auto" w:fill="E3E4E5"/>
          </w:tcPr>
          <w:p>
            <w:pPr>
              <w:spacing w:after="0"/>
              <w:rPr>
                <w:sz w:val="22"/>
                <w:szCs w:val="22"/>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592.5</w:t>
            </w:r>
          </w:p>
        </w:tc>
        <w:tc>
          <w:tcPr>
            <w:tcW w:w="80" w:type="dxa"/>
            <w:vAlign w:val="bottom"/>
            <w:shd w:val="clear" w:color="auto" w:fill="E3E4E5"/>
          </w:tcPr>
          <w:p>
            <w:pPr>
              <w:spacing w:after="0"/>
              <w:rPr>
                <w:sz w:val="22"/>
                <w:szCs w:val="22"/>
                <w:color w:val="auto"/>
              </w:rPr>
            </w:pPr>
          </w:p>
        </w:tc>
        <w:tc>
          <w:tcPr>
            <w:tcW w:w="420" w:type="dxa"/>
            <w:vAlign w:val="bottom"/>
            <w:shd w:val="clear" w:color="auto" w:fill="E3E4E5"/>
          </w:tcPr>
          <w:p>
            <w:pPr>
              <w:spacing w:after="0"/>
              <w:rPr>
                <w:sz w:val="22"/>
                <w:szCs w:val="22"/>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591.9</w:t>
            </w:r>
          </w:p>
        </w:tc>
        <w:tc>
          <w:tcPr>
            <w:tcW w:w="2380" w:type="dxa"/>
            <w:vAlign w:val="bottom"/>
            <w:gridSpan w:val="2"/>
            <w:shd w:val="clear" w:color="auto" w:fill="E3E4E5"/>
          </w:tcPr>
          <w:p>
            <w:pPr>
              <w:jc w:val="right"/>
              <w:ind w:right="132"/>
              <w:spacing w:after="0"/>
              <w:rPr>
                <w:sz w:val="20"/>
                <w:szCs w:val="20"/>
                <w:color w:val="auto"/>
              </w:rPr>
            </w:pPr>
            <w:r>
              <w:rPr>
                <w:rFonts w:ascii="Times New Roman" w:cs="Times New Roman" w:eastAsia="Times New Roman" w:hAnsi="Times New Roman"/>
                <w:sz w:val="18"/>
                <w:szCs w:val="18"/>
                <w:color w:val="231F20"/>
              </w:rPr>
              <w:t>5.400 %</w:t>
            </w:r>
          </w:p>
        </w:tc>
        <w:tc>
          <w:tcPr>
            <w:tcW w:w="15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31, 2035</w:t>
            </w:r>
          </w:p>
        </w:tc>
        <w:tc>
          <w:tcPr>
            <w:tcW w:w="0" w:type="dxa"/>
            <w:vAlign w:val="bottom"/>
          </w:tcPr>
          <w:p>
            <w:pPr>
              <w:spacing w:after="0"/>
              <w:rPr>
                <w:sz w:val="1"/>
                <w:szCs w:val="1"/>
                <w:color w:val="auto"/>
              </w:rPr>
            </w:pPr>
          </w:p>
        </w:tc>
      </w:tr>
      <w:tr>
        <w:trPr>
          <w:trHeight w:val="243"/>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5.350% senior notes</w:t>
            </w:r>
            <w:r>
              <w:rPr>
                <w:rFonts w:ascii="Times New Roman" w:cs="Times New Roman" w:eastAsia="Times New Roman" w:hAnsi="Times New Roman"/>
                <w:sz w:val="18"/>
                <w:szCs w:val="18"/>
                <w:color w:val="BABCBE"/>
                <w:w w:val="98"/>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731.4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3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231F20"/>
              </w:rPr>
              <w:t>5.350 %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March 15, 2035</w:t>
            </w:r>
          </w:p>
        </w:tc>
        <w:tc>
          <w:tcPr>
            <w:tcW w:w="0" w:type="dxa"/>
            <w:vAlign w:val="bottom"/>
          </w:tcPr>
          <w:p>
            <w:pPr>
              <w:spacing w:after="0"/>
              <w:rPr>
                <w:sz w:val="1"/>
                <w:szCs w:val="1"/>
                <w:color w:val="auto"/>
              </w:rPr>
            </w:pPr>
          </w:p>
        </w:tc>
      </w:tr>
      <w:tr>
        <w:trPr>
          <w:trHeight w:val="257"/>
        </w:trPr>
        <w:tc>
          <w:tcPr>
            <w:tcW w:w="3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8"/>
              </w:rPr>
              <w:t>3.700% senior notes</w:t>
            </w:r>
            <w:r>
              <w:rPr>
                <w:rFonts w:ascii="Times New Roman" w:cs="Times New Roman" w:eastAsia="Times New Roman" w:hAnsi="Times New Roman"/>
                <w:sz w:val="18"/>
                <w:szCs w:val="18"/>
                <w:color w:val="BABCBE"/>
                <w:w w:val="98"/>
              </w:rPr>
              <w:t>......................................</w:t>
            </w:r>
          </w:p>
        </w:tc>
        <w:tc>
          <w:tcPr>
            <w:tcW w:w="420" w:type="dxa"/>
            <w:vAlign w:val="bottom"/>
            <w:shd w:val="clear" w:color="auto" w:fill="E3E4E5"/>
          </w:tcPr>
          <w:p>
            <w:pPr>
              <w:spacing w:after="0"/>
              <w:rPr>
                <w:sz w:val="22"/>
                <w:szCs w:val="22"/>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592.8</w:t>
            </w:r>
          </w:p>
        </w:tc>
        <w:tc>
          <w:tcPr>
            <w:tcW w:w="80" w:type="dxa"/>
            <w:vAlign w:val="bottom"/>
            <w:shd w:val="clear" w:color="auto" w:fill="E3E4E5"/>
          </w:tcPr>
          <w:p>
            <w:pPr>
              <w:spacing w:after="0"/>
              <w:rPr>
                <w:sz w:val="22"/>
                <w:szCs w:val="22"/>
                <w:color w:val="auto"/>
              </w:rPr>
            </w:pPr>
          </w:p>
        </w:tc>
        <w:tc>
          <w:tcPr>
            <w:tcW w:w="420" w:type="dxa"/>
            <w:vAlign w:val="bottom"/>
            <w:shd w:val="clear" w:color="auto" w:fill="E3E4E5"/>
          </w:tcPr>
          <w:p>
            <w:pPr>
              <w:spacing w:after="0"/>
              <w:rPr>
                <w:sz w:val="22"/>
                <w:szCs w:val="22"/>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592.6</w:t>
            </w:r>
          </w:p>
        </w:tc>
        <w:tc>
          <w:tcPr>
            <w:tcW w:w="2380" w:type="dxa"/>
            <w:vAlign w:val="bottom"/>
            <w:gridSpan w:val="2"/>
            <w:shd w:val="clear" w:color="auto" w:fill="E3E4E5"/>
          </w:tcPr>
          <w:p>
            <w:pPr>
              <w:jc w:val="right"/>
              <w:ind w:right="132"/>
              <w:spacing w:after="0"/>
              <w:rPr>
                <w:sz w:val="20"/>
                <w:szCs w:val="20"/>
                <w:color w:val="auto"/>
              </w:rPr>
            </w:pPr>
            <w:r>
              <w:rPr>
                <w:rFonts w:ascii="Times New Roman" w:cs="Times New Roman" w:eastAsia="Times New Roman" w:hAnsi="Times New Roman"/>
                <w:sz w:val="18"/>
                <w:szCs w:val="18"/>
                <w:color w:val="231F20"/>
              </w:rPr>
              <w:t>3.700 %</w:t>
            </w:r>
          </w:p>
        </w:tc>
        <w:tc>
          <w:tcPr>
            <w:tcW w:w="15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October 15, 2049</w:t>
            </w:r>
          </w:p>
        </w:tc>
        <w:tc>
          <w:tcPr>
            <w:tcW w:w="0" w:type="dxa"/>
            <w:vAlign w:val="bottom"/>
          </w:tcPr>
          <w:p>
            <w:pPr>
              <w:spacing w:after="0"/>
              <w:rPr>
                <w:sz w:val="1"/>
                <w:szCs w:val="1"/>
                <w:color w:val="auto"/>
              </w:rPr>
            </w:pPr>
          </w:p>
        </w:tc>
      </w:tr>
      <w:tr>
        <w:trPr>
          <w:trHeight w:val="243"/>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3.100% senior notes</w:t>
            </w:r>
            <w:r>
              <w:rPr>
                <w:rFonts w:ascii="Times New Roman" w:cs="Times New Roman" w:eastAsia="Times New Roman" w:hAnsi="Times New Roman"/>
                <w:sz w:val="18"/>
                <w:szCs w:val="18"/>
                <w:color w:val="BABCBE"/>
                <w:w w:val="98"/>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1,039.1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1,038.8</w:t>
            </w:r>
          </w:p>
        </w:tc>
        <w:tc>
          <w:tcPr>
            <w:tcW w:w="23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231F20"/>
              </w:rPr>
              <w:t>3.100 %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June 15, 2050</w:t>
            </w:r>
          </w:p>
        </w:tc>
        <w:tc>
          <w:tcPr>
            <w:tcW w:w="0" w:type="dxa"/>
            <w:vAlign w:val="bottom"/>
          </w:tcPr>
          <w:p>
            <w:pPr>
              <w:spacing w:after="0"/>
              <w:rPr>
                <w:sz w:val="1"/>
                <w:szCs w:val="1"/>
                <w:color w:val="auto"/>
              </w:rPr>
            </w:pPr>
          </w:p>
        </w:tc>
      </w:tr>
      <w:tr>
        <w:trPr>
          <w:trHeight w:val="267"/>
        </w:trPr>
        <w:tc>
          <w:tcPr>
            <w:tcW w:w="3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8"/>
              </w:rPr>
              <w:t>2.950% senior notes</w:t>
            </w:r>
            <w:r>
              <w:rPr>
                <w:rFonts w:ascii="Times New Roman" w:cs="Times New Roman" w:eastAsia="Times New Roman" w:hAnsi="Times New Roman"/>
                <w:sz w:val="18"/>
                <w:szCs w:val="18"/>
                <w:color w:val="BABCBE"/>
                <w:w w:val="98"/>
              </w:rPr>
              <w:t>......................................</w:t>
            </w:r>
          </w:p>
        </w:tc>
        <w:tc>
          <w:tcPr>
            <w:tcW w:w="420" w:type="dxa"/>
            <w:vAlign w:val="bottom"/>
            <w:tcBorders>
              <w:bottom w:val="single" w:sz="8" w:color="231F20"/>
            </w:tcBorders>
            <w:shd w:val="clear" w:color="auto" w:fill="E3E4E5"/>
          </w:tcPr>
          <w:p>
            <w:pPr>
              <w:spacing w:after="0"/>
              <w:rPr>
                <w:sz w:val="23"/>
                <w:szCs w:val="23"/>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1,024.5</w:t>
            </w:r>
          </w:p>
        </w:tc>
        <w:tc>
          <w:tcPr>
            <w:tcW w:w="80" w:type="dxa"/>
            <w:vAlign w:val="bottom"/>
            <w:tcBorders>
              <w:bottom w:val="single" w:sz="8" w:color="E3E4E5"/>
            </w:tcBorders>
            <w:shd w:val="clear" w:color="auto" w:fill="E3E4E5"/>
          </w:tcPr>
          <w:p>
            <w:pPr>
              <w:spacing w:after="0"/>
              <w:rPr>
                <w:sz w:val="23"/>
                <w:szCs w:val="23"/>
                <w:color w:val="auto"/>
              </w:rPr>
            </w:pPr>
          </w:p>
        </w:tc>
        <w:tc>
          <w:tcPr>
            <w:tcW w:w="420" w:type="dxa"/>
            <w:vAlign w:val="bottom"/>
            <w:tcBorders>
              <w:bottom w:val="single" w:sz="8" w:color="231F20"/>
            </w:tcBorders>
            <w:shd w:val="clear" w:color="auto" w:fill="E3E4E5"/>
          </w:tcPr>
          <w:p>
            <w:pPr>
              <w:spacing w:after="0"/>
              <w:rPr>
                <w:sz w:val="23"/>
                <w:szCs w:val="23"/>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1,023.8</w:t>
            </w:r>
          </w:p>
        </w:tc>
        <w:tc>
          <w:tcPr>
            <w:tcW w:w="2380" w:type="dxa"/>
            <w:vAlign w:val="bottom"/>
            <w:tcBorders>
              <w:bottom w:val="single" w:sz="8" w:color="E3E4E5"/>
            </w:tcBorders>
            <w:gridSpan w:val="2"/>
            <w:shd w:val="clear" w:color="auto" w:fill="E3E4E5"/>
          </w:tcPr>
          <w:p>
            <w:pPr>
              <w:jc w:val="right"/>
              <w:ind w:right="132"/>
              <w:spacing w:after="0"/>
              <w:rPr>
                <w:sz w:val="20"/>
                <w:szCs w:val="20"/>
                <w:color w:val="auto"/>
              </w:rPr>
            </w:pPr>
            <w:r>
              <w:rPr>
                <w:rFonts w:ascii="Times New Roman" w:cs="Times New Roman" w:eastAsia="Times New Roman" w:hAnsi="Times New Roman"/>
                <w:sz w:val="18"/>
                <w:szCs w:val="18"/>
                <w:color w:val="231F20"/>
              </w:rPr>
              <w:t>2.950 %</w:t>
            </w:r>
          </w:p>
        </w:tc>
        <w:tc>
          <w:tcPr>
            <w:tcW w:w="15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January 15, 2051</w:t>
            </w:r>
          </w:p>
        </w:tc>
        <w:tc>
          <w:tcPr>
            <w:tcW w:w="0" w:type="dxa"/>
            <w:vAlign w:val="bottom"/>
          </w:tcPr>
          <w:p>
            <w:pPr>
              <w:spacing w:after="0"/>
              <w:rPr>
                <w:sz w:val="1"/>
                <w:szCs w:val="1"/>
                <w:color w:val="auto"/>
              </w:rPr>
            </w:pPr>
          </w:p>
        </w:tc>
      </w:tr>
      <w:tr>
        <w:trPr>
          <w:trHeight w:val="258"/>
        </w:trPr>
        <w:tc>
          <w:tcPr>
            <w:tcW w:w="32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8"/>
                <w:szCs w:val="18"/>
                <w:color w:val="231F20"/>
                <w:w w:val="98"/>
              </w:rPr>
              <w:t xml:space="preserve">Total American Tower Corporation debt </w:t>
            </w:r>
            <w:r>
              <w:rPr>
                <w:rFonts w:ascii="Times New Roman" w:cs="Times New Roman" w:eastAsia="Times New Roman" w:hAnsi="Times New Roman"/>
                <w:sz w:val="18"/>
                <w:szCs w:val="18"/>
                <w:color w:val="BABCBE"/>
                <w:w w:val="98"/>
              </w:rPr>
              <w:t>.....</w:t>
            </w:r>
          </w:p>
        </w:tc>
        <w:tc>
          <w:tcPr>
            <w:tcW w:w="4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35,409.2</w:t>
            </w:r>
          </w:p>
        </w:tc>
        <w:tc>
          <w:tcPr>
            <w:tcW w:w="80" w:type="dxa"/>
            <w:vAlign w:val="bottom"/>
            <w:tcBorders>
              <w:bottom w:val="single" w:sz="8" w:color="E3E4E5"/>
            </w:tcBorders>
          </w:tcPr>
          <w:p>
            <w:pPr>
              <w:spacing w:after="0"/>
              <w:rPr>
                <w:sz w:val="22"/>
                <w:szCs w:val="22"/>
                <w:color w:val="auto"/>
              </w:rPr>
            </w:pPr>
          </w:p>
        </w:tc>
        <w:tc>
          <w:tcPr>
            <w:tcW w:w="4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34,174.9</w:t>
            </w:r>
          </w:p>
        </w:tc>
        <w:tc>
          <w:tcPr>
            <w:tcW w:w="80" w:type="dxa"/>
            <w:vAlign w:val="bottom"/>
            <w:tcBorders>
              <w:bottom w:val="single" w:sz="8" w:color="E3E4E5"/>
            </w:tcBorders>
          </w:tcPr>
          <w:p>
            <w:pPr>
              <w:spacing w:after="0"/>
              <w:rPr>
                <w:sz w:val="22"/>
                <w:szCs w:val="22"/>
                <w:color w:val="auto"/>
              </w:rPr>
            </w:pPr>
          </w:p>
        </w:tc>
        <w:tc>
          <w:tcPr>
            <w:tcW w:w="2300" w:type="dxa"/>
            <w:vAlign w:val="bottom"/>
            <w:tcBorders>
              <w:bottom w:val="single" w:sz="8" w:color="E3E4E5"/>
            </w:tcBorders>
          </w:tcPr>
          <w:p>
            <w:pPr>
              <w:spacing w:after="0"/>
              <w:rPr>
                <w:sz w:val="22"/>
                <w:szCs w:val="22"/>
                <w:color w:val="auto"/>
              </w:rPr>
            </w:pPr>
          </w:p>
        </w:tc>
        <w:tc>
          <w:tcPr>
            <w:tcW w:w="1560" w:type="dxa"/>
            <w:vAlign w:val="bottom"/>
            <w:tcBorders>
              <w:bottom w:val="single" w:sz="8" w:color="E3E4E5"/>
            </w:tcBorders>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3220" w:type="dxa"/>
            <w:vAlign w:val="bottom"/>
            <w:shd w:val="clear" w:color="auto" w:fill="E3E4E5"/>
          </w:tcPr>
          <w:p>
            <w:pPr>
              <w:spacing w:after="0"/>
              <w:rPr>
                <w:sz w:val="7"/>
                <w:szCs w:val="7"/>
                <w:color w:val="auto"/>
              </w:rPr>
            </w:pPr>
          </w:p>
        </w:tc>
        <w:tc>
          <w:tcPr>
            <w:tcW w:w="420" w:type="dxa"/>
            <w:vAlign w:val="bottom"/>
            <w:shd w:val="clear" w:color="auto" w:fill="E3E4E5"/>
          </w:tcPr>
          <w:p>
            <w:pPr>
              <w:spacing w:after="0"/>
              <w:rPr>
                <w:sz w:val="7"/>
                <w:szCs w:val="7"/>
                <w:color w:val="auto"/>
              </w:rPr>
            </w:pPr>
          </w:p>
        </w:tc>
        <w:tc>
          <w:tcPr>
            <w:tcW w:w="980" w:type="dxa"/>
            <w:vAlign w:val="bottom"/>
            <w:shd w:val="clear" w:color="auto" w:fill="E3E4E5"/>
          </w:tcPr>
          <w:p>
            <w:pPr>
              <w:spacing w:after="0"/>
              <w:rPr>
                <w:sz w:val="7"/>
                <w:szCs w:val="7"/>
                <w:color w:val="auto"/>
              </w:rPr>
            </w:pPr>
          </w:p>
        </w:tc>
        <w:tc>
          <w:tcPr>
            <w:tcW w:w="80" w:type="dxa"/>
            <w:vAlign w:val="bottom"/>
            <w:shd w:val="clear" w:color="auto" w:fill="E3E4E5"/>
          </w:tcPr>
          <w:p>
            <w:pPr>
              <w:spacing w:after="0"/>
              <w:rPr>
                <w:sz w:val="7"/>
                <w:szCs w:val="7"/>
                <w:color w:val="auto"/>
              </w:rPr>
            </w:pPr>
          </w:p>
        </w:tc>
        <w:tc>
          <w:tcPr>
            <w:tcW w:w="420" w:type="dxa"/>
            <w:vAlign w:val="bottom"/>
            <w:shd w:val="clear" w:color="auto" w:fill="E3E4E5"/>
          </w:tcPr>
          <w:p>
            <w:pPr>
              <w:spacing w:after="0"/>
              <w:rPr>
                <w:sz w:val="7"/>
                <w:szCs w:val="7"/>
                <w:color w:val="auto"/>
              </w:rPr>
            </w:pPr>
          </w:p>
        </w:tc>
        <w:tc>
          <w:tcPr>
            <w:tcW w:w="980" w:type="dxa"/>
            <w:vAlign w:val="bottom"/>
            <w:shd w:val="clear" w:color="auto" w:fill="E3E4E5"/>
          </w:tcPr>
          <w:p>
            <w:pPr>
              <w:spacing w:after="0"/>
              <w:rPr>
                <w:sz w:val="7"/>
                <w:szCs w:val="7"/>
                <w:color w:val="auto"/>
              </w:rPr>
            </w:pPr>
          </w:p>
        </w:tc>
        <w:tc>
          <w:tcPr>
            <w:tcW w:w="80" w:type="dxa"/>
            <w:vAlign w:val="bottom"/>
            <w:shd w:val="clear" w:color="auto" w:fill="E3E4E5"/>
          </w:tcPr>
          <w:p>
            <w:pPr>
              <w:spacing w:after="0"/>
              <w:rPr>
                <w:sz w:val="7"/>
                <w:szCs w:val="7"/>
                <w:color w:val="auto"/>
              </w:rPr>
            </w:pPr>
          </w:p>
        </w:tc>
        <w:tc>
          <w:tcPr>
            <w:tcW w:w="2300" w:type="dxa"/>
            <w:vAlign w:val="bottom"/>
            <w:shd w:val="clear" w:color="auto" w:fill="E3E4E5"/>
          </w:tcPr>
          <w:p>
            <w:pPr>
              <w:spacing w:after="0"/>
              <w:rPr>
                <w:sz w:val="7"/>
                <w:szCs w:val="7"/>
                <w:color w:val="auto"/>
              </w:rPr>
            </w:pPr>
          </w:p>
        </w:tc>
        <w:tc>
          <w:tcPr>
            <w:tcW w:w="1560" w:type="dxa"/>
            <w:vAlign w:val="bottom"/>
            <w:shd w:val="clear" w:color="auto" w:fill="E3E4E5"/>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 xml:space="preserve">Series 2015-2 Notes (10) </w:t>
            </w:r>
            <w:r>
              <w:rPr>
                <w:rFonts w:ascii="Times New Roman" w:cs="Times New Roman" w:eastAsia="Times New Roman" w:hAnsi="Times New Roman"/>
                <w:sz w:val="18"/>
                <w:szCs w:val="18"/>
                <w:color w:val="BABCBE"/>
                <w:w w:val="98"/>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524.7</w:t>
            </w:r>
          </w:p>
        </w:tc>
        <w:tc>
          <w:tcPr>
            <w:tcW w:w="80" w:type="dxa"/>
            <w:vAlign w:val="bottom"/>
          </w:tcPr>
          <w:p>
            <w:pPr>
              <w:spacing w:after="0"/>
              <w:rPr>
                <w:sz w:val="21"/>
                <w:szCs w:val="21"/>
                <w:color w:val="auto"/>
              </w:rPr>
            </w:pPr>
          </w:p>
        </w:tc>
        <w:tc>
          <w:tcPr>
            <w:tcW w:w="2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N/A</w:t>
            </w:r>
          </w:p>
        </w:tc>
        <w:tc>
          <w:tcPr>
            <w:tcW w:w="0" w:type="dxa"/>
            <w:vAlign w:val="bottom"/>
          </w:tcPr>
          <w:p>
            <w:pPr>
              <w:spacing w:after="0"/>
              <w:rPr>
                <w:sz w:val="1"/>
                <w:szCs w:val="1"/>
                <w:color w:val="auto"/>
              </w:rPr>
            </w:pPr>
          </w:p>
        </w:tc>
      </w:tr>
      <w:tr>
        <w:trPr>
          <w:trHeight w:val="250"/>
        </w:trPr>
        <w:tc>
          <w:tcPr>
            <w:tcW w:w="3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9"/>
              </w:rPr>
              <w:t>Series 2018-1A Securities (11)</w:t>
            </w:r>
            <w:r>
              <w:rPr>
                <w:rFonts w:ascii="Times New Roman" w:cs="Times New Roman" w:eastAsia="Times New Roman" w:hAnsi="Times New Roman"/>
                <w:sz w:val="18"/>
                <w:szCs w:val="18"/>
                <w:color w:val="BABCBE"/>
                <w:w w:val="99"/>
              </w:rPr>
              <w:t>.....................</w:t>
            </w:r>
          </w:p>
        </w:tc>
        <w:tc>
          <w:tcPr>
            <w:tcW w:w="420" w:type="dxa"/>
            <w:vAlign w:val="bottom"/>
            <w:shd w:val="clear" w:color="auto" w:fill="E3E4E5"/>
          </w:tcPr>
          <w:p>
            <w:pPr>
              <w:spacing w:after="0"/>
              <w:rPr>
                <w:sz w:val="21"/>
                <w:szCs w:val="21"/>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498.3</w:t>
            </w:r>
          </w:p>
        </w:tc>
        <w:tc>
          <w:tcPr>
            <w:tcW w:w="80" w:type="dxa"/>
            <w:vAlign w:val="bottom"/>
            <w:shd w:val="clear" w:color="auto" w:fill="E3E4E5"/>
          </w:tcPr>
          <w:p>
            <w:pPr>
              <w:spacing w:after="0"/>
              <w:rPr>
                <w:sz w:val="21"/>
                <w:szCs w:val="21"/>
                <w:color w:val="auto"/>
              </w:rPr>
            </w:pPr>
          </w:p>
        </w:tc>
        <w:tc>
          <w:tcPr>
            <w:tcW w:w="420" w:type="dxa"/>
            <w:vAlign w:val="bottom"/>
            <w:shd w:val="clear" w:color="auto" w:fill="E3E4E5"/>
          </w:tcPr>
          <w:p>
            <w:pPr>
              <w:spacing w:after="0"/>
              <w:rPr>
                <w:sz w:val="21"/>
                <w:szCs w:val="21"/>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497.6</w:t>
            </w:r>
          </w:p>
        </w:tc>
        <w:tc>
          <w:tcPr>
            <w:tcW w:w="2380" w:type="dxa"/>
            <w:vAlign w:val="bottom"/>
            <w:gridSpan w:val="2"/>
            <w:shd w:val="clear" w:color="auto" w:fill="E3E4E5"/>
          </w:tcPr>
          <w:p>
            <w:pPr>
              <w:jc w:val="right"/>
              <w:ind w:right="132"/>
              <w:spacing w:after="0"/>
              <w:rPr>
                <w:sz w:val="20"/>
                <w:szCs w:val="20"/>
                <w:color w:val="auto"/>
              </w:rPr>
            </w:pPr>
            <w:r>
              <w:rPr>
                <w:rFonts w:ascii="Times New Roman" w:cs="Times New Roman" w:eastAsia="Times New Roman" w:hAnsi="Times New Roman"/>
                <w:sz w:val="18"/>
                <w:szCs w:val="18"/>
                <w:color w:val="231F20"/>
              </w:rPr>
              <w:t>3.652 %</w:t>
            </w:r>
          </w:p>
        </w:tc>
        <w:tc>
          <w:tcPr>
            <w:tcW w:w="15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March 15, 2028</w:t>
            </w:r>
          </w:p>
        </w:tc>
        <w:tc>
          <w:tcPr>
            <w:tcW w:w="0" w:type="dxa"/>
            <w:vAlign w:val="bottom"/>
          </w:tcPr>
          <w:p>
            <w:pPr>
              <w:spacing w:after="0"/>
              <w:rPr>
                <w:sz w:val="1"/>
                <w:szCs w:val="1"/>
                <w:color w:val="auto"/>
              </w:rPr>
            </w:pPr>
          </w:p>
        </w:tc>
      </w:tr>
      <w:tr>
        <w:trPr>
          <w:trHeight w:val="250"/>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Series 2023-1A Securities (12)</w:t>
            </w:r>
            <w:r>
              <w:rPr>
                <w:rFonts w:ascii="Times New Roman" w:cs="Times New Roman" w:eastAsia="Times New Roman" w:hAnsi="Times New Roman"/>
                <w:sz w:val="18"/>
                <w:szCs w:val="18"/>
                <w:color w:val="BABCBE"/>
                <w:w w:val="99"/>
              </w:rPr>
              <w: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1,291.7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1,288.0</w:t>
            </w:r>
          </w:p>
        </w:tc>
        <w:tc>
          <w:tcPr>
            <w:tcW w:w="23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231F20"/>
              </w:rPr>
              <w:t>5.490 %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March 15, 2028</w:t>
            </w:r>
          </w:p>
        </w:tc>
        <w:tc>
          <w:tcPr>
            <w:tcW w:w="0" w:type="dxa"/>
            <w:vAlign w:val="bottom"/>
          </w:tcPr>
          <w:p>
            <w:pPr>
              <w:spacing w:after="0"/>
              <w:rPr>
                <w:sz w:val="1"/>
                <w:szCs w:val="1"/>
                <w:color w:val="auto"/>
              </w:rPr>
            </w:pPr>
          </w:p>
        </w:tc>
      </w:tr>
      <w:tr>
        <w:trPr>
          <w:trHeight w:val="260"/>
        </w:trPr>
        <w:tc>
          <w:tcPr>
            <w:tcW w:w="3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9"/>
              </w:rPr>
              <w:t xml:space="preserve">Other subsidiary debt (13) </w:t>
            </w:r>
            <w:r>
              <w:rPr>
                <w:rFonts w:ascii="Times New Roman" w:cs="Times New Roman" w:eastAsia="Times New Roman" w:hAnsi="Times New Roman"/>
                <w:sz w:val="18"/>
                <w:szCs w:val="18"/>
                <w:color w:val="BABCBE"/>
                <w:w w:val="99"/>
              </w:rPr>
              <w:t>...........................</w:t>
            </w:r>
          </w:p>
        </w:tc>
        <w:tc>
          <w:tcPr>
            <w:tcW w:w="420" w:type="dxa"/>
            <w:vAlign w:val="bottom"/>
            <w:tcBorders>
              <w:bottom w:val="single" w:sz="8" w:color="231F20"/>
            </w:tcBorders>
            <w:shd w:val="clear" w:color="auto" w:fill="E3E4E5"/>
          </w:tcPr>
          <w:p>
            <w:pPr>
              <w:spacing w:after="0"/>
              <w:rPr>
                <w:sz w:val="22"/>
                <w:szCs w:val="22"/>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5.2</w:t>
            </w:r>
          </w:p>
        </w:tc>
        <w:tc>
          <w:tcPr>
            <w:tcW w:w="80" w:type="dxa"/>
            <w:vAlign w:val="bottom"/>
            <w:tcBorders>
              <w:bottom w:val="single" w:sz="8" w:color="E3E4E5"/>
            </w:tcBorders>
            <w:shd w:val="clear" w:color="auto" w:fill="E3E4E5"/>
          </w:tcPr>
          <w:p>
            <w:pPr>
              <w:spacing w:after="0"/>
              <w:rPr>
                <w:sz w:val="22"/>
                <w:szCs w:val="22"/>
                <w:color w:val="auto"/>
              </w:rPr>
            </w:pPr>
          </w:p>
        </w:tc>
        <w:tc>
          <w:tcPr>
            <w:tcW w:w="420" w:type="dxa"/>
            <w:vAlign w:val="bottom"/>
            <w:tcBorders>
              <w:bottom w:val="single" w:sz="8" w:color="231F20"/>
            </w:tcBorders>
            <w:shd w:val="clear" w:color="auto" w:fill="E3E4E5"/>
          </w:tcPr>
          <w:p>
            <w:pPr>
              <w:spacing w:after="0"/>
              <w:rPr>
                <w:sz w:val="22"/>
                <w:szCs w:val="22"/>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bottom w:val="single" w:sz="8" w:color="E3E4E5"/>
            </w:tcBorders>
            <w:shd w:val="clear" w:color="auto" w:fill="E3E4E5"/>
          </w:tcPr>
          <w:p>
            <w:pPr>
              <w:spacing w:after="0"/>
              <w:rPr>
                <w:sz w:val="22"/>
                <w:szCs w:val="22"/>
                <w:color w:val="auto"/>
              </w:rPr>
            </w:pPr>
          </w:p>
        </w:tc>
        <w:tc>
          <w:tcPr>
            <w:tcW w:w="2300" w:type="dxa"/>
            <w:vAlign w:val="bottom"/>
            <w:tcBorders>
              <w:bottom w:val="single" w:sz="8" w:color="E3E4E5"/>
            </w:tcBorders>
            <w:shd w:val="clear" w:color="auto" w:fill="E3E4E5"/>
          </w:tcPr>
          <w:p>
            <w:pPr>
              <w:jc w:val="right"/>
              <w:ind w:right="132"/>
              <w:spacing w:after="0"/>
              <w:rPr>
                <w:sz w:val="20"/>
                <w:szCs w:val="20"/>
                <w:color w:val="auto"/>
              </w:rPr>
            </w:pPr>
            <w:r>
              <w:rPr>
                <w:rFonts w:ascii="Times New Roman" w:cs="Times New Roman" w:eastAsia="Times New Roman" w:hAnsi="Times New Roman"/>
                <w:sz w:val="18"/>
                <w:szCs w:val="18"/>
                <w:color w:val="231F20"/>
              </w:rPr>
              <w:t>Various</w:t>
            </w:r>
          </w:p>
        </w:tc>
        <w:tc>
          <w:tcPr>
            <w:tcW w:w="156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Various</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18"/>
                <w:szCs w:val="18"/>
                <w:color w:val="BABCBE"/>
              </w:rPr>
              <w:t>........</w:t>
            </w:r>
            <w:r>
              <w:rPr>
                <w:rFonts w:ascii="Times New Roman" w:cs="Times New Roman" w:eastAsia="Times New Roman" w:hAnsi="Times New Roman"/>
                <w:sz w:val="18"/>
                <w:szCs w:val="18"/>
                <w:color w:val="231F20"/>
              </w:rPr>
              <w:t>TotalAmericanTowersubsidiarydebt</w:t>
            </w:r>
          </w:p>
        </w:tc>
        <w:tc>
          <w:tcPr>
            <w:tcW w:w="4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1,795.2</w:t>
            </w:r>
          </w:p>
        </w:tc>
        <w:tc>
          <w:tcPr>
            <w:tcW w:w="80" w:type="dxa"/>
            <w:vAlign w:val="bottom"/>
            <w:tcBorders>
              <w:bottom w:val="single" w:sz="8" w:color="E3E4E5"/>
            </w:tcBorders>
          </w:tcPr>
          <w:p>
            <w:pPr>
              <w:spacing w:after="0"/>
              <w:rPr>
                <w:sz w:val="18"/>
                <w:szCs w:val="18"/>
                <w:color w:val="auto"/>
              </w:rPr>
            </w:pPr>
          </w:p>
        </w:tc>
        <w:tc>
          <w:tcPr>
            <w:tcW w:w="4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2,310.3</w:t>
            </w:r>
          </w:p>
        </w:tc>
        <w:tc>
          <w:tcPr>
            <w:tcW w:w="80" w:type="dxa"/>
            <w:vAlign w:val="bottom"/>
            <w:tcBorders>
              <w:bottom w:val="single" w:sz="8" w:color="231F20"/>
            </w:tcBorders>
          </w:tcPr>
          <w:p>
            <w:pPr>
              <w:spacing w:after="0"/>
              <w:rPr>
                <w:sz w:val="18"/>
                <w:szCs w:val="18"/>
                <w:color w:val="auto"/>
              </w:rPr>
            </w:pPr>
          </w:p>
        </w:tc>
        <w:tc>
          <w:tcPr>
            <w:tcW w:w="2300" w:type="dxa"/>
            <w:vAlign w:val="bottom"/>
            <w:tcBorders>
              <w:bottom w:val="single" w:sz="8" w:color="E3E4E5"/>
            </w:tcBorders>
          </w:tcPr>
          <w:p>
            <w:pPr>
              <w:spacing w:after="0"/>
              <w:rPr>
                <w:sz w:val="18"/>
                <w:szCs w:val="18"/>
                <w:color w:val="auto"/>
              </w:rPr>
            </w:pPr>
          </w:p>
        </w:tc>
        <w:tc>
          <w:tcPr>
            <w:tcW w:w="1560" w:type="dxa"/>
            <w:vAlign w:val="bottom"/>
            <w:tcBorders>
              <w:bottom w:val="single" w:sz="8" w:color="E3E4E5"/>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9"/>
              </w:rPr>
              <w:t>Finance lease obligations</w:t>
            </w:r>
            <w:r>
              <w:rPr>
                <w:rFonts w:ascii="Times New Roman" w:cs="Times New Roman" w:eastAsia="Times New Roman" w:hAnsi="Times New Roman"/>
                <w:sz w:val="18"/>
                <w:szCs w:val="18"/>
                <w:color w:val="BABCBE"/>
                <w:w w:val="99"/>
              </w:rPr>
              <w:t>..............................</w:t>
            </w:r>
          </w:p>
        </w:tc>
        <w:tc>
          <w:tcPr>
            <w:tcW w:w="420" w:type="dxa"/>
            <w:vAlign w:val="bottom"/>
            <w:tcBorders>
              <w:bottom w:val="single" w:sz="8" w:color="231F20"/>
            </w:tcBorders>
            <w:shd w:val="clear" w:color="auto" w:fill="E3E4E5"/>
          </w:tcPr>
          <w:p>
            <w:pPr>
              <w:spacing w:after="0"/>
              <w:rPr>
                <w:sz w:val="21"/>
                <w:szCs w:val="21"/>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15.9</w:t>
            </w:r>
          </w:p>
        </w:tc>
        <w:tc>
          <w:tcPr>
            <w:tcW w:w="80" w:type="dxa"/>
            <w:vAlign w:val="bottom"/>
            <w:tcBorders>
              <w:bottom w:val="single" w:sz="8" w:color="E3E4E5"/>
            </w:tcBorders>
            <w:shd w:val="clear" w:color="auto" w:fill="E3E4E5"/>
          </w:tcPr>
          <w:p>
            <w:pPr>
              <w:spacing w:after="0"/>
              <w:rPr>
                <w:sz w:val="21"/>
                <w:szCs w:val="21"/>
                <w:color w:val="auto"/>
              </w:rPr>
            </w:pPr>
          </w:p>
        </w:tc>
        <w:tc>
          <w:tcPr>
            <w:tcW w:w="420" w:type="dxa"/>
            <w:vAlign w:val="bottom"/>
            <w:tcBorders>
              <w:bottom w:val="single" w:sz="8" w:color="231F20"/>
            </w:tcBorders>
            <w:shd w:val="clear" w:color="auto" w:fill="E3E4E5"/>
          </w:tcPr>
          <w:p>
            <w:pPr>
              <w:spacing w:after="0"/>
              <w:rPr>
                <w:sz w:val="21"/>
                <w:szCs w:val="21"/>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16.6</w:t>
            </w:r>
          </w:p>
        </w:tc>
        <w:tc>
          <w:tcPr>
            <w:tcW w:w="80" w:type="dxa"/>
            <w:vAlign w:val="bottom"/>
            <w:tcBorders>
              <w:bottom w:val="single" w:sz="8" w:color="231F20"/>
            </w:tcBorders>
            <w:shd w:val="clear" w:color="auto" w:fill="E3E4E5"/>
          </w:tcPr>
          <w:p>
            <w:pPr>
              <w:spacing w:after="0"/>
              <w:rPr>
                <w:sz w:val="21"/>
                <w:szCs w:val="21"/>
                <w:color w:val="auto"/>
              </w:rPr>
            </w:pPr>
          </w:p>
        </w:tc>
        <w:tc>
          <w:tcPr>
            <w:tcW w:w="2300" w:type="dxa"/>
            <w:vAlign w:val="bottom"/>
            <w:tcBorders>
              <w:bottom w:val="single" w:sz="8" w:color="E3E4E5"/>
            </w:tcBorders>
            <w:shd w:val="clear" w:color="auto" w:fill="E3E4E5"/>
          </w:tcPr>
          <w:p>
            <w:pPr>
              <w:spacing w:after="0"/>
              <w:rPr>
                <w:sz w:val="21"/>
                <w:szCs w:val="21"/>
                <w:color w:val="auto"/>
              </w:rPr>
            </w:pPr>
          </w:p>
        </w:tc>
        <w:tc>
          <w:tcPr>
            <w:tcW w:w="1560" w:type="dxa"/>
            <w:vAlign w:val="bottom"/>
            <w:tcBorders>
              <w:bottom w:val="single" w:sz="8" w:color="E3E4E5"/>
            </w:tcBorders>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BABCBE"/>
                <w:w w:val="99"/>
              </w:rPr>
              <w:t>..............................................................</w:t>
            </w:r>
            <w:r>
              <w:rPr>
                <w:rFonts w:ascii="Times New Roman" w:cs="Times New Roman" w:eastAsia="Times New Roman" w:hAnsi="Times New Roman"/>
                <w:sz w:val="18"/>
                <w:szCs w:val="18"/>
                <w:color w:val="231F20"/>
                <w:w w:val="99"/>
              </w:rPr>
              <w:t>Total</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37,220.3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36,501.8</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E3E4E5"/>
          </w:tcPr>
          <w:p>
            <w:pPr>
              <w:jc w:val="right"/>
              <w:ind w:right="732"/>
              <w:spacing w:after="0"/>
              <w:rPr>
                <w:sz w:val="20"/>
                <w:szCs w:val="20"/>
                <w:color w:val="auto"/>
              </w:rPr>
            </w:pPr>
            <w:r>
              <w:rPr>
                <w:rFonts w:ascii="Times New Roman" w:cs="Times New Roman" w:eastAsia="Times New Roman" w:hAnsi="Times New Roman"/>
                <w:sz w:val="18"/>
                <w:szCs w:val="18"/>
                <w:color w:val="231F20"/>
                <w:w w:val="99"/>
              </w:rPr>
              <w:t>Less current portion of long-term</w:t>
            </w:r>
          </w:p>
        </w:tc>
        <w:tc>
          <w:tcPr>
            <w:tcW w:w="420" w:type="dxa"/>
            <w:vAlign w:val="bottom"/>
            <w:shd w:val="clear" w:color="auto" w:fill="E3E4E5"/>
          </w:tcPr>
          <w:p>
            <w:pPr>
              <w:spacing w:after="0"/>
              <w:rPr>
                <w:sz w:val="18"/>
                <w:szCs w:val="18"/>
                <w:color w:val="auto"/>
              </w:rPr>
            </w:pPr>
          </w:p>
        </w:tc>
        <w:tc>
          <w:tcPr>
            <w:tcW w:w="9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(3,387.8)</w:t>
            </w:r>
          </w:p>
        </w:tc>
        <w:tc>
          <w:tcPr>
            <w:tcW w:w="80" w:type="dxa"/>
            <w:vAlign w:val="bottom"/>
            <w:shd w:val="clear" w:color="auto" w:fill="E3E4E5"/>
          </w:tcPr>
          <w:p>
            <w:pPr>
              <w:spacing w:after="0"/>
              <w:rPr>
                <w:sz w:val="18"/>
                <w:szCs w:val="18"/>
                <w:color w:val="auto"/>
              </w:rPr>
            </w:pPr>
          </w:p>
        </w:tc>
        <w:tc>
          <w:tcPr>
            <w:tcW w:w="420" w:type="dxa"/>
            <w:vAlign w:val="bottom"/>
            <w:shd w:val="clear" w:color="auto" w:fill="E3E4E5"/>
          </w:tcPr>
          <w:p>
            <w:pPr>
              <w:spacing w:after="0"/>
              <w:rPr>
                <w:sz w:val="18"/>
                <w:szCs w:val="18"/>
                <w:color w:val="auto"/>
              </w:rPr>
            </w:pPr>
          </w:p>
        </w:tc>
        <w:tc>
          <w:tcPr>
            <w:tcW w:w="98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rPr>
              <w:t>(3,693.0)</w:t>
            </w:r>
          </w:p>
        </w:tc>
        <w:tc>
          <w:tcPr>
            <w:tcW w:w="80" w:type="dxa"/>
            <w:vAlign w:val="bottom"/>
            <w:shd w:val="clear" w:color="auto" w:fill="E3E4E5"/>
          </w:tcPr>
          <w:p>
            <w:pPr>
              <w:spacing w:after="0"/>
              <w:rPr>
                <w:sz w:val="18"/>
                <w:szCs w:val="18"/>
                <w:color w:val="auto"/>
              </w:rPr>
            </w:pPr>
          </w:p>
        </w:tc>
        <w:tc>
          <w:tcPr>
            <w:tcW w:w="2300" w:type="dxa"/>
            <w:vAlign w:val="bottom"/>
            <w:shd w:val="clear" w:color="auto" w:fill="E3E4E5"/>
          </w:tcPr>
          <w:p>
            <w:pPr>
              <w:spacing w:after="0"/>
              <w:rPr>
                <w:sz w:val="18"/>
                <w:szCs w:val="18"/>
                <w:color w:val="auto"/>
              </w:rPr>
            </w:pPr>
          </w:p>
        </w:tc>
        <w:tc>
          <w:tcPr>
            <w:tcW w:w="156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2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18"/>
                <w:szCs w:val="18"/>
                <w:color w:val="231F20"/>
                <w:w w:val="98"/>
              </w:rPr>
              <w:t xml:space="preserve">obligations </w:t>
            </w:r>
            <w:r>
              <w:rPr>
                <w:rFonts w:ascii="Times New Roman" w:cs="Times New Roman" w:eastAsia="Times New Roman" w:hAnsi="Times New Roman"/>
                <w:sz w:val="18"/>
                <w:szCs w:val="18"/>
                <w:color w:val="BABCBE"/>
                <w:w w:val="98"/>
              </w:rPr>
              <w:t>....................................................</w:t>
            </w:r>
          </w:p>
        </w:tc>
        <w:tc>
          <w:tcPr>
            <w:tcW w:w="420" w:type="dxa"/>
            <w:vAlign w:val="bottom"/>
            <w:tcBorders>
              <w:bottom w:val="single" w:sz="8" w:color="231F20"/>
            </w:tcBorders>
            <w:shd w:val="clear" w:color="auto" w:fill="E3E4E5"/>
          </w:tcPr>
          <w:p>
            <w:pPr>
              <w:spacing w:after="0"/>
              <w:rPr>
                <w:sz w:val="21"/>
                <w:szCs w:val="21"/>
                <w:color w:val="auto"/>
              </w:rPr>
            </w:pPr>
          </w:p>
        </w:tc>
        <w:tc>
          <w:tcPr>
            <w:tcW w:w="980" w:type="dxa"/>
            <w:vAlign w:val="bottom"/>
            <w:tcBorders>
              <w:bottom w:val="single" w:sz="8" w:color="231F20"/>
            </w:tcBorders>
            <w:vMerge w:val="continue"/>
            <w:shd w:val="clear" w:color="auto" w:fill="E3E4E5"/>
          </w:tcPr>
          <w:p>
            <w:pPr>
              <w:spacing w:after="0"/>
              <w:rPr>
                <w:sz w:val="21"/>
                <w:szCs w:val="21"/>
                <w:color w:val="auto"/>
              </w:rPr>
            </w:pPr>
          </w:p>
        </w:tc>
        <w:tc>
          <w:tcPr>
            <w:tcW w:w="80" w:type="dxa"/>
            <w:vAlign w:val="bottom"/>
            <w:tcBorders>
              <w:bottom w:val="single" w:sz="8" w:color="E3E4E5"/>
            </w:tcBorders>
            <w:shd w:val="clear" w:color="auto" w:fill="E3E4E5"/>
          </w:tcPr>
          <w:p>
            <w:pPr>
              <w:spacing w:after="0"/>
              <w:rPr>
                <w:sz w:val="21"/>
                <w:szCs w:val="21"/>
                <w:color w:val="auto"/>
              </w:rPr>
            </w:pPr>
          </w:p>
        </w:tc>
        <w:tc>
          <w:tcPr>
            <w:tcW w:w="420" w:type="dxa"/>
            <w:vAlign w:val="bottom"/>
            <w:tcBorders>
              <w:bottom w:val="single" w:sz="8" w:color="231F20"/>
            </w:tcBorders>
            <w:shd w:val="clear" w:color="auto" w:fill="E3E4E5"/>
          </w:tcPr>
          <w:p>
            <w:pPr>
              <w:spacing w:after="0"/>
              <w:rPr>
                <w:sz w:val="21"/>
                <w:szCs w:val="21"/>
                <w:color w:val="auto"/>
              </w:rPr>
            </w:pPr>
          </w:p>
        </w:tc>
        <w:tc>
          <w:tcPr>
            <w:tcW w:w="980" w:type="dxa"/>
            <w:vAlign w:val="bottom"/>
            <w:tcBorders>
              <w:bottom w:val="single" w:sz="8" w:color="231F20"/>
            </w:tcBorders>
            <w:vMerge w:val="continue"/>
            <w:shd w:val="clear" w:color="auto" w:fill="E3E4E5"/>
          </w:tcPr>
          <w:p>
            <w:pPr>
              <w:spacing w:after="0"/>
              <w:rPr>
                <w:sz w:val="21"/>
                <w:szCs w:val="21"/>
                <w:color w:val="auto"/>
              </w:rPr>
            </w:pPr>
          </w:p>
        </w:tc>
        <w:tc>
          <w:tcPr>
            <w:tcW w:w="80" w:type="dxa"/>
            <w:vAlign w:val="bottom"/>
            <w:tcBorders>
              <w:bottom w:val="single" w:sz="8" w:color="231F20"/>
            </w:tcBorders>
            <w:shd w:val="clear" w:color="auto" w:fill="E3E4E5"/>
          </w:tcPr>
          <w:p>
            <w:pPr>
              <w:spacing w:after="0"/>
              <w:rPr>
                <w:sz w:val="21"/>
                <w:szCs w:val="21"/>
                <w:color w:val="auto"/>
              </w:rPr>
            </w:pPr>
          </w:p>
        </w:tc>
        <w:tc>
          <w:tcPr>
            <w:tcW w:w="2300" w:type="dxa"/>
            <w:vAlign w:val="bottom"/>
            <w:tcBorders>
              <w:bottom w:val="single" w:sz="8" w:color="E3E4E5"/>
            </w:tcBorders>
            <w:shd w:val="clear" w:color="auto" w:fill="E3E4E5"/>
          </w:tcPr>
          <w:p>
            <w:pPr>
              <w:spacing w:after="0"/>
              <w:rPr>
                <w:sz w:val="21"/>
                <w:szCs w:val="21"/>
                <w:color w:val="auto"/>
              </w:rPr>
            </w:pPr>
          </w:p>
        </w:tc>
        <w:tc>
          <w:tcPr>
            <w:tcW w:w="1560" w:type="dxa"/>
            <w:vAlign w:val="bottom"/>
            <w:tcBorders>
              <w:bottom w:val="single" w:sz="8" w:color="E3E4E5"/>
            </w:tcBorders>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2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BABCBE"/>
              </w:rPr>
              <w:t>..................................</w:t>
            </w:r>
            <w:r>
              <w:rPr>
                <w:rFonts w:ascii="Times New Roman" w:cs="Times New Roman" w:eastAsia="Times New Roman" w:hAnsi="Times New Roman"/>
                <w:sz w:val="18"/>
                <w:szCs w:val="18"/>
                <w:color w:val="231F20"/>
              </w:rPr>
              <w:t>Long-termobligations</w:t>
            </w:r>
          </w:p>
        </w:tc>
        <w:tc>
          <w:tcPr>
            <w:tcW w:w="420" w:type="dxa"/>
            <w:vAlign w:val="bottom"/>
            <w:tcBorders>
              <w:bottom w:val="single" w:sz="8" w:color="231F20"/>
            </w:tcBorders>
          </w:tcPr>
          <w:p>
            <w:pPr>
              <w:jc w:val="right"/>
              <w:ind w:right="192"/>
              <w:spacing w:after="0" w:line="192" w:lineRule="exact"/>
              <w:rPr>
                <w:sz w:val="20"/>
                <w:szCs w:val="20"/>
                <w:color w:val="auto"/>
              </w:rPr>
            </w:pPr>
            <w:r>
              <w:rPr>
                <w:rFonts w:ascii="Times New Roman" w:cs="Times New Roman" w:eastAsia="Times New Roman" w:hAnsi="Times New Roman"/>
                <w:sz w:val="18"/>
                <w:szCs w:val="18"/>
                <w:color w:val="231F20"/>
              </w:rPr>
              <w:t>$</w:t>
            </w:r>
          </w:p>
        </w:tc>
        <w:tc>
          <w:tcPr>
            <w:tcW w:w="980" w:type="dxa"/>
            <w:vAlign w:val="bottom"/>
            <w:tcBorders>
              <w:bottom w:val="single" w:sz="8" w:color="231F20"/>
            </w:tcBorders>
          </w:tcPr>
          <w:p>
            <w:pPr>
              <w:jc w:val="right"/>
              <w:spacing w:after="0" w:line="192" w:lineRule="exact"/>
              <w:rPr>
                <w:sz w:val="20"/>
                <w:szCs w:val="20"/>
                <w:color w:val="auto"/>
              </w:rPr>
            </w:pPr>
            <w:r>
              <w:rPr>
                <w:rFonts w:ascii="Times New Roman" w:cs="Times New Roman" w:eastAsia="Times New Roman" w:hAnsi="Times New Roman"/>
                <w:sz w:val="18"/>
                <w:szCs w:val="18"/>
                <w:color w:val="231F20"/>
              </w:rPr>
              <w:t>33,832.5</w:t>
            </w:r>
          </w:p>
        </w:tc>
        <w:tc>
          <w:tcPr>
            <w:tcW w:w="80" w:type="dxa"/>
            <w:vAlign w:val="bottom"/>
          </w:tcPr>
          <w:p>
            <w:pPr>
              <w:spacing w:after="0"/>
              <w:rPr>
                <w:sz w:val="16"/>
                <w:szCs w:val="16"/>
                <w:color w:val="auto"/>
              </w:rPr>
            </w:pPr>
          </w:p>
        </w:tc>
        <w:tc>
          <w:tcPr>
            <w:tcW w:w="420" w:type="dxa"/>
            <w:vAlign w:val="bottom"/>
            <w:tcBorders>
              <w:bottom w:val="single" w:sz="8" w:color="231F20"/>
            </w:tcBorders>
          </w:tcPr>
          <w:p>
            <w:pPr>
              <w:jc w:val="right"/>
              <w:ind w:right="192"/>
              <w:spacing w:after="0" w:line="192" w:lineRule="exact"/>
              <w:rPr>
                <w:sz w:val="20"/>
                <w:szCs w:val="20"/>
                <w:color w:val="auto"/>
              </w:rPr>
            </w:pPr>
            <w:r>
              <w:rPr>
                <w:rFonts w:ascii="Times New Roman" w:cs="Times New Roman" w:eastAsia="Times New Roman" w:hAnsi="Times New Roman"/>
                <w:sz w:val="18"/>
                <w:szCs w:val="18"/>
                <w:color w:val="231F20"/>
              </w:rPr>
              <w:t>$</w:t>
            </w:r>
          </w:p>
        </w:tc>
        <w:tc>
          <w:tcPr>
            <w:tcW w:w="980" w:type="dxa"/>
            <w:vAlign w:val="bottom"/>
            <w:tcBorders>
              <w:bottom w:val="single" w:sz="8" w:color="231F20"/>
            </w:tcBorders>
          </w:tcPr>
          <w:p>
            <w:pPr>
              <w:jc w:val="right"/>
              <w:spacing w:after="0" w:line="192" w:lineRule="exact"/>
              <w:rPr>
                <w:sz w:val="20"/>
                <w:szCs w:val="20"/>
                <w:color w:val="auto"/>
              </w:rPr>
            </w:pPr>
            <w:r>
              <w:rPr>
                <w:rFonts w:ascii="Times New Roman" w:cs="Times New Roman" w:eastAsia="Times New Roman" w:hAnsi="Times New Roman"/>
                <w:sz w:val="18"/>
                <w:szCs w:val="18"/>
                <w:color w:val="231F20"/>
              </w:rPr>
              <w:t>32,808.8</w:t>
            </w:r>
          </w:p>
        </w:tc>
        <w:tc>
          <w:tcPr>
            <w:tcW w:w="80" w:type="dxa"/>
            <w:vAlign w:val="bottom"/>
            <w:tcBorders>
              <w:bottom w:val="single" w:sz="8" w:color="231F20"/>
            </w:tcBorders>
          </w:tcPr>
          <w:p>
            <w:pPr>
              <w:spacing w:after="0"/>
              <w:rPr>
                <w:sz w:val="16"/>
                <w:szCs w:val="16"/>
                <w:color w:val="auto"/>
              </w:rPr>
            </w:pPr>
          </w:p>
        </w:tc>
        <w:tc>
          <w:tcPr>
            <w:tcW w:w="2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-1841500</wp:posOffset>
            </wp:positionV>
            <wp:extent cx="186436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16">
                      <a:extLst>
                        <a:ext uri="{28A0092B-C50C-407E-A947-70E740481C1C}"/>
                      </a:extLst>
                    </a:blip>
                    <a:srcRect/>
                    <a:stretch>
                      <a:fillRect/>
                    </a:stretch>
                  </pic:blipFill>
                  <pic:spPr bwMode="auto">
                    <a:xfrm>
                      <a:off x="0" y="0"/>
                      <a:ext cx="1864360" cy="25400"/>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-1677035</wp:posOffset>
            </wp:positionV>
            <wp:extent cx="1864360" cy="501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17">
                      <a:extLst>
                        <a:ext uri="{28A0092B-C50C-407E-A947-70E740481C1C}"/>
                      </a:extLst>
                    </a:blip>
                    <a:srcRect/>
                    <a:stretch>
                      <a:fillRect/>
                    </a:stretch>
                  </pic:blipFill>
                  <pic:spPr bwMode="auto">
                    <a:xfrm>
                      <a:off x="0" y="0"/>
                      <a:ext cx="1864360" cy="50165"/>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-955040</wp:posOffset>
            </wp:positionV>
            <wp:extent cx="186436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18">
                      <a:extLst>
                        <a:ext uri="{28A0092B-C50C-407E-A947-70E740481C1C}"/>
                      </a:extLst>
                    </a:blip>
                    <a:srcRect/>
                    <a:stretch>
                      <a:fillRect/>
                    </a:stretch>
                  </pic:blipFill>
                  <pic:spPr bwMode="auto">
                    <a:xfrm>
                      <a:off x="0" y="0"/>
                      <a:ext cx="1864360" cy="25400"/>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-796290</wp:posOffset>
            </wp:positionV>
            <wp:extent cx="19107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19">
                      <a:extLst>
                        <a:ext uri="{28A0092B-C50C-407E-A947-70E740481C1C}"/>
                      </a:extLst>
                    </a:blip>
                    <a:srcRect/>
                    <a:stretch>
                      <a:fillRect/>
                    </a:stretch>
                  </pic:blipFill>
                  <pic:spPr bwMode="auto">
                    <a:xfrm>
                      <a:off x="0" y="0"/>
                      <a:ext cx="1910715" cy="25400"/>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-637540</wp:posOffset>
            </wp:positionV>
            <wp:extent cx="19107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20">
                      <a:extLst>
                        <a:ext uri="{28A0092B-C50C-407E-A947-70E740481C1C}"/>
                      </a:extLst>
                    </a:blip>
                    <a:srcRect/>
                    <a:stretch>
                      <a:fillRect/>
                    </a:stretch>
                  </pic:blipFill>
                  <pic:spPr bwMode="auto">
                    <a:xfrm>
                      <a:off x="0" y="0"/>
                      <a:ext cx="1910715" cy="25400"/>
                    </a:xfrm>
                    <a:prstGeom prst="rect">
                      <a:avLst/>
                    </a:prstGeom>
                    <a:noFill/>
                  </pic:spPr>
                </pic:pic>
              </a:graphicData>
            </a:graphic>
          </wp:anchor>
        </w:drawing>
        <w:drawing>
          <wp:anchor simplePos="0" relativeHeight="251657728" behindDoc="1" locked="0" layoutInCell="0" allowOverlap="1">
            <wp:simplePos x="0" y="0"/>
            <wp:positionH relativeFrom="column">
              <wp:posOffset>2031365</wp:posOffset>
            </wp:positionH>
            <wp:positionV relativeFrom="paragraph">
              <wp:posOffset>-189230</wp:posOffset>
            </wp:positionV>
            <wp:extent cx="19107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21">
                      <a:extLst>
                        <a:ext uri="{28A0092B-C50C-407E-A947-70E740481C1C}"/>
                      </a:extLst>
                    </a:blip>
                    <a:srcRect/>
                    <a:stretch>
                      <a:fillRect/>
                    </a:stretch>
                  </pic:blipFill>
                  <pic:spPr bwMode="auto">
                    <a:xfrm>
                      <a:off x="0" y="0"/>
                      <a:ext cx="1910715" cy="2540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Reflects interest rate or maturity date as of December 31, 2025.</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Accrues interest at a variable rate.</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January 14, 2025 using cash on hand and borrowings under the 2021 Multicurrency Credit Facility (as defined below).</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March 14, 2025 using proceeds from the issuance of the 4.900% Notes and 5.350% Notes (each as defined below).</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April 3, 2025 using borrowings under the 2021 Multicurrency Credit Facility and cash on hand.</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Notes are denominated in EUR.</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May 30, 2025 using borrowings under the 2021 Credit Facility (as defined below) and cash on hand.</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September 12, 2025 using borrowings under the 2021 Credit Facility.</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February 13, 2026 using borrowings under the 2021 Credit Facility and cash on hand.</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Repaid in full on June 16, 2025 using borrowings under the 2021 Multicurrency Credit Facility and cash on hand.</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Maturity date reflects the anticipated repayment date; final legal maturity is March 15, 2048.</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Maturity date reflects the anticipated repayment date; final legal maturity is March 15, 2053.</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of December 31, 2025, includes the Bangladesh Term Loan and the CoreSite DE1 Note (each as defined below).</w:t>
      </w:r>
    </w:p>
    <w:p>
      <w:pPr>
        <w:spacing w:after="0" w:line="1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231F20"/>
        </w:rPr>
        <w:t>Current portion of long-term obligations</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The Company’s current portion of long-term obligations primarily includes (i)</w:t>
      </w:r>
    </w:p>
    <w:p>
      <w:pPr>
        <w:spacing w:after="0" w:line="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$500.0 million aggregate principal amount of the Company’s 4.400% senior unsecured notes due February 15, 2026, (ii)</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$700.0 million aggregate principal amount of the Company’s 1.600% senior unsecured notes due April 15, 2026, (iii)</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500.0 million EUR aggregate principal amount of the Company’s 1.950% senior unsecured notes due May 22, 2026, (iv)</w:t>
      </w:r>
    </w:p>
    <w:p>
      <w:pPr>
        <w:spacing w:after="0" w:line="5" w:lineRule="exact"/>
        <w:rPr>
          <w:sz w:val="20"/>
          <w:szCs w:val="20"/>
          <w:color w:val="auto"/>
        </w:rPr>
      </w:pPr>
    </w:p>
    <w:p>
      <w:pPr>
        <w:ind w:left="7" w:right="160"/>
        <w:spacing w:after="0" w:line="250" w:lineRule="auto"/>
        <w:rPr>
          <w:sz w:val="20"/>
          <w:szCs w:val="20"/>
          <w:color w:val="auto"/>
        </w:rPr>
      </w:pPr>
      <w:r>
        <w:rPr>
          <w:rFonts w:ascii="Times New Roman" w:cs="Times New Roman" w:eastAsia="Times New Roman" w:hAnsi="Times New Roman"/>
          <w:sz w:val="20"/>
          <w:szCs w:val="20"/>
          <w:color w:val="231F20"/>
        </w:rPr>
        <w:t>$600.0 million aggregate principal amount of the Company’s 1.450% senior unsecured notes due September 15, 2026, and (v) $1.0 billion aggregate principal amount of the Company’s 3.375% senior unsecured notes due October 15, 2026.</w:t>
      </w:r>
    </w:p>
    <w:p>
      <w:pPr>
        <w:spacing w:after="0" w:line="1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231F20"/>
        </w:rPr>
        <w:t>American Tower Corporation Debt</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231F20"/>
        </w:rPr>
        <w:t>Bank Facilities</w:t>
      </w:r>
    </w:p>
    <w:p>
      <w:pPr>
        <w:spacing w:after="0" w:line="167" w:lineRule="exact"/>
        <w:rPr>
          <w:sz w:val="20"/>
          <w:szCs w:val="20"/>
          <w:color w:val="auto"/>
        </w:rPr>
      </w:pPr>
    </w:p>
    <w:p>
      <w:pPr>
        <w:ind w:left="7" w:right="380"/>
        <w:spacing w:after="0" w:line="252" w:lineRule="auto"/>
        <w:rPr>
          <w:sz w:val="20"/>
          <w:szCs w:val="20"/>
          <w:color w:val="auto"/>
        </w:rPr>
      </w:pPr>
      <w:r>
        <w:rPr>
          <w:rFonts w:ascii="Times New Roman" w:cs="Times New Roman" w:eastAsia="Times New Roman" w:hAnsi="Times New Roman"/>
          <w:sz w:val="20"/>
          <w:szCs w:val="20"/>
          <w:i w:val="1"/>
          <w:iCs w:val="1"/>
          <w:color w:val="231F20"/>
        </w:rPr>
        <w:t>Amendments to Bank Facilities—</w:t>
      </w:r>
      <w:r>
        <w:rPr>
          <w:rFonts w:ascii="Times New Roman" w:cs="Times New Roman" w:eastAsia="Times New Roman" w:hAnsi="Times New Roman"/>
          <w:sz w:val="20"/>
          <w:szCs w:val="20"/>
          <w:color w:val="231F20"/>
        </w:rPr>
        <w:t>On January 28, 2025, the Company amended its (i) $6.0 billion senior unsecured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multicurrency revolving credit facility, as amended and restated in December 2021, as further amended (the “2021 Multicurrency Credit Facility”), (ii) $4.0 billion senior unsecured revolving credit facility, as amended and restated in December 2021, as further amended (the “2021 Credit Facility”) and (iii) $1.0 billion unsecured term loan, as amended and restated in December 2021, as further amended (the “2021 Term Loan”).</w:t>
      </w:r>
    </w:p>
    <w:p>
      <w:pPr>
        <w:spacing w:after="0" w:line="1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These amendments, among other things,</w:t>
      </w:r>
    </w:p>
    <w:p>
      <w:pPr>
        <w:spacing w:after="0" w:line="162" w:lineRule="exact"/>
        <w:rPr>
          <w:sz w:val="20"/>
          <w:szCs w:val="20"/>
          <w:color w:val="auto"/>
        </w:rPr>
      </w:pPr>
    </w:p>
    <w:p>
      <w:pPr>
        <w:ind w:left="707" w:right="240" w:hanging="355"/>
        <w:spacing w:after="0" w:line="273" w:lineRule="auto"/>
        <w:tabs>
          <w:tab w:leader="none" w:pos="708"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extend the maturity dates of the 2021 Multicurrency Credit Facility and the 2021 Credit Facility to January 28, 2028 and January 28, 2030, respectively;</w:t>
      </w:r>
    </w:p>
    <w:p>
      <w:pPr>
        <w:spacing w:after="0" w:line="104" w:lineRule="exact"/>
        <w:rPr>
          <w:rFonts w:ascii="Times New Roman" w:cs="Times New Roman" w:eastAsia="Times New Roman" w:hAnsi="Times New Roman"/>
          <w:sz w:val="20"/>
          <w:szCs w:val="20"/>
          <w:color w:val="231F20"/>
        </w:rPr>
      </w:pPr>
    </w:p>
    <w:p>
      <w:pPr>
        <w:ind w:left="707" w:hanging="355"/>
        <w:spacing w:after="0"/>
        <w:tabs>
          <w:tab w:leader="none" w:pos="707"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extend the maturity date of the 2021 Term Loan to January 28, 2028; and</w:t>
      </w:r>
    </w:p>
    <w:p>
      <w:pPr>
        <w:spacing w:after="0" w:line="162" w:lineRule="exact"/>
        <w:rPr>
          <w:rFonts w:ascii="Times New Roman" w:cs="Times New Roman" w:eastAsia="Times New Roman" w:hAnsi="Times New Roman"/>
          <w:sz w:val="20"/>
          <w:szCs w:val="20"/>
          <w:color w:val="231F20"/>
        </w:rPr>
      </w:pPr>
    </w:p>
    <w:p>
      <w:pPr>
        <w:ind w:left="707" w:hanging="355"/>
        <w:spacing w:after="0"/>
        <w:tabs>
          <w:tab w:leader="none" w:pos="707" w:val="left"/>
        </w:tabs>
        <w:numPr>
          <w:ilvl w:val="0"/>
          <w:numId w:val="9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update the Applicable Margins (as defined in the loan agreements).</w:t>
      </w:r>
    </w:p>
    <w:p>
      <w:pPr>
        <w:spacing w:after="0" w:line="1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2021 Multicurrency Credit Facility—</w:t>
      </w:r>
      <w:r>
        <w:rPr>
          <w:rFonts w:ascii="Times New Roman" w:cs="Times New Roman" w:eastAsia="Times New Roman" w:hAnsi="Times New Roman"/>
          <w:sz w:val="20"/>
          <w:szCs w:val="20"/>
          <w:color w:val="231F20"/>
        </w:rPr>
        <w:t>During the year ended December 31, 2025, the Company borrowed an aggregate of</w:t>
      </w:r>
    </w:p>
    <w:p>
      <w:pPr>
        <w:spacing w:after="0" w:line="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$2.4 billion, including 492.0 million EUR ($529.1 million as of the borrowing date) and repaid an aggregate of $2.0 billion,</w:t>
      </w:r>
    </w:p>
    <w:p>
      <w:pPr>
        <w:sectPr>
          <w:pgSz w:w="11880" w:h="15480" w:orient="portrait"/>
          <w:cols w:equalWidth="0" w:num="1">
            <w:col w:w="10047"/>
          </w:cols>
          <w:pgMar w:left="913" w:top="418" w:right="920" w:bottom="0" w:gutter="0" w:footer="0" w:header="0"/>
        </w:sectPr>
      </w:pPr>
    </w:p>
    <w:p>
      <w:pPr>
        <w:spacing w:after="0" w:line="3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F-27</w:t>
      </w:r>
    </w:p>
    <w:p>
      <w:pPr>
        <w:sectPr>
          <w:pgSz w:w="11880" w:h="15480" w:orient="portrait"/>
          <w:cols w:equalWidth="0" w:num="1">
            <w:col w:w="10047"/>
          </w:cols>
          <w:pgMar w:left="913" w:top="418" w:right="920" w:bottom="0" w:gutter="0" w:footer="0" w:header="0"/>
          <w:type w:val="continuous"/>
        </w:sectPr>
      </w:pPr>
    </w:p>
    <w:bookmarkStart w:id="117" w:name="page118"/>
    <w:bookmarkEnd w:id="117"/>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jc w:val="both"/>
        <w:ind w:left="7"/>
        <w:spacing w:after="0" w:line="259" w:lineRule="auto"/>
        <w:rPr>
          <w:sz w:val="20"/>
          <w:szCs w:val="20"/>
          <w:color w:val="auto"/>
        </w:rPr>
      </w:pPr>
      <w:r>
        <w:rPr>
          <w:rFonts w:ascii="Times New Roman" w:cs="Times New Roman" w:eastAsia="Times New Roman" w:hAnsi="Times New Roman"/>
          <w:sz w:val="20"/>
          <w:szCs w:val="20"/>
          <w:color w:val="231F20"/>
        </w:rPr>
        <w:t>including 492.0 million EUR ($549.9 million as of the repayment date) of revolving indebtedness under the 2021 Multicurrency Credit Facility. The Company used the borrowings to repay outstanding indebtedness, including the 2.950% Notes, the 1.375% Notes and the Series 2015-2 Notes (each as defined below), and for general corporate purposes.</w:t>
      </w:r>
    </w:p>
    <w:p>
      <w:pPr>
        <w:spacing w:after="0" w:line="116" w:lineRule="exact"/>
        <w:rPr>
          <w:sz w:val="20"/>
          <w:szCs w:val="20"/>
          <w:color w:val="auto"/>
        </w:rPr>
      </w:pPr>
    </w:p>
    <w:p>
      <w:pPr>
        <w:ind w:left="7" w:right="20"/>
        <w:spacing w:after="0" w:line="255" w:lineRule="auto"/>
        <w:rPr>
          <w:sz w:val="20"/>
          <w:szCs w:val="20"/>
          <w:color w:val="auto"/>
        </w:rPr>
      </w:pPr>
      <w:r>
        <w:rPr>
          <w:rFonts w:ascii="Times New Roman" w:cs="Times New Roman" w:eastAsia="Times New Roman" w:hAnsi="Times New Roman"/>
          <w:sz w:val="20"/>
          <w:szCs w:val="20"/>
          <w:i w:val="1"/>
          <w:iCs w:val="1"/>
          <w:color w:val="231F20"/>
        </w:rPr>
        <w:t>2021 Credit Facility—</w:t>
      </w:r>
      <w:r>
        <w:rPr>
          <w:rFonts w:ascii="Times New Roman" w:cs="Times New Roman" w:eastAsia="Times New Roman" w:hAnsi="Times New Roman"/>
          <w:sz w:val="20"/>
          <w:szCs w:val="20"/>
          <w:color w:val="231F20"/>
        </w:rPr>
        <w:t>During the year ended December 31, 2025, the Company borrowed an aggregate of $3.7 billion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repaid an aggregate of $3.7 billion of revolving indebtedness under the 2021 Credit Facility. The Company used the borrowings to repay outstanding indebtedness, including the 4.000% Notes and the 1.300% Notes (each as defined below), and for general corporate purposes.</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As of December 31, 2025, the key terms under the 2021 Multicurrency Credit Facility, the 2021 Credit Facility and the 2021</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Term Loan were as follows:</w:t>
      </w:r>
    </w:p>
    <w:p>
      <w:pPr>
        <w:spacing w:after="0" w:line="1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Outstanding</w:t>
            </w:r>
          </w:p>
        </w:tc>
        <w:tc>
          <w:tcPr>
            <w:tcW w:w="60" w:type="dxa"/>
            <w:vAlign w:val="bottom"/>
          </w:tcPr>
          <w:p>
            <w:pPr>
              <w:spacing w:after="0"/>
              <w:rPr>
                <w:sz w:val="16"/>
                <w:szCs w:val="16"/>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Undrawn</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Current</w:t>
            </w:r>
          </w:p>
        </w:tc>
        <w:tc>
          <w:tcPr>
            <w:tcW w:w="8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Current</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7"/>
              </w:rPr>
              <w:t>margin over</w:t>
            </w: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90"/>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Principal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0"/>
              <w:spacing w:after="0" w:line="157" w:lineRule="exact"/>
              <w:rPr>
                <w:sz w:val="20"/>
                <w:szCs w:val="20"/>
                <w:color w:val="auto"/>
              </w:rPr>
            </w:pPr>
            <w:r>
              <w:rPr>
                <w:rFonts w:ascii="Times New Roman" w:cs="Times New Roman" w:eastAsia="Times New Roman" w:hAnsi="Times New Roman"/>
                <w:sz w:val="16"/>
                <w:szCs w:val="16"/>
                <w:b w:val="1"/>
                <w:bCs w:val="1"/>
                <w:color w:val="231F20"/>
                <w:w w:val="96"/>
              </w:rPr>
              <w:t>letters of</w:t>
            </w:r>
          </w:p>
        </w:tc>
        <w:tc>
          <w:tcPr>
            <w:tcW w:w="80" w:type="dxa"/>
            <w:vAlign w:val="bottom"/>
          </w:tcPr>
          <w:p>
            <w:pPr>
              <w:spacing w:after="0"/>
              <w:rPr>
                <w:sz w:val="13"/>
                <w:szCs w:val="13"/>
                <w:color w:val="auto"/>
              </w:rPr>
            </w:pPr>
          </w:p>
        </w:tc>
        <w:tc>
          <w:tcPr>
            <w:tcW w:w="15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231F20"/>
              </w:rPr>
              <w:t>Maturity Date</w:t>
            </w:r>
          </w:p>
        </w:tc>
        <w:tc>
          <w:tcPr>
            <w:tcW w:w="340" w:type="dxa"/>
            <w:vAlign w:val="bottom"/>
          </w:tcPr>
          <w:p>
            <w:pPr>
              <w:spacing w:after="0"/>
              <w:rPr>
                <w:sz w:val="13"/>
                <w:szCs w:val="13"/>
                <w:color w:val="auto"/>
              </w:rPr>
            </w:pPr>
          </w:p>
        </w:tc>
        <w:tc>
          <w:tcPr>
            <w:tcW w:w="10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rPr>
              <w:t>SOFR or</w:t>
            </w:r>
          </w:p>
        </w:tc>
        <w:tc>
          <w:tcPr>
            <w:tcW w:w="8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7"/>
              </w:rPr>
              <w:t>commitment</w:t>
            </w:r>
          </w:p>
        </w:tc>
        <w:tc>
          <w:tcPr>
            <w:tcW w:w="0" w:type="dxa"/>
            <w:vAlign w:val="bottom"/>
          </w:tcPr>
          <w:p>
            <w:pPr>
              <w:spacing w:after="0"/>
              <w:rPr>
                <w:sz w:val="1"/>
                <w:szCs w:val="1"/>
                <w:color w:val="auto"/>
              </w:rPr>
            </w:pPr>
          </w:p>
        </w:tc>
      </w:tr>
      <w:tr>
        <w:trPr>
          <w:trHeight w:val="210"/>
        </w:trPr>
        <w:tc>
          <w:tcPr>
            <w:tcW w:w="460" w:type="dxa"/>
            <w:vAlign w:val="bottom"/>
            <w:tcBorders>
              <w:bottom w:val="single" w:sz="8" w:color="E3E4E5"/>
            </w:tcBorders>
          </w:tcPr>
          <w:p>
            <w:pPr>
              <w:spacing w:after="0"/>
              <w:rPr>
                <w:sz w:val="18"/>
                <w:szCs w:val="18"/>
                <w:color w:val="auto"/>
              </w:rPr>
            </w:pPr>
          </w:p>
        </w:tc>
        <w:tc>
          <w:tcPr>
            <w:tcW w:w="314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231F20"/>
                <w:w w:val="99"/>
              </w:rPr>
              <w:t>Balance</w:t>
            </w:r>
          </w:p>
        </w:tc>
        <w:tc>
          <w:tcPr>
            <w:tcW w:w="6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credit</w:t>
            </w:r>
          </w:p>
        </w:tc>
        <w:tc>
          <w:tcPr>
            <w:tcW w:w="80" w:type="dxa"/>
            <w:vAlign w:val="bottom"/>
            <w:tcBorders>
              <w:bottom w:val="single" w:sz="8" w:color="E3E4E5"/>
            </w:tcBorders>
          </w:tcPr>
          <w:p>
            <w:pPr>
              <w:spacing w:after="0"/>
              <w:rPr>
                <w:sz w:val="18"/>
                <w:szCs w:val="18"/>
                <w:color w:val="auto"/>
              </w:rPr>
            </w:pPr>
          </w:p>
        </w:tc>
        <w:tc>
          <w:tcPr>
            <w:tcW w:w="1580" w:type="dxa"/>
            <w:vAlign w:val="bottom"/>
            <w:tcBorders>
              <w:bottom w:val="single" w:sz="8" w:color="231F20"/>
            </w:tcBorders>
            <w:vMerge w:val="continue"/>
          </w:tcPr>
          <w:p>
            <w:pPr>
              <w:spacing w:after="0"/>
              <w:rPr>
                <w:sz w:val="18"/>
                <w:szCs w:val="18"/>
                <w:color w:val="auto"/>
              </w:rPr>
            </w:pPr>
          </w:p>
        </w:tc>
        <w:tc>
          <w:tcPr>
            <w:tcW w:w="340" w:type="dxa"/>
            <w:vAlign w:val="bottom"/>
            <w:tcBorders>
              <w:bottom w:val="single" w:sz="8" w:color="E3E4E5"/>
            </w:tcBorders>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EURIBOR (1)</w:t>
            </w:r>
          </w:p>
        </w:tc>
        <w:tc>
          <w:tcPr>
            <w:tcW w:w="80" w:type="dxa"/>
            <w:vAlign w:val="bottom"/>
            <w:tcBorders>
              <w:bottom w:val="single" w:sz="8" w:color="E3E4E5"/>
            </w:tcBorders>
          </w:tcPr>
          <w:p>
            <w:pPr>
              <w:spacing w:after="0"/>
              <w:rPr>
                <w:sz w:val="18"/>
                <w:szCs w:val="18"/>
                <w:color w:val="auto"/>
              </w:rPr>
            </w:pPr>
          </w:p>
        </w:tc>
        <w:tc>
          <w:tcPr>
            <w:tcW w:w="11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fee (2)</w:t>
            </w:r>
          </w:p>
        </w:tc>
        <w:tc>
          <w:tcPr>
            <w:tcW w:w="0" w:type="dxa"/>
            <w:vAlign w:val="bottom"/>
          </w:tcPr>
          <w:p>
            <w:pPr>
              <w:spacing w:after="0"/>
              <w:rPr>
                <w:sz w:val="1"/>
                <w:szCs w:val="1"/>
                <w:color w:val="auto"/>
              </w:rPr>
            </w:pPr>
          </w:p>
        </w:tc>
      </w:tr>
      <w:tr>
        <w:trPr>
          <w:trHeight w:val="270"/>
        </w:trPr>
        <w:tc>
          <w:tcPr>
            <w:tcW w:w="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2021</w:t>
            </w:r>
          </w:p>
        </w:tc>
        <w:tc>
          <w:tcPr>
            <w:tcW w:w="314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w w:val="99"/>
              </w:rPr>
              <w:t>Multicurrency Credit Facility</w:t>
            </w:r>
            <w:r>
              <w:rPr>
                <w:rFonts w:ascii="Times New Roman" w:cs="Times New Roman" w:eastAsia="Times New Roman" w:hAnsi="Times New Roman"/>
                <w:sz w:val="20"/>
                <w:szCs w:val="20"/>
                <w:color w:val="BABCBE"/>
                <w:w w:val="99"/>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380.0</w:t>
            </w:r>
          </w:p>
        </w:tc>
        <w:tc>
          <w:tcPr>
            <w:tcW w:w="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80" w:type="dxa"/>
            <w:vAlign w:val="bottom"/>
            <w:shd w:val="clear" w:color="auto" w:fill="E3E4E5"/>
          </w:tcPr>
          <w:p>
            <w:pPr>
              <w:spacing w:after="0"/>
              <w:rPr>
                <w:sz w:val="23"/>
                <w:szCs w:val="23"/>
                <w:color w:val="auto"/>
              </w:rPr>
            </w:pPr>
          </w:p>
        </w:tc>
        <w:tc>
          <w:tcPr>
            <w:tcW w:w="1580" w:type="dxa"/>
            <w:vAlign w:val="bottom"/>
            <w:shd w:val="clear" w:color="auto" w:fill="E3E4E5"/>
          </w:tcPr>
          <w:p>
            <w:pPr>
              <w:ind w:left="180"/>
              <w:spacing w:after="0"/>
              <w:rPr>
                <w:sz w:val="20"/>
                <w:szCs w:val="20"/>
                <w:color w:val="auto"/>
              </w:rPr>
            </w:pPr>
            <w:r>
              <w:rPr>
                <w:rFonts w:ascii="Times New Roman" w:cs="Times New Roman" w:eastAsia="Times New Roman" w:hAnsi="Times New Roman"/>
                <w:sz w:val="20"/>
                <w:szCs w:val="20"/>
                <w:color w:val="231F20"/>
              </w:rPr>
              <w:t>January 28, 2028</w:t>
            </w:r>
          </w:p>
        </w:tc>
        <w:tc>
          <w:tcPr>
            <w:tcW w:w="3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0.875 %</w:t>
            </w:r>
          </w:p>
        </w:tc>
        <w:tc>
          <w:tcPr>
            <w:tcW w:w="12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0.100 %</w:t>
            </w:r>
          </w:p>
        </w:tc>
        <w:tc>
          <w:tcPr>
            <w:tcW w:w="0" w:type="dxa"/>
            <w:vAlign w:val="bottom"/>
          </w:tcPr>
          <w:p>
            <w:pPr>
              <w:spacing w:after="0"/>
              <w:rPr>
                <w:sz w:val="1"/>
                <w:szCs w:val="1"/>
                <w:color w:val="auto"/>
              </w:rPr>
            </w:pPr>
          </w:p>
        </w:tc>
      </w:tr>
      <w:tr>
        <w:trPr>
          <w:trHeight w:val="274"/>
        </w:trPr>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2021</w:t>
            </w:r>
          </w:p>
        </w:tc>
        <w:tc>
          <w:tcPr>
            <w:tcW w:w="3140" w:type="dxa"/>
            <w:vAlign w:val="bottom"/>
          </w:tcPr>
          <w:p>
            <w:pPr>
              <w:ind w:left="20"/>
              <w:spacing w:after="0"/>
              <w:rPr>
                <w:sz w:val="20"/>
                <w:szCs w:val="20"/>
                <w:color w:val="auto"/>
              </w:rPr>
            </w:pPr>
            <w:r>
              <w:rPr>
                <w:rFonts w:ascii="Times New Roman" w:cs="Times New Roman" w:eastAsia="Times New Roman" w:hAnsi="Times New Roman"/>
                <w:sz w:val="20"/>
                <w:szCs w:val="20"/>
                <w:color w:val="231F20"/>
                <w:w w:val="99"/>
              </w:rPr>
              <w:t>Credit Facility</w:t>
            </w:r>
            <w:r>
              <w:rPr>
                <w:rFonts w:ascii="Times New Roman" w:cs="Times New Roman" w:eastAsia="Times New Roman" w:hAnsi="Times New Roman"/>
                <w:sz w:val="20"/>
                <w:szCs w:val="20"/>
                <w:color w:val="BABCBE"/>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w:t>
            </w:r>
          </w:p>
        </w:tc>
        <w:tc>
          <w:tcPr>
            <w:tcW w:w="80" w:type="dxa"/>
            <w:vAlign w:val="bottom"/>
          </w:tcPr>
          <w:p>
            <w:pPr>
              <w:spacing w:after="0"/>
              <w:rPr>
                <w:sz w:val="23"/>
                <w:szCs w:val="23"/>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January 28, 2030</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0.875 %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0.100 %</w:t>
            </w:r>
          </w:p>
        </w:tc>
        <w:tc>
          <w:tcPr>
            <w:tcW w:w="0" w:type="dxa"/>
            <w:vAlign w:val="bottom"/>
          </w:tcPr>
          <w:p>
            <w:pPr>
              <w:spacing w:after="0"/>
              <w:rPr>
                <w:sz w:val="1"/>
                <w:szCs w:val="1"/>
                <w:color w:val="auto"/>
              </w:rPr>
            </w:pPr>
          </w:p>
        </w:tc>
      </w:tr>
      <w:tr>
        <w:trPr>
          <w:trHeight w:val="285"/>
        </w:trPr>
        <w:tc>
          <w:tcPr>
            <w:tcW w:w="4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2021</w:t>
            </w:r>
          </w:p>
        </w:tc>
        <w:tc>
          <w:tcPr>
            <w:tcW w:w="314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w w:val="98"/>
              </w:rPr>
              <w:t xml:space="preserve">Term Loan </w:t>
            </w:r>
            <w:r>
              <w:rPr>
                <w:rFonts w:ascii="Times New Roman" w:cs="Times New Roman" w:eastAsia="Times New Roman" w:hAnsi="Times New Roman"/>
                <w:sz w:val="20"/>
                <w:szCs w:val="20"/>
                <w:color w:val="BABCBE"/>
                <w:w w:val="98"/>
              </w:rPr>
              <w:t>............................................</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6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80" w:type="dxa"/>
            <w:vAlign w:val="bottom"/>
            <w:shd w:val="clear" w:color="auto" w:fill="E3E4E5"/>
          </w:tcPr>
          <w:p>
            <w:pPr>
              <w:spacing w:after="0"/>
              <w:rPr>
                <w:sz w:val="24"/>
                <w:szCs w:val="24"/>
                <w:color w:val="auto"/>
              </w:rPr>
            </w:pPr>
          </w:p>
        </w:tc>
        <w:tc>
          <w:tcPr>
            <w:tcW w:w="1580" w:type="dxa"/>
            <w:vAlign w:val="bottom"/>
            <w:shd w:val="clear" w:color="auto" w:fill="E3E4E5"/>
          </w:tcPr>
          <w:p>
            <w:pPr>
              <w:ind w:left="180"/>
              <w:spacing w:after="0"/>
              <w:rPr>
                <w:sz w:val="20"/>
                <w:szCs w:val="20"/>
                <w:color w:val="auto"/>
              </w:rPr>
            </w:pPr>
            <w:r>
              <w:rPr>
                <w:rFonts w:ascii="Times New Roman" w:cs="Times New Roman" w:eastAsia="Times New Roman" w:hAnsi="Times New Roman"/>
                <w:sz w:val="20"/>
                <w:szCs w:val="20"/>
                <w:color w:val="231F20"/>
              </w:rPr>
              <w:t>January 28, 2028</w:t>
            </w: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0.875 %</w:t>
            </w:r>
          </w:p>
        </w:tc>
        <w:tc>
          <w:tcPr>
            <w:tcW w:w="80" w:type="dxa"/>
            <w:vAlign w:val="bottom"/>
            <w:shd w:val="clear" w:color="auto" w:fill="E3E4E5"/>
          </w:tcPr>
          <w:p>
            <w:pPr>
              <w:spacing w:after="0"/>
              <w:rPr>
                <w:sz w:val="24"/>
                <w:szCs w:val="24"/>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-544195</wp:posOffset>
            </wp:positionV>
            <wp:extent cx="401129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22">
                      <a:extLst>
                        <a:ext uri="{28A0092B-C50C-407E-A947-70E740481C1C}"/>
                      </a:extLst>
                    </a:blip>
                    <a:srcRect/>
                    <a:stretch>
                      <a:fillRect/>
                    </a:stretch>
                  </pic:blipFill>
                  <pic:spPr bwMode="auto">
                    <a:xfrm>
                      <a:off x="0" y="0"/>
                      <a:ext cx="4011295" cy="25400"/>
                    </a:xfrm>
                    <a:prstGeom prst="rect">
                      <a:avLst/>
                    </a:prstGeom>
                    <a:noFill/>
                  </pic:spPr>
                </pic:pic>
              </a:graphicData>
            </a:graphic>
          </wp:anchor>
        </w:drawing>
      </w:r>
    </w:p>
    <w:p>
      <w:pPr>
        <w:spacing w:after="0" w:line="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right="100" w:hanging="347"/>
        <w:spacing w:after="0" w:line="245" w:lineRule="auto"/>
        <w:tabs>
          <w:tab w:leader="none" w:pos="348" w:val="left"/>
        </w:tabs>
        <w:numPr>
          <w:ilvl w:val="0"/>
          <w:numId w:val="9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Secured Overnight Financing Rate (“SOFR”) applies to the USD denominated borrowings under the 2021 Multicurrency Credit Facility, the 2021 Credit Facility and the 2021 Term Loan. Euro Interbank Offer Rate (“EURIBOR”) applies for EURIBOR based borrowings.</w:t>
      </w:r>
    </w:p>
    <w:p>
      <w:pPr>
        <w:ind w:left="347" w:hanging="347"/>
        <w:spacing w:after="0"/>
        <w:tabs>
          <w:tab w:leader="none" w:pos="347" w:val="left"/>
        </w:tabs>
        <w:numPr>
          <w:ilvl w:val="0"/>
          <w:numId w:val="9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Fee on undrawn portion of each credit facility.</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Subject to two optional renewal periods.</w:t>
      </w:r>
    </w:p>
    <w:p>
      <w:pPr>
        <w:spacing w:after="0" w:line="132" w:lineRule="exact"/>
        <w:rPr>
          <w:sz w:val="20"/>
          <w:szCs w:val="20"/>
          <w:color w:val="auto"/>
        </w:rPr>
      </w:pPr>
    </w:p>
    <w:p>
      <w:pPr>
        <w:ind w:left="7" w:right="20"/>
        <w:spacing w:after="0" w:line="250" w:lineRule="auto"/>
        <w:rPr>
          <w:sz w:val="20"/>
          <w:szCs w:val="20"/>
          <w:color w:val="auto"/>
        </w:rPr>
      </w:pPr>
      <w:r>
        <w:rPr>
          <w:rFonts w:ascii="Times New Roman" w:cs="Times New Roman" w:eastAsia="Times New Roman" w:hAnsi="Times New Roman"/>
          <w:sz w:val="20"/>
          <w:szCs w:val="20"/>
          <w:color w:val="231F20"/>
        </w:rPr>
        <w:t>The loan agreements for each of the 2021 Multicurrency Credit Facility, the 2021 Credit Facility, and the 2021 Term Loan contain certain reporting, information, financial and operating covenants and other restrictions (including limitations on additional debt, guaranties, sales of assets and liens) with which the Company must comply. Failure to comply with the financial and operating covenants of the loan agreements could not only prevent the Company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spacing w:after="0" w:line="1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231F20"/>
        </w:rPr>
        <w:t>Senior Notes</w:t>
      </w:r>
    </w:p>
    <w:p>
      <w:pPr>
        <w:spacing w:after="0" w:line="16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Repayments of Senior Notes</w:t>
      </w:r>
    </w:p>
    <w:p>
      <w:pPr>
        <w:spacing w:after="0" w:line="162" w:lineRule="exact"/>
        <w:rPr>
          <w:sz w:val="20"/>
          <w:szCs w:val="20"/>
          <w:color w:val="auto"/>
        </w:rPr>
      </w:pPr>
    </w:p>
    <w:p>
      <w:pPr>
        <w:ind w:left="7" w:right="160"/>
        <w:spacing w:after="0" w:line="255" w:lineRule="auto"/>
        <w:rPr>
          <w:sz w:val="20"/>
          <w:szCs w:val="20"/>
          <w:color w:val="auto"/>
        </w:rPr>
      </w:pPr>
      <w:r>
        <w:rPr>
          <w:rFonts w:ascii="Times New Roman" w:cs="Times New Roman" w:eastAsia="Times New Roman" w:hAnsi="Times New Roman"/>
          <w:sz w:val="20"/>
          <w:szCs w:val="20"/>
          <w:i w:val="1"/>
          <w:iCs w:val="1"/>
          <w:color w:val="231F20"/>
        </w:rPr>
        <w:t>Repayment of 2.950% Senior Notes—</w:t>
      </w:r>
      <w:r>
        <w:rPr>
          <w:rFonts w:ascii="Times New Roman" w:cs="Times New Roman" w:eastAsia="Times New Roman" w:hAnsi="Times New Roman"/>
          <w:sz w:val="20"/>
          <w:szCs w:val="20"/>
          <w:color w:val="231F20"/>
        </w:rPr>
        <w:t>On January 14, 2025, the Company repaid $650.0 million aggregate principal amount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Company’s 2.950% senior unsecured notes due 2025 (the “2.950% Notes”) upon their maturity. The 2.950% Notes were repaid using cash on hand and borrowings under the 2021 Multicurrency Credit Facility. Upon completion of the repayment, none of the 2.950% Notes remained outstanding.</w:t>
      </w:r>
    </w:p>
    <w:p>
      <w:pPr>
        <w:spacing w:after="0" w:line="120" w:lineRule="exact"/>
        <w:rPr>
          <w:sz w:val="20"/>
          <w:szCs w:val="20"/>
          <w:color w:val="auto"/>
        </w:rPr>
      </w:pPr>
    </w:p>
    <w:p>
      <w:pPr>
        <w:ind w:left="7" w:right="160"/>
        <w:spacing w:after="0" w:line="255" w:lineRule="auto"/>
        <w:rPr>
          <w:sz w:val="20"/>
          <w:szCs w:val="20"/>
          <w:color w:val="auto"/>
        </w:rPr>
      </w:pPr>
      <w:r>
        <w:rPr>
          <w:rFonts w:ascii="Times New Roman" w:cs="Times New Roman" w:eastAsia="Times New Roman" w:hAnsi="Times New Roman"/>
          <w:sz w:val="20"/>
          <w:szCs w:val="20"/>
          <w:i w:val="1"/>
          <w:iCs w:val="1"/>
          <w:color w:val="231F20"/>
        </w:rPr>
        <w:t>Repayment of 2.400% Senior Notes—</w:t>
      </w:r>
      <w:r>
        <w:rPr>
          <w:rFonts w:ascii="Times New Roman" w:cs="Times New Roman" w:eastAsia="Times New Roman" w:hAnsi="Times New Roman"/>
          <w:sz w:val="20"/>
          <w:szCs w:val="20"/>
          <w:color w:val="231F20"/>
        </w:rPr>
        <w:t>On March 14, 2025, the Company repaid $750.0 million aggregate principal amount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Company’s 2.400% senior unsecured notes due 2025 (the “2.400% Notes”) upon their maturity. The 2.400% Notes were repaid using proceeds from the issuance of the 4.900% Notes and the 5.350% Notes. Upon completion of the repayment, none of the 2.400% Notes remained outstanding.</w:t>
      </w:r>
    </w:p>
    <w:p>
      <w:pPr>
        <w:spacing w:after="0" w:line="120" w:lineRule="exact"/>
        <w:rPr>
          <w:sz w:val="20"/>
          <w:szCs w:val="20"/>
          <w:color w:val="auto"/>
        </w:rPr>
      </w:pPr>
    </w:p>
    <w:p>
      <w:pPr>
        <w:ind w:left="7" w:right="100"/>
        <w:spacing w:after="0" w:line="255" w:lineRule="auto"/>
        <w:rPr>
          <w:sz w:val="20"/>
          <w:szCs w:val="20"/>
          <w:color w:val="auto"/>
        </w:rPr>
      </w:pPr>
      <w:r>
        <w:rPr>
          <w:rFonts w:ascii="Times New Roman" w:cs="Times New Roman" w:eastAsia="Times New Roman" w:hAnsi="Times New Roman"/>
          <w:sz w:val="20"/>
          <w:szCs w:val="20"/>
          <w:i w:val="1"/>
          <w:iCs w:val="1"/>
          <w:color w:val="231F20"/>
        </w:rPr>
        <w:t>Repayment of 1.375% Senior Notes</w:t>
      </w:r>
      <w:r>
        <w:rPr>
          <w:rFonts w:ascii="Times New Roman" w:cs="Times New Roman" w:eastAsia="Times New Roman" w:hAnsi="Times New Roman"/>
          <w:sz w:val="20"/>
          <w:szCs w:val="20"/>
          <w:color w:val="231F20"/>
        </w:rPr>
        <w:t>—On April 3, 2025, the Company repaid 500.0 million EUR aggregate principal amount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Company’s 1.375% senior unsecured notes due 2025 (the “1.375% Notes”) upon their maturity. The 1.375% Notes were repaid using borrowings under the 2021 Multicurrency Credit Facility and cash on hand. Upon completion of the repayment, none of the 1.375% Notes remained outstanding.</w:t>
      </w:r>
    </w:p>
    <w:p>
      <w:pPr>
        <w:spacing w:after="0" w:line="120" w:lineRule="exact"/>
        <w:rPr>
          <w:sz w:val="20"/>
          <w:szCs w:val="20"/>
          <w:color w:val="auto"/>
        </w:rPr>
      </w:pPr>
    </w:p>
    <w:p>
      <w:pPr>
        <w:ind w:left="7" w:right="40"/>
        <w:spacing w:after="0" w:line="255" w:lineRule="auto"/>
        <w:rPr>
          <w:sz w:val="20"/>
          <w:szCs w:val="20"/>
          <w:color w:val="auto"/>
        </w:rPr>
      </w:pPr>
      <w:r>
        <w:rPr>
          <w:rFonts w:ascii="Times New Roman" w:cs="Times New Roman" w:eastAsia="Times New Roman" w:hAnsi="Times New Roman"/>
          <w:sz w:val="20"/>
          <w:szCs w:val="20"/>
          <w:i w:val="1"/>
          <w:iCs w:val="1"/>
          <w:color w:val="231F20"/>
        </w:rPr>
        <w:t>Repayment of 4.000% Senior Notes</w:t>
      </w:r>
      <w:r>
        <w:rPr>
          <w:rFonts w:ascii="Times New Roman" w:cs="Times New Roman" w:eastAsia="Times New Roman" w:hAnsi="Times New Roman"/>
          <w:sz w:val="20"/>
          <w:szCs w:val="20"/>
          <w:color w:val="231F20"/>
        </w:rPr>
        <w:t>—On May 30, 2025, the Company repaid $750.0 million aggregate principal amount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Company’s 4.000% senior unsecured notes due 2025 (the “4.000% Notes”) upon their maturity. The 4.000% Notes were repaid using borrowings under the 2021 Credit Facility and cash on hand. Upon completion of the repayment, none of the 4.000% Notes remained outstanding.</w:t>
      </w:r>
    </w:p>
    <w:p>
      <w:pPr>
        <w:spacing w:after="0" w:line="120" w:lineRule="exact"/>
        <w:rPr>
          <w:sz w:val="20"/>
          <w:szCs w:val="20"/>
          <w:color w:val="auto"/>
        </w:rPr>
      </w:pPr>
    </w:p>
    <w:p>
      <w:pPr>
        <w:ind w:left="7" w:right="80"/>
        <w:spacing w:after="0" w:line="255" w:lineRule="auto"/>
        <w:rPr>
          <w:sz w:val="20"/>
          <w:szCs w:val="20"/>
          <w:color w:val="auto"/>
        </w:rPr>
      </w:pPr>
      <w:r>
        <w:rPr>
          <w:rFonts w:ascii="Times New Roman" w:cs="Times New Roman" w:eastAsia="Times New Roman" w:hAnsi="Times New Roman"/>
          <w:sz w:val="20"/>
          <w:szCs w:val="20"/>
          <w:i w:val="1"/>
          <w:iCs w:val="1"/>
          <w:color w:val="231F20"/>
        </w:rPr>
        <w:t>Repayment of 1.300% Senior Notes</w:t>
      </w:r>
      <w:r>
        <w:rPr>
          <w:rFonts w:ascii="Times New Roman" w:cs="Times New Roman" w:eastAsia="Times New Roman" w:hAnsi="Times New Roman"/>
          <w:sz w:val="20"/>
          <w:szCs w:val="20"/>
          <w:color w:val="231F20"/>
        </w:rPr>
        <w:t>—On September 12, 2025, the Company repaid $500.0 million aggregate principal amount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the Company’s 1.300% senior unsecured notes due 2025 (the “1.300% Notes”) upon their maturity. The 1.300% Notes were repaid using borrowings under the 2021 Credit Facility. Upon completion of the repayment, none of the 1.300% Notes remained outstanding.</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F-28</w:t>
      </w:r>
    </w:p>
    <w:p>
      <w:pPr>
        <w:sectPr>
          <w:pgSz w:w="11880" w:h="15480" w:orient="portrait"/>
          <w:cols w:equalWidth="0" w:num="1">
            <w:col w:w="10047"/>
          </w:cols>
          <w:pgMar w:left="913" w:top="418" w:right="920" w:bottom="0" w:gutter="0" w:footer="0" w:header="0"/>
          <w:type w:val="continuous"/>
        </w:sectPr>
      </w:pPr>
    </w:p>
    <w:bookmarkStart w:id="118" w:name="page119"/>
    <w:bookmarkEnd w:id="118"/>
    <w:p>
      <w:pPr>
        <w:jc w:val="center"/>
        <w:ind w:right="80"/>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Offerings of Senior Notes</w:t>
      </w:r>
    </w:p>
    <w:p>
      <w:pPr>
        <w:spacing w:after="0" w:line="16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i w:val="1"/>
          <w:iCs w:val="1"/>
          <w:color w:val="231F20"/>
        </w:rPr>
        <w:t>4.900% Senior Notes and 5.350% Senior Notes Offering—</w:t>
      </w:r>
      <w:r>
        <w:rPr>
          <w:rFonts w:ascii="Times New Roman" w:cs="Times New Roman" w:eastAsia="Times New Roman" w:hAnsi="Times New Roman"/>
          <w:sz w:val="20"/>
          <w:szCs w:val="20"/>
          <w:color w:val="231F20"/>
        </w:rPr>
        <w:t>On March 14, 2025, the Company completed a registered public</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offering of $650.0 million aggregate principal amount of 4.900% senior unsecured notes due 2030 (the “Initial 4.900% Notes”) and $350.0 million aggregate principal amount of 5.350% senior unsecured notes due 2035 (the “Initial 5.350% Notes”). The net proceeds from this offering were approximately $988.9 million, after deducting commissions and estimated expenses. The Company used the net proceeds to repay the 2.400% Notes, to repay existing indebtedness under the 2021 Multicurrency Credit Facility and for general corporate purposes.</w:t>
      </w:r>
    </w:p>
    <w:p>
      <w:pPr>
        <w:spacing w:after="0" w:line="1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231F20"/>
        </w:rPr>
        <w:t>On September 16, 2025, the Company completed a registered public offering of $200.0 million aggregate principal amount through a reopening of the Initial 4.900% Notes (the “Reopened 4.900% Notes” and, collectively with the Initial 4.900% Notes, the “4.900% Notes”) and $375.0 million aggregate principal amount through a reopening of the Initial 5.350% Notes (the “Reopened 5.350% Notes” and, collectively with the Initial 5.350% Notes, the “5.350% Notes”). The net proceeds from this offering were approximately $587.8 million, after deducting commissions and estimated expenses. The Company used the net proceeds to repay existing indebtedness under the 2021 Credit Facility and for general corporate purposes.</w:t>
      </w:r>
    </w:p>
    <w:p>
      <w:pPr>
        <w:spacing w:after="0" w:line="12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9"/>
          <w:szCs w:val="19"/>
          <w:i w:val="1"/>
          <w:iCs w:val="1"/>
          <w:color w:val="231F20"/>
        </w:rPr>
        <w:t>3.625% Senior Notes Offering—</w:t>
      </w:r>
      <w:r>
        <w:rPr>
          <w:rFonts w:ascii="Times New Roman" w:cs="Times New Roman" w:eastAsia="Times New Roman" w:hAnsi="Times New Roman"/>
          <w:sz w:val="19"/>
          <w:szCs w:val="19"/>
          <w:color w:val="231F20"/>
        </w:rPr>
        <w:t>On May 30, 2025, the Company completed a registered public offering of 500.0 million EUR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(approximately $567.4 million at the date of issuance) aggregate principal amount of 3.625% senior unsecured notes due 2032 (the “3.625% Notes”). The net proceeds from this offering were approximately 496.8 million EUR (approximately</w:t>
      </w:r>
    </w:p>
    <w:p>
      <w:pPr>
        <w:spacing w:after="0" w:line="2"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9"/>
          <w:szCs w:val="19"/>
          <w:color w:val="231F20"/>
        </w:rPr>
        <w:t>$563.7 million at the date of issuance), after deducting commissions and estimated expenses. The Company used the net proceeds to repay existing indebtedness under the 2021 Multicurrency Credit Facility and for general corporate purposes.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4.700% Senior Notes Offering—</w:t>
      </w:r>
      <w:r>
        <w:rPr>
          <w:rFonts w:ascii="Times New Roman" w:cs="Times New Roman" w:eastAsia="Times New Roman" w:hAnsi="Times New Roman"/>
          <w:sz w:val="20"/>
          <w:szCs w:val="20"/>
          <w:color w:val="231F20"/>
        </w:rPr>
        <w:t>On December 5, 2025, the Company completed a registered public offering of $850.0 million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aggregate principal amount of 4.700% senior unsecured notes due 2032 (the “4.700% Notes,” and, collectively with the 4.900%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Notes, the 5.350% Notes and the 3.625% Notes, the “Notes”). The net proceeds from this offering were approximately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$839.5 million, after deducting commissions and estimated expenses. The Company used the net proceeds to repay existing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indebtedness under the 2021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outlines key terms related to the Company</w:t>
      </w:r>
      <w:r>
        <w:rPr>
          <w:rFonts w:ascii="Times New Roman" w:cs="Times New Roman" w:eastAsia="Times New Roman" w:hAnsi="Times New Roman"/>
          <w:sz w:val="21"/>
          <w:szCs w:val="21"/>
          <w:color w:val="231F20"/>
        </w:rPr>
        <w:t>’</w:t>
      </w:r>
      <w:r>
        <w:rPr>
          <w:rFonts w:ascii="Times New Roman" w:cs="Times New Roman" w:eastAsia="Times New Roman" w:hAnsi="Times New Roman"/>
          <w:sz w:val="20"/>
          <w:szCs w:val="20"/>
          <w:color w:val="231F20"/>
        </w:rPr>
        <w:t>s outstanding senior notes as of December 31, 2025:</w:t>
      </w:r>
    </w:p>
    <w:p>
      <w:pPr>
        <w:spacing w:after="0" w:line="6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6"/>
          <w:szCs w:val="16"/>
          <w:b w:val="1"/>
          <w:bCs w:val="1"/>
          <w:color w:val="231F20"/>
        </w:rPr>
        <w:t>Adjustments to</w:t>
      </w:r>
    </w:p>
    <w:p>
      <w:pPr>
        <w:jc w:val="center"/>
        <w:ind w:right="3760"/>
        <w:spacing w:after="0" w:line="204" w:lineRule="auto"/>
        <w:rPr>
          <w:sz w:val="20"/>
          <w:szCs w:val="20"/>
          <w:color w:val="auto"/>
        </w:rPr>
      </w:pPr>
      <w:r>
        <w:rPr>
          <w:rFonts w:ascii="Times New Roman" w:cs="Times New Roman" w:eastAsia="Times New Roman" w:hAnsi="Times New Roman"/>
          <w:sz w:val="16"/>
          <w:szCs w:val="16"/>
          <w:b w:val="1"/>
          <w:bCs w:val="1"/>
          <w:color w:val="231F20"/>
        </w:rPr>
        <w:t>Principal Amount</w:t>
      </w:r>
    </w:p>
    <w:p>
      <w:pPr>
        <w:jc w:val="center"/>
        <w:ind w:right="3760"/>
        <w:spacing w:after="0"/>
        <w:rPr>
          <w:sz w:val="20"/>
          <w:szCs w:val="20"/>
          <w:color w:val="auto"/>
        </w:rPr>
      </w:pPr>
      <w:r>
        <w:rPr>
          <w:rFonts w:ascii="Times New Roman" w:cs="Times New Roman" w:eastAsia="Times New Roman" w:hAnsi="Times New Roman"/>
          <w:sz w:val="16"/>
          <w:szCs w:val="16"/>
          <w:b w:val="1"/>
          <w:bCs w:val="1"/>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-16510</wp:posOffset>
            </wp:positionV>
            <wp:extent cx="86804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23">
                      <a:extLst>
                        <a:ext uri="{28A0092B-C50C-407E-A947-70E740481C1C}"/>
                      </a:extLst>
                    </a:blip>
                    <a:srcRect/>
                    <a:stretch>
                      <a:fillRect/>
                    </a:stretch>
                  </pic:blipFill>
                  <pic:spPr bwMode="auto">
                    <a:xfrm>
                      <a:off x="0" y="0"/>
                      <a:ext cx="868045" cy="127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231F20"/>
                <w:w w:val="96"/>
              </w:rPr>
              <w:t>Aggregate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0" w:type="dxa"/>
            <w:vAlign w:val="bottom"/>
            <w:vMerge w:val="restart"/>
          </w:tcPr>
          <w:p>
            <w:pPr>
              <w:jc w:val="right"/>
              <w:ind w:right="844"/>
              <w:spacing w:after="0"/>
              <w:rPr>
                <w:sz w:val="20"/>
                <w:szCs w:val="20"/>
                <w:color w:val="auto"/>
              </w:rPr>
            </w:pPr>
            <w:r>
              <w:rPr>
                <w:rFonts w:ascii="Times New Roman" w:cs="Times New Roman" w:eastAsia="Times New Roman" w:hAnsi="Times New Roman"/>
                <w:sz w:val="16"/>
                <w:szCs w:val="16"/>
                <w:b w:val="1"/>
                <w:bCs w:val="1"/>
                <w:color w:val="231F20"/>
              </w:rPr>
              <w:t>Interest</w:t>
            </w: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4"/>
              </w:rPr>
              <w:t>Principal</w:t>
            </w:r>
          </w:p>
        </w:tc>
        <w:tc>
          <w:tcPr>
            <w:tcW w:w="60" w:type="dxa"/>
            <w:vAlign w:val="bottom"/>
            <w:vMerge w:val="restart"/>
          </w:tcPr>
          <w:p>
            <w:pPr>
              <w:spacing w:after="0"/>
              <w:rPr>
                <w:sz w:val="13"/>
                <w:szCs w:val="13"/>
                <w:color w:val="auto"/>
              </w:rPr>
            </w:pPr>
          </w:p>
        </w:tc>
        <w:tc>
          <w:tcPr>
            <w:tcW w:w="6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vMerge w:val="restart"/>
          </w:tcPr>
          <w:p>
            <w:pPr>
              <w:spacing w:after="0"/>
              <w:rPr>
                <w:sz w:val="13"/>
                <w:szCs w:val="13"/>
                <w:color w:val="auto"/>
              </w:rPr>
            </w:pP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vMerge w:val="restart"/>
          </w:tcPr>
          <w:p>
            <w:pPr>
              <w:jc w:val="right"/>
              <w:ind w:right="503"/>
              <w:spacing w:after="0"/>
              <w:rPr>
                <w:sz w:val="20"/>
                <w:szCs w:val="20"/>
                <w:color w:val="auto"/>
              </w:rPr>
            </w:pPr>
            <w:r>
              <w:rPr>
                <w:rFonts w:ascii="Times New Roman" w:cs="Times New Roman" w:eastAsia="Times New Roman" w:hAnsi="Times New Roman"/>
                <w:sz w:val="16"/>
                <w:szCs w:val="16"/>
                <w:b w:val="1"/>
                <w:bCs w:val="1"/>
                <w:color w:val="231F20"/>
              </w:rPr>
              <w:t>Issue Date</w:t>
            </w:r>
          </w:p>
        </w:tc>
        <w:tc>
          <w:tcPr>
            <w:tcW w:w="80" w:type="dxa"/>
            <w:vAlign w:val="bottom"/>
          </w:tcPr>
          <w:p>
            <w:pPr>
              <w:spacing w:after="0"/>
              <w:rPr>
                <w:sz w:val="13"/>
                <w:szCs w:val="13"/>
                <w:color w:val="auto"/>
              </w:rPr>
            </w:pPr>
          </w:p>
        </w:tc>
        <w:tc>
          <w:tcPr>
            <w:tcW w:w="176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Par Call Date (3)</w:t>
            </w:r>
          </w:p>
        </w:tc>
        <w:tc>
          <w:tcPr>
            <w:tcW w:w="0" w:type="dxa"/>
            <w:vAlign w:val="bottom"/>
          </w:tcPr>
          <w:p>
            <w:pPr>
              <w:spacing w:after="0"/>
              <w:rPr>
                <w:sz w:val="1"/>
                <w:szCs w:val="1"/>
                <w:color w:val="auto"/>
              </w:rPr>
            </w:pPr>
          </w:p>
        </w:tc>
      </w:tr>
      <w:tr>
        <w:trPr>
          <w:trHeight w:val="210"/>
        </w:trPr>
        <w:tc>
          <w:tcPr>
            <w:tcW w:w="680" w:type="dxa"/>
            <w:vAlign w:val="bottom"/>
            <w:tcBorders>
              <w:bottom w:val="single" w:sz="8" w:color="E3E4E5"/>
            </w:tcBorders>
          </w:tcPr>
          <w:p>
            <w:pPr>
              <w:spacing w:after="0"/>
              <w:rPr>
                <w:sz w:val="18"/>
                <w:szCs w:val="18"/>
                <w:color w:val="auto"/>
              </w:rPr>
            </w:pPr>
          </w:p>
        </w:tc>
        <w:tc>
          <w:tcPr>
            <w:tcW w:w="880" w:type="dxa"/>
            <w:vAlign w:val="bottom"/>
            <w:tcBorders>
              <w:bottom w:val="single" w:sz="8" w:color="E3E4E5"/>
            </w:tcBorders>
          </w:tcPr>
          <w:p>
            <w:pPr>
              <w:spacing w:after="0"/>
              <w:rPr>
                <w:sz w:val="18"/>
                <w:szCs w:val="18"/>
                <w:color w:val="auto"/>
              </w:rPr>
            </w:pPr>
          </w:p>
        </w:tc>
        <w:tc>
          <w:tcPr>
            <w:tcW w:w="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60" w:type="dxa"/>
            <w:vAlign w:val="bottom"/>
            <w:tcBorders>
              <w:bottom w:val="single" w:sz="8" w:color="E3E4E5"/>
            </w:tcBorders>
            <w:vMerge w:val="continue"/>
          </w:tcPr>
          <w:p>
            <w:pPr>
              <w:spacing w:after="0"/>
              <w:rPr>
                <w:sz w:val="18"/>
                <w:szCs w:val="18"/>
                <w:color w:val="auto"/>
              </w:rPr>
            </w:pPr>
          </w:p>
        </w:tc>
        <w:tc>
          <w:tcPr>
            <w:tcW w:w="64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vMerge w:val="continue"/>
          </w:tcPr>
          <w:p>
            <w:pPr>
              <w:spacing w:after="0"/>
              <w:rPr>
                <w:sz w:val="18"/>
                <w:szCs w:val="18"/>
                <w:color w:val="auto"/>
              </w:rPr>
            </w:pPr>
          </w:p>
        </w:tc>
        <w:tc>
          <w:tcPr>
            <w:tcW w:w="660" w:type="dxa"/>
            <w:vAlign w:val="bottom"/>
            <w:tcBorders>
              <w:bottom w:val="single" w:sz="8" w:color="231F20"/>
            </w:tcBorders>
            <w:vMerge w:val="continue"/>
          </w:tcPr>
          <w:p>
            <w:pPr>
              <w:spacing w:after="0"/>
              <w:rPr>
                <w:sz w:val="18"/>
                <w:szCs w:val="18"/>
                <w:color w:val="auto"/>
              </w:rPr>
            </w:pPr>
          </w:p>
        </w:tc>
        <w:tc>
          <w:tcPr>
            <w:tcW w:w="60" w:type="dxa"/>
            <w:vAlign w:val="bottom"/>
            <w:tcBorders>
              <w:bottom w:val="single" w:sz="8" w:color="E3E4E5"/>
            </w:tcBorders>
          </w:tcPr>
          <w:p>
            <w:pPr>
              <w:spacing w:after="0"/>
              <w:rPr>
                <w:sz w:val="18"/>
                <w:szCs w:val="18"/>
                <w:color w:val="auto"/>
              </w:rPr>
            </w:pPr>
          </w:p>
        </w:tc>
        <w:tc>
          <w:tcPr>
            <w:tcW w:w="2400" w:type="dxa"/>
            <w:vAlign w:val="bottom"/>
            <w:tcBorders>
              <w:bottom w:val="single" w:sz="8" w:color="231F20"/>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231F20"/>
              </w:rPr>
              <w:t>payments due (2)</w:t>
            </w:r>
          </w:p>
        </w:tc>
        <w:tc>
          <w:tcPr>
            <w:tcW w:w="80" w:type="dxa"/>
            <w:vAlign w:val="bottom"/>
            <w:tcBorders>
              <w:bottom w:val="single" w:sz="8" w:color="E3E4E5"/>
            </w:tcBorders>
          </w:tcPr>
          <w:p>
            <w:pPr>
              <w:spacing w:after="0"/>
              <w:rPr>
                <w:sz w:val="18"/>
                <w:szCs w:val="18"/>
                <w:color w:val="auto"/>
              </w:rPr>
            </w:pPr>
          </w:p>
        </w:tc>
        <w:tc>
          <w:tcPr>
            <w:tcW w:w="18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76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4.400%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500.0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15 and August 15</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January 12, 2016</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November 15, 2025</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1.600%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April 15 and October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29, 2021</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2026</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1.950%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587.3</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May 22</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May 22, 2018</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22, 2026</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1.450%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27, 2021</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August 15, 2026</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3.375%</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April 15 and October 15</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May 13, 2016</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July 15, 2026</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3.125%</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January 15 and July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30, 2016</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October 15, 2026</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2.750%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January 15 and July 15</w:t>
            </w:r>
          </w:p>
        </w:tc>
        <w:tc>
          <w:tcPr>
            <w:tcW w:w="80" w:type="dxa"/>
            <w:vAlign w:val="bottom"/>
            <w:shd w:val="clear" w:color="auto" w:fill="E3E4E5"/>
          </w:tcPr>
          <w:p>
            <w:pPr>
              <w:spacing w:after="0"/>
              <w:rPr>
                <w:sz w:val="24"/>
                <w:szCs w:val="24"/>
                <w:color w:val="auto"/>
              </w:rPr>
            </w:pPr>
          </w:p>
        </w:tc>
        <w:tc>
          <w:tcPr>
            <w:tcW w:w="3720" w:type="dxa"/>
            <w:vAlign w:val="bottom"/>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October 3, 2019   November 15, 2026</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0.450%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January 15</w:t>
            </w:r>
          </w:p>
        </w:tc>
        <w:tc>
          <w:tcPr>
            <w:tcW w:w="80" w:type="dxa"/>
            <w:vAlign w:val="bottom"/>
          </w:tcPr>
          <w:p>
            <w:pPr>
              <w:spacing w:after="0"/>
              <w:rPr>
                <w:sz w:val="24"/>
                <w:szCs w:val="24"/>
                <w:color w:val="auto"/>
              </w:rPr>
            </w:pP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May 21, 2021   November 15, 2026</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0.400%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587.3</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15</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October 5, 2021</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December 15, 2026</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3.650%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April 1, 2022</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15, 2027</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4.125%</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704.7</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May 16</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May 16, 2023</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March 16, 2027</w:t>
            </w:r>
          </w:p>
        </w:tc>
        <w:tc>
          <w:tcPr>
            <w:tcW w:w="0" w:type="dxa"/>
            <w:vAlign w:val="bottom"/>
          </w:tcPr>
          <w:p>
            <w:pPr>
              <w:spacing w:after="0"/>
              <w:rPr>
                <w:sz w:val="1"/>
                <w:szCs w:val="1"/>
                <w:color w:val="auto"/>
              </w:rPr>
            </w:pPr>
          </w:p>
        </w:tc>
      </w:tr>
      <w:tr>
        <w:trPr>
          <w:trHeight w:val="288"/>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31F20"/>
              </w:rPr>
              <w:t>3.55% 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January 15 and July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June 30, 2017</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April 15, 2027</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3.600%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January 15 and July 15</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December 8, 2017</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October 15, 2027</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0.500%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January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10, 2020</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October 15, 2027</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1.500%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January 31 and July 31</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November 20, 2020</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November 30, 2027</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5.500%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3, 2023</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15, 2028</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5.250%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January 15 and July 15</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May 25, 2023</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June 15, 2028</w:t>
            </w:r>
          </w:p>
        </w:tc>
        <w:tc>
          <w:tcPr>
            <w:tcW w:w="0" w:type="dxa"/>
            <w:vAlign w:val="bottom"/>
          </w:tcPr>
          <w:p>
            <w:pPr>
              <w:spacing w:after="0"/>
              <w:rPr>
                <w:sz w:val="1"/>
                <w:szCs w:val="1"/>
                <w:color w:val="auto"/>
              </w:rPr>
            </w:pPr>
          </w:p>
        </w:tc>
      </w:tr>
      <w:tr>
        <w:trPr>
          <w:trHeight w:val="28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5.800%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May 15 and November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September 15, 2023</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October 15, 2028</w:t>
            </w:r>
          </w:p>
        </w:tc>
        <w:tc>
          <w:tcPr>
            <w:tcW w:w="0" w:type="dxa"/>
            <w:vAlign w:val="bottom"/>
          </w:tcPr>
          <w:p>
            <w:pPr>
              <w:spacing w:after="0"/>
              <w:rPr>
                <w:sz w:val="1"/>
                <w:szCs w:val="1"/>
                <w:color w:val="auto"/>
              </w:rPr>
            </w:pPr>
          </w:p>
        </w:tc>
      </w:tr>
      <w:tr>
        <w:trPr>
          <w:trHeight w:val="300"/>
        </w:trPr>
        <w:tc>
          <w:tcPr>
            <w:tcW w:w="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5.200%</w:t>
            </w:r>
          </w:p>
        </w:tc>
        <w:tc>
          <w:tcPr>
            <w:tcW w:w="88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650.0</w:t>
            </w:r>
          </w:p>
        </w:tc>
        <w:tc>
          <w:tcPr>
            <w:tcW w:w="7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7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60" w:type="dxa"/>
            <w:vAlign w:val="bottom"/>
            <w:shd w:val="clear" w:color="auto" w:fill="E3E4E5"/>
          </w:tcPr>
          <w:p>
            <w:pPr>
              <w:spacing w:after="0"/>
              <w:rPr>
                <w:sz w:val="24"/>
                <w:szCs w:val="24"/>
                <w:color w:val="auto"/>
              </w:rPr>
            </w:pPr>
          </w:p>
        </w:tc>
        <w:tc>
          <w:tcPr>
            <w:tcW w:w="2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15 and August 15</w:t>
            </w:r>
          </w:p>
        </w:tc>
        <w:tc>
          <w:tcPr>
            <w:tcW w:w="80" w:type="dxa"/>
            <w:vAlign w:val="bottom"/>
            <w:shd w:val="clear" w:color="auto" w:fill="E3E4E5"/>
          </w:tcPr>
          <w:p>
            <w:pPr>
              <w:spacing w:after="0"/>
              <w:rPr>
                <w:sz w:val="24"/>
                <w:szCs w:val="24"/>
                <w:color w:val="auto"/>
              </w:rPr>
            </w:pPr>
          </w:p>
        </w:tc>
        <w:tc>
          <w:tcPr>
            <w:tcW w:w="1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March 7, 2024</w:t>
            </w:r>
          </w:p>
        </w:tc>
        <w:tc>
          <w:tcPr>
            <w:tcW w:w="80" w:type="dxa"/>
            <w:vAlign w:val="bottom"/>
            <w:shd w:val="clear" w:color="auto" w:fill="E3E4E5"/>
          </w:tcPr>
          <w:p>
            <w:pPr>
              <w:spacing w:after="0"/>
              <w:rPr>
                <w:sz w:val="24"/>
                <w:szCs w:val="24"/>
                <w:color w:val="auto"/>
              </w:rPr>
            </w:pPr>
          </w:p>
        </w:tc>
        <w:tc>
          <w:tcPr>
            <w:tcW w:w="17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January 15, 2029</w:t>
            </w:r>
          </w:p>
        </w:tc>
        <w:tc>
          <w:tcPr>
            <w:tcW w:w="0" w:type="dxa"/>
            <w:vAlign w:val="bottom"/>
          </w:tcPr>
          <w:p>
            <w:pPr>
              <w:spacing w:after="0"/>
              <w:rPr>
                <w:sz w:val="1"/>
                <w:szCs w:val="1"/>
                <w:color w:val="auto"/>
              </w:rPr>
            </w:pPr>
          </w:p>
        </w:tc>
      </w:tr>
      <w:tr>
        <w:trPr>
          <w:trHeight w:val="282"/>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3.950%</w:t>
            </w:r>
          </w:p>
        </w:tc>
        <w:tc>
          <w:tcPr>
            <w:tcW w:w="88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March 15, 2019</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December 15,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-3738245</wp:posOffset>
            </wp:positionV>
            <wp:extent cx="546735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24">
                      <a:extLst>
                        <a:ext uri="{28A0092B-C50C-407E-A947-70E740481C1C}"/>
                      </a:extLst>
                    </a:blip>
                    <a:srcRect/>
                    <a:stretch>
                      <a:fillRect/>
                    </a:stretch>
                  </pic:blipFill>
                  <pic:spPr bwMode="auto">
                    <a:xfrm>
                      <a:off x="0" y="0"/>
                      <a:ext cx="5467350" cy="25400"/>
                    </a:xfrm>
                    <a:prstGeom prst="rect">
                      <a:avLst/>
                    </a:prstGeom>
                    <a:noFill/>
                  </pic:spPr>
                </pic:pic>
              </a:graphicData>
            </a:graphic>
          </wp:anchor>
        </w:drawing>
      </w:r>
    </w:p>
    <w:p>
      <w:pPr>
        <w:sectPr>
          <w:pgSz w:w="11880" w:h="15480" w:orient="portrait"/>
          <w:cols w:equalWidth="0" w:num="1">
            <w:col w:w="10140"/>
          </w:cols>
          <w:pgMar w:left="920" w:top="418" w:right="82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231F20"/>
        </w:rPr>
        <w:t>F-29</w:t>
      </w:r>
    </w:p>
    <w:p>
      <w:pPr>
        <w:sectPr>
          <w:pgSz w:w="11880" w:h="15480" w:orient="portrait"/>
          <w:cols w:equalWidth="0" w:num="1">
            <w:col w:w="10140"/>
          </w:cols>
          <w:pgMar w:left="920" w:top="418" w:right="820" w:bottom="0" w:gutter="0" w:footer="0" w:header="0"/>
          <w:type w:val="continuous"/>
        </w:sectPr>
      </w:pPr>
    </w:p>
    <w:bookmarkStart w:id="119" w:name="page120"/>
    <w:bookmarkEnd w:id="119"/>
    <w:p>
      <w:pPr>
        <w:jc w:val="center"/>
        <w:ind w:right="73"/>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294"/>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0.875%</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880.9</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(2.7)</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(3.5)</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May 21</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May 21, 2021</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21, 2029</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1,650.0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(7.6)</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(9.5)</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February 15 and August 15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June 13, 2019</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May 15, 2029</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2.900%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750.0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(4.0)</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(4.9)</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January 15 and July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January 10, 2020</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October 15, 2029</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600.0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(5.6)</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(6.8)</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January 31 and July 31</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November 21,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December 31, 2029</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4.900%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(5)</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850.0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(2.0)</w:t>
            </w:r>
          </w:p>
        </w:tc>
        <w:tc>
          <w:tcPr>
            <w:tcW w:w="7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March 14, 2025</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15, 2030</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587.3</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(4.0)</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(4.8)</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May 16</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May 29,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16, 2030</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2.100%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750.0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(4.8)</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(5.9)</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June 15 and December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June 3, 2020</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March 15, 2030</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0.950%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587.3</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(4.2)</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(5.1)</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October 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October 5,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July 5, 2030</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1.875%</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800.0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(4.8)</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(5.7)</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April 15 and October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September 28, 2020</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July 15, 2030</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700.0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(3.7)</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(4.4)</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April 15 and October 15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March 29,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January 15, 2031</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4.625%</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587.3</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(5.1)</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(6.0)</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May 16</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May 16, 2023</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February 16, 2031</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700.0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(5.5)</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(6.4)</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September 27,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June 15, 2031</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763.4</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(4.6)</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(5.3)</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January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September 10, 2020</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October 15, 2031</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4.050%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650.0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(5.6)</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(6.3)</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April 1, 2022   December 15, 2031</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3.625%</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587.3</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(3.4)</w:t>
            </w:r>
          </w:p>
        </w:tc>
        <w:tc>
          <w:tcPr>
            <w:tcW w:w="7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May 30</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May 30, 2025</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March 30, 2032</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850.0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(9.6)</w:t>
            </w: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June 15 and December 15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December 5,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October 15, 2032</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5.650%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800.0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(7.7)</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(8.6)</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36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March 3, 2023   December 15, 2032</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587.3</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(4.9)</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(5.6)</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May 21</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May 21,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21, 2033</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5.550%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850.0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(7.8)</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(8.6)</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January 15 and July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May 25, 2023</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April 15, 2033</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750.0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(7.1)</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(7.8)</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May 15 and November 15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September 15,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August 15, 2033</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5.450%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650.0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(8.5)</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(9.4)</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February 15 and August 15</w:t>
            </w:r>
          </w:p>
        </w:tc>
        <w:tc>
          <w:tcPr>
            <w:tcW w:w="36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March 7, 2024   November 15, 2033</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(4)</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587.3</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(6.5)</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(7.2)</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May 16</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May 29,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16, 2034</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5.400%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600.0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(7.5)</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(8.1)</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January 31 and July 31</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November 21, 2024</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October 31, 2034</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5.350%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(5)</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725.0</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rPr>
              <w:t>6.4</w:t>
            </w: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March 15 and September 15</w:t>
            </w:r>
          </w:p>
        </w:tc>
        <w:tc>
          <w:tcPr>
            <w:tcW w:w="190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March 14,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December 15, 2034</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3.700%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600.0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(7.2)</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(7.4)</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April 15 and October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October 3, 2019</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April 15, 2049</w:t>
            </w:r>
          </w:p>
        </w:tc>
      </w:tr>
      <w:tr>
        <w:trPr>
          <w:trHeight w:val="288"/>
        </w:trPr>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3.100%</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Notes (6)</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1,050.0</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(10.9)</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(11.2)</w:t>
            </w:r>
          </w:p>
        </w:tc>
        <w:tc>
          <w:tcPr>
            <w:tcW w:w="25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June 15 and December 15</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June 3, 2020   December 15, 2049</w:t>
            </w:r>
          </w:p>
        </w:tc>
      </w:tr>
      <w:tr>
        <w:trPr>
          <w:trHeight w:val="300"/>
        </w:trPr>
        <w:tc>
          <w:tcPr>
            <w:tcW w:w="6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2.950%</w:t>
            </w:r>
          </w:p>
        </w:tc>
        <w:tc>
          <w:tcPr>
            <w:tcW w:w="920" w:type="dxa"/>
            <w:vAlign w:val="bottom"/>
            <w:shd w:val="clear" w:color="auto" w:fill="E3E4E5"/>
          </w:tcPr>
          <w:p>
            <w:pPr>
              <w:ind w:left="20"/>
              <w:spacing w:after="0"/>
              <w:rPr>
                <w:sz w:val="20"/>
                <w:szCs w:val="20"/>
                <w:color w:val="auto"/>
              </w:rPr>
            </w:pPr>
            <w:r>
              <w:rPr>
                <w:rFonts w:ascii="Times New Roman" w:cs="Times New Roman" w:eastAsia="Times New Roman" w:hAnsi="Times New Roman"/>
                <w:sz w:val="20"/>
                <w:szCs w:val="20"/>
                <w:color w:val="231F20"/>
              </w:rPr>
              <w:t>Notes (7)</w:t>
            </w:r>
          </w:p>
        </w:tc>
        <w:tc>
          <w:tcPr>
            <w:tcW w:w="90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1,050.0</w:t>
            </w:r>
          </w:p>
        </w:tc>
        <w:tc>
          <w:tcPr>
            <w:tcW w:w="76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(25.5)</w:t>
            </w:r>
          </w:p>
        </w:tc>
        <w:tc>
          <w:tcPr>
            <w:tcW w:w="72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(26.2)</w:t>
            </w:r>
          </w:p>
        </w:tc>
        <w:tc>
          <w:tcPr>
            <w:tcW w:w="2520" w:type="dxa"/>
            <w:vAlign w:val="bottom"/>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January 15 and July 15</w:t>
            </w:r>
          </w:p>
        </w:tc>
        <w:tc>
          <w:tcPr>
            <w:tcW w:w="1900" w:type="dxa"/>
            <w:vAlign w:val="bottom"/>
            <w:shd w:val="clear" w:color="auto" w:fill="E3E4E5"/>
          </w:tcPr>
          <w:p>
            <w:pPr>
              <w:jc w:val="right"/>
              <w:ind w:right="62"/>
              <w:spacing w:after="0"/>
              <w:rPr>
                <w:sz w:val="20"/>
                <w:szCs w:val="20"/>
                <w:color w:val="auto"/>
              </w:rPr>
            </w:pPr>
            <w:r>
              <w:rPr>
                <w:rFonts w:ascii="Times New Roman" w:cs="Times New Roman" w:eastAsia="Times New Roman" w:hAnsi="Times New Roman"/>
                <w:sz w:val="20"/>
                <w:szCs w:val="20"/>
                <w:color w:val="231F20"/>
              </w:rPr>
              <w:t>November 20, 2020</w:t>
            </w:r>
          </w:p>
        </w:tc>
        <w:tc>
          <w:tcPr>
            <w:tcW w:w="1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July 15, 2050</w:t>
            </w:r>
          </w:p>
        </w:tc>
      </w:tr>
    </w:tbl>
    <w:p>
      <w:pPr>
        <w:spacing w:after="0" w:line="4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2" w:lineRule="exact"/>
        <w:rPr>
          <w:sz w:val="20"/>
          <w:szCs w:val="20"/>
          <w:color w:val="auto"/>
        </w:rPr>
      </w:pPr>
    </w:p>
    <w:p>
      <w:pPr>
        <w:ind w:left="347" w:hanging="347"/>
        <w:spacing w:after="0"/>
        <w:tabs>
          <w:tab w:leader="none" w:pos="347"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unamortized discounts, premiums and debt issuance costs.</w:t>
      </w:r>
    </w:p>
    <w:p>
      <w:pPr>
        <w:spacing w:after="0" w:line="4" w:lineRule="exact"/>
        <w:rPr>
          <w:rFonts w:ascii="Times New Roman" w:cs="Times New Roman" w:eastAsia="Times New Roman" w:hAnsi="Times New Roman"/>
          <w:sz w:val="16"/>
          <w:szCs w:val="16"/>
          <w:color w:val="231F20"/>
        </w:rPr>
      </w:pPr>
    </w:p>
    <w:p>
      <w:pPr>
        <w:ind w:left="347" w:right="100" w:hanging="347"/>
        <w:spacing w:after="0" w:line="245" w:lineRule="auto"/>
        <w:tabs>
          <w:tab w:leader="none" w:pos="348"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Accrued and unpaid interest on USD denominated notes is payable in USD semi-annually in arrears and will be computed from the issue date on the basis of a 360-day year comprised of twelve 30-day months. 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spacing w:after="0" w:line="1" w:lineRule="exact"/>
        <w:rPr>
          <w:rFonts w:ascii="Times New Roman" w:cs="Times New Roman" w:eastAsia="Times New Roman" w:hAnsi="Times New Roman"/>
          <w:sz w:val="16"/>
          <w:szCs w:val="16"/>
          <w:color w:val="231F20"/>
        </w:rPr>
      </w:pPr>
    </w:p>
    <w:p>
      <w:pPr>
        <w:ind w:left="347" w:right="160" w:hanging="347"/>
        <w:spacing w:after="0" w:line="245" w:lineRule="auto"/>
        <w:tabs>
          <w:tab w:leader="none" w:pos="348"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may redeem the notes at any time, in whole or in part, at a redemption price equal to 100% of the principal amount of the notes plus a make-whole premium, together with accrued interest to the redemption date. If the Company redeems the notes on or after the par call date, the Company will not be required to pay a make-whole premium.</w:t>
      </w:r>
    </w:p>
    <w:p>
      <w:pPr>
        <w:spacing w:after="0" w:line="1"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Notes are denominated in EUR.</w:t>
      </w:r>
    </w:p>
    <w:p>
      <w:pPr>
        <w:spacing w:after="0" w:line="4" w:lineRule="exact"/>
        <w:rPr>
          <w:rFonts w:ascii="Times New Roman" w:cs="Times New Roman" w:eastAsia="Times New Roman" w:hAnsi="Times New Roman"/>
          <w:sz w:val="16"/>
          <w:szCs w:val="16"/>
          <w:color w:val="231F20"/>
        </w:rPr>
      </w:pPr>
    </w:p>
    <w:p>
      <w:pPr>
        <w:ind w:left="347" w:right="140" w:hanging="347"/>
        <w:spacing w:after="0" w:line="245" w:lineRule="auto"/>
        <w:tabs>
          <w:tab w:leader="none" w:pos="347"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original issue date for the Initial 4.900% Notes and the Initial 5.350% Notes was March 14, 2025. The issue date for the Reopened 4.900% Notes and the Reopened 5.350% was September 16, 2025.</w:t>
      </w:r>
    </w:p>
    <w:p>
      <w:pPr>
        <w:ind w:left="347" w:hanging="347"/>
        <w:spacing w:after="0"/>
        <w:tabs>
          <w:tab w:leader="none" w:pos="347"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original issue date for the initial 3.100% Notes was June 3, 2020. The issue date for the reopened 3.100% Notes was September 28, 2020.</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9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original issue date for the initial 2.950% Notes was November 20, 2020. The issue date for the reopened 2.950% Notes was September 27, 2021.</w:t>
      </w:r>
    </w:p>
    <w:p>
      <w:pPr>
        <w:spacing w:after="0" w:line="132" w:lineRule="exact"/>
        <w:rPr>
          <w:sz w:val="20"/>
          <w:szCs w:val="20"/>
          <w:color w:val="auto"/>
        </w:rPr>
      </w:pPr>
    </w:p>
    <w:p>
      <w:pPr>
        <w:ind w:left="7" w:right="160"/>
        <w:spacing w:after="0" w:line="264" w:lineRule="auto"/>
        <w:rPr>
          <w:sz w:val="20"/>
          <w:szCs w:val="20"/>
          <w:color w:val="auto"/>
        </w:rPr>
      </w:pPr>
      <w:r>
        <w:rPr>
          <w:rFonts w:ascii="Times New Roman" w:cs="Times New Roman" w:eastAsia="Times New Roman" w:hAnsi="Times New Roman"/>
          <w:sz w:val="19"/>
          <w:szCs w:val="19"/>
          <w:color w:val="231F20"/>
        </w:rPr>
        <w:t>The Company may redeem each series of senior notes at any time, subject to the terms of the applicable supplemental indenture, in whole or in part, at a redemption price equal to 100% of the principal amount of the notes plus a make-whole premium, as applicable, together with accrued interest to the redemption date. In addition, if the Company undergoes a change of control and corresponding ratings decline, each as defined in the applicable supplemental indenture for the notes, the Company may be required to repurchase all of the applicable notes at a purchase price equal to 101% of the aggregate principal amount of such notes, plus accrued and unpaid interest (including additional interest, if any), up to but not including the repurchase date. The notes rank equally in right of payment with all of the Company’s other senior unsecured debt obligations and are structurally subordinated to all existing and future indebtedness and other obligations of its subsidiaries.</w:t>
      </w:r>
    </w:p>
    <w:p>
      <w:pPr>
        <w:spacing w:after="0" w:line="116" w:lineRule="exact"/>
        <w:rPr>
          <w:sz w:val="20"/>
          <w:szCs w:val="20"/>
          <w:color w:val="auto"/>
        </w:rPr>
      </w:pPr>
    </w:p>
    <w:p>
      <w:pPr>
        <w:ind w:left="7" w:right="260"/>
        <w:spacing w:after="0" w:line="300" w:lineRule="auto"/>
        <w:rPr>
          <w:sz w:val="20"/>
          <w:szCs w:val="20"/>
          <w:color w:val="auto"/>
        </w:rPr>
      </w:pPr>
      <w:r>
        <w:rPr>
          <w:rFonts w:ascii="Times New Roman" w:cs="Times New Roman" w:eastAsia="Times New Roman" w:hAnsi="Times New Roman"/>
          <w:sz w:val="19"/>
          <w:szCs w:val="19"/>
          <w:color w:val="231F20"/>
        </w:rPr>
        <w:t>Each applicable supplemental indenture for the notes contains certain covenants that restrict the Company’s ability to merge, consolidate or sell assets and its (together with its subsidiaries’) ability to incur liens. These covenants are subject to a number</w:t>
      </w:r>
    </w:p>
    <w:p>
      <w:pPr>
        <w:sectPr>
          <w:pgSz w:w="11880" w:h="15480" w:orient="portrait"/>
          <w:cols w:equalWidth="0" w:num="1">
            <w:col w:w="10147"/>
          </w:cols>
          <w:pgMar w:left="913" w:top="418" w:right="82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9"/>
          <w:szCs w:val="19"/>
          <w:color w:val="231F20"/>
        </w:rPr>
        <w:t>F-30</w:t>
      </w:r>
    </w:p>
    <w:p>
      <w:pPr>
        <w:sectPr>
          <w:pgSz w:w="11880" w:h="15480" w:orient="portrait"/>
          <w:cols w:equalWidth="0" w:num="1">
            <w:col w:w="10147"/>
          </w:cols>
          <w:pgMar w:left="913" w:top="418" w:right="820" w:bottom="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231F20"/>
        </w:rPr>
        <w:t>of exceptions, including that the Company and its subsidiaries may incur certain liens on assets, mortgages or other liens securing indebtedness if the aggregate amount of indebtedness secured by such liens does not exceed 3.5x Adjusted EBITDA, as defined in the applicable supplemental indenture. As of December 31, 2025, the Company was in compliance with each of these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American Tower Subsidiary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Securitization</w:t>
      </w:r>
    </w:p>
    <w:p>
      <w:pPr>
        <w:spacing w:after="0" w:line="16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231F20"/>
        </w:rPr>
        <w:t>As of December 31, 2025, the Company has a securitization in place. Cash flows generated by the communications sites that secure the securitized debt of the Company are only available for payment of such debt and are not available to pay the Company’s other obligations or the claims of its creditors. However, subject to certain restrictions, the Company holds the right to receive the excess cash flows not needed to service the securitized debt and other obligations arising out of the securitization. The securitized debt is the obligation of the issuers thereof or borrowers thereunder, as applicable, and their subsidiaries, and not of the Company or its other subsidiaries.</w:t>
      </w:r>
    </w:p>
    <w:p>
      <w:pPr>
        <w:spacing w:after="0" w:line="1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i w:val="1"/>
          <w:iCs w:val="1"/>
          <w:color w:val="231F20"/>
        </w:rPr>
        <w:t>American Tower Secured Revenue Notes and Repayment of Series 2015-2 Notes</w:t>
      </w:r>
      <w:r>
        <w:rPr>
          <w:rFonts w:ascii="Times New Roman" w:cs="Times New Roman" w:eastAsia="Times New Roman" w:hAnsi="Times New Roman"/>
          <w:sz w:val="20"/>
          <w:szCs w:val="20"/>
          <w:color w:val="231F20"/>
        </w:rPr>
        <w:t>—In May 2015, GTP Acquisition Partners I,</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LLC, one of the Company’s wholly owned subsidiaries, refinanced existing debt with cash on hand and proceeds from a private issuance (the “2015 Securitization”) of (i) $350.0 million of American Tower Secured Revenue Notes, Series 2015-1, Class A, which were subsequently repaid on the June 2020 payment date, and (ii) $525.0 million of American Tower Secured Revenue Notes, Series 2015-2, Class A (the “Series 2015-2 Notes”). On the June 2025 payment date, the Company repaid $525.0 million aggregate principal amount outstanding under the Series 2015-2 Notes, pursuant to the terms of the agreements governing such securities. The repayment was funded with borrowings under the 2021 Multicurrency Credit Facility and cash on hand. Following such repayment, no notes were outstanding under the 2015 Securitization.</w:t>
      </w:r>
    </w:p>
    <w:p>
      <w:pPr>
        <w:spacing w:after="0" w:line="13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i w:val="1"/>
          <w:iCs w:val="1"/>
          <w:color w:val="231F20"/>
        </w:rPr>
        <w:t>Secured Tower Revenue Securities, Series 2023-1, Subclass A and Series 2023-1, Subclass R, Series 2018-1, Subclass A and Series 2018-1, Subclass R</w:t>
      </w:r>
      <w:r>
        <w:rPr>
          <w:rFonts w:ascii="Times New Roman" w:cs="Times New Roman" w:eastAsia="Times New Roman" w:hAnsi="Times New Roman"/>
          <w:sz w:val="19"/>
          <w:szCs w:val="19"/>
          <w:color w:val="231F20"/>
        </w:rPr>
        <w:t>—On March 13, 2023, the Company completed a securitization transaction (the “2023</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Securitization”), in which American Tower Trust I (the “Trust”) issued $1.3 billion aggregate principal amount of Secured Tower Revenue Securities, Series 2023-1, Subclass A (the “Series 2023-1A Securities”). To satisfy the applicable risk retention requirements of Regulation RR promulgated under the Securities Exchange Act of 1934, as amended (the “Exchange Act” and, such requirements, the “Risk Retention Rules”), the Trust issued, and one of the Company’s affiliates purchased, $68.5 million aggregate principal amount of Secured Tower Revenue Securities, Series 2023-1, Subclass R (the “Series 2023-1R Securities” and, together with the Series 2023-1A Securities, the “2023 Securities”) to retain an “eligible horizontal residual interest” (as defined in the Risk Retention Rules) in an amount equal to at least 5% of the fair value of the 2023 Securities.</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231F20"/>
        </w:rPr>
        <w:t>On March 29, 2018, the Company completed a securitization transaction (the “2018 Securitization,” and, together with the 2023 Securitization, the “Trust Securitization”), in which the Trust issued $500.0 million aggregate principal amount of Secured Tower Revenue Securities, Series 2018-1, Subclass A (the “Series 2018-1A Securities”). To satisfy the Risk Retention Rules, the Trust issued, and one of the Company’s affiliates purchased, $26.4 million aggregate principal amount of Secured Tower Revenue Securities, Series 2018-1, Subclass R (the “Series 2018-1R Securities” and, together with the Series 2018-1A Securities, the “2018 Securities”) to retain an “eligible horizontal residual interest” (as defined in the Risk Retention Rules) in an amount equal to at least 5% of the fair value of the 2018 Securities.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The assets of the Trust consist of a nonrecourse loan broken into components or “componentized” (the “Loan”), which secures each of the 2018 Securities and the 2023 Securities. The AMT Asset Subs are jointly and severally liable under the Loan, which is secured primarily by mortgages on the AMT Asset Subs’ interests in 5,023 broadcast and wireless communications towers and related assets (the “Trust Sites”).</w:t>
      </w:r>
    </w:p>
    <w:p>
      <w:pPr>
        <w:spacing w:after="0" w:line="12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231F20"/>
        </w:rPr>
        <w:t>The 2023 Securities correspond to components of the Loan made to the AMT Asset Subs pursuant to the Second Supplement and Amendment dated as of March 13, 2023 to the Second Amended and Restated Loan and Security Agreement dated as of March 29, 2018 (the “Loan Agreement,” which continues to govern the 2018 Securities, and collectively, the “Trust Loan Agreement”).</w:t>
      </w:r>
    </w:p>
    <w:p>
      <w:pPr>
        <w:spacing w:after="0" w:line="12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231F20"/>
        </w:rPr>
        <w:t>The 2023 Securities (a) represent a pass-through interest in the components of the Loan corresponding to the 2023 Securities and (b) have an expected life of approximately five years with a final repayment date in March 2053. The Series 2023-1A Securities and the Series 2023-1R Securities have interest rates of 5.490% and 5.735%, respectively. Subject to certain limited exceptions described below, no payments of principal will be required to be made on the components of the Loan corresponding to the 2023 Securities prior to the monthly payment date in March 2028, which is the anticipated repayment date for those components.</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1880" w:h="15480" w:orient="portrait"/>
          <w:cols w:equalWidth="0" w:num="1">
            <w:col w:w="10040"/>
          </w:cols>
          <w:pgMar w:left="920" w:top="418" w:right="920" w:bottom="0" w:gutter="0" w:footer="0" w:header="0"/>
          <w:type w:val="continuous"/>
        </w:sectPr>
      </w:pPr>
    </w:p>
    <w:bookmarkStart w:id="121" w:name="page122"/>
    <w:bookmarkEnd w:id="121"/>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40"/>
        <w:spacing w:after="0" w:line="251" w:lineRule="auto"/>
        <w:rPr>
          <w:sz w:val="20"/>
          <w:szCs w:val="20"/>
          <w:color w:val="auto"/>
        </w:rPr>
      </w:pPr>
      <w:r>
        <w:rPr>
          <w:rFonts w:ascii="Times New Roman" w:cs="Times New Roman" w:eastAsia="Times New Roman" w:hAnsi="Times New Roman"/>
          <w:sz w:val="20"/>
          <w:szCs w:val="20"/>
          <w:color w:val="231F20"/>
        </w:rPr>
        <w:t>The 2018 Securities (a) represent a pass-through interest in the components of the Loan corresponding to the 2018 Securities and (b) have an expected life of approximately ten years with a final repayment date in March 2048. The Series 2018-1A Securities have an interest rate of 3.652% and the Series 2018-1R Securities have an interest rate of 4.459%. Subject to certain limited exceptions described below, no payments of principal will be required to be made on the components of the Loan corresponding to the 2018 Securities prior to the monthly payment date in March 2028, which is the anticipated repayment date for such components.</w:t>
      </w:r>
    </w:p>
    <w:p>
      <w:pPr>
        <w:spacing w:after="0" w:line="125" w:lineRule="exact"/>
        <w:rPr>
          <w:sz w:val="20"/>
          <w:szCs w:val="20"/>
          <w:color w:val="auto"/>
        </w:rPr>
      </w:pPr>
    </w:p>
    <w:p>
      <w:pPr>
        <w:ind w:left="7"/>
        <w:spacing w:after="0" w:line="273" w:lineRule="auto"/>
        <w:rPr>
          <w:sz w:val="20"/>
          <w:szCs w:val="20"/>
          <w:color w:val="auto"/>
        </w:rPr>
      </w:pPr>
      <w:r>
        <w:rPr>
          <w:rFonts w:ascii="Times New Roman" w:cs="Times New Roman" w:eastAsia="Times New Roman" w:hAnsi="Times New Roman"/>
          <w:sz w:val="20"/>
          <w:szCs w:val="20"/>
          <w:color w:val="231F20"/>
        </w:rPr>
        <w:t>The AMT Asset Subs are required to make monthly payments of interest on the Loan. The debt service on the Loan will be paid solely from the cash flows generated from the operation of the Trust Sites held by the AMT Asset Subs.</w:t>
      </w:r>
    </w:p>
    <w:p>
      <w:pPr>
        <w:spacing w:after="0" w:line="104" w:lineRule="exact"/>
        <w:rPr>
          <w:sz w:val="20"/>
          <w:szCs w:val="20"/>
          <w:color w:val="auto"/>
        </w:rPr>
      </w:pPr>
    </w:p>
    <w:p>
      <w:pPr>
        <w:ind w:left="7" w:right="300"/>
        <w:spacing w:after="0" w:line="270" w:lineRule="auto"/>
        <w:rPr>
          <w:sz w:val="20"/>
          <w:szCs w:val="20"/>
          <w:color w:val="auto"/>
        </w:rPr>
      </w:pPr>
      <w:r>
        <w:rPr>
          <w:rFonts w:ascii="Times New Roman" w:cs="Times New Roman" w:eastAsia="Times New Roman" w:hAnsi="Times New Roman"/>
          <w:sz w:val="19"/>
          <w:szCs w:val="19"/>
          <w:color w:val="231F20"/>
        </w:rPr>
        <w:t>The Loan is secured by (1) mortgages, deeds of trust and deeds to secure debt on substantially all of the Trust Sites and their operating cash flows, (2) a security interest in substantially all of the AMT Asset Subs’ personal property and fixtures and</w:t>
      </w:r>
    </w:p>
    <w:p>
      <w:pPr>
        <w:ind w:left="7" w:hanging="7"/>
        <w:spacing w:after="0" w:line="246" w:lineRule="auto"/>
        <w:tabs>
          <w:tab w:leader="none" w:pos="285" w:val="left"/>
        </w:tabs>
        <w:numPr>
          <w:ilvl w:val="0"/>
          <w:numId w:val="9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AMT Asset Subs’ rights under that certain management agreement among the AMT Asset Subs and SpectraSite Communications, LLC entered into in March 2013. American Tower Holding Sub, LLC (the “Guarantor”), whose only material assets are its equity interests in each of the AMT Asset Subs, and American Tower Guarantor Sub, LLC whose only material asset is its equity interests in the Guarantor, have each guaranteed repayment of the Loan and pledged their equity interests in their respective subsidiary or subsidiaries as security for such payment obligations.</w:t>
      </w:r>
    </w:p>
    <w:p>
      <w:pPr>
        <w:spacing w:after="0" w:line="133" w:lineRule="exact"/>
        <w:rPr>
          <w:sz w:val="20"/>
          <w:szCs w:val="20"/>
          <w:color w:val="auto"/>
        </w:rPr>
      </w:pPr>
    </w:p>
    <w:p>
      <w:pPr>
        <w:ind w:left="7"/>
        <w:spacing w:after="0" w:line="252" w:lineRule="auto"/>
        <w:rPr>
          <w:sz w:val="20"/>
          <w:szCs w:val="20"/>
          <w:color w:val="auto"/>
        </w:rPr>
      </w:pPr>
      <w:r>
        <w:rPr>
          <w:rFonts w:ascii="Times New Roman" w:cs="Times New Roman" w:eastAsia="Times New Roman" w:hAnsi="Times New Roman"/>
          <w:sz w:val="20"/>
          <w:szCs w:val="20"/>
          <w:color w:val="231F20"/>
        </w:rPr>
        <w:t>Under the terms of the Loan Agreement, amounts due will be paid from the cash flows generated by the Trust Sites, which must be deposited into certain reserve accounts, and thereafter distributed, solely pursuant to the terms of the Loan Agreement. On a monthly basis, after payment of all required amounts under the Loan Agreement, including interest payments, subject to the conditions described below, the excess cash flows generated from the operation of such assets are released to the AMT Asset Subs, as applicable, which can then be distributed to, and used by, the Company.</w:t>
      </w:r>
    </w:p>
    <w:p>
      <w:pPr>
        <w:spacing w:after="0" w:line="125" w:lineRule="exact"/>
        <w:rPr>
          <w:sz w:val="20"/>
          <w:szCs w:val="20"/>
          <w:color w:val="auto"/>
        </w:rPr>
      </w:pPr>
    </w:p>
    <w:p>
      <w:pPr>
        <w:ind w:left="7" w:right="120"/>
        <w:spacing w:after="0" w:line="248" w:lineRule="auto"/>
        <w:rPr>
          <w:sz w:val="20"/>
          <w:szCs w:val="20"/>
          <w:color w:val="auto"/>
        </w:rPr>
      </w:pPr>
      <w:r>
        <w:rPr>
          <w:rFonts w:ascii="Times New Roman" w:cs="Times New Roman" w:eastAsia="Times New Roman" w:hAnsi="Times New Roman"/>
          <w:sz w:val="20"/>
          <w:szCs w:val="20"/>
          <w:color w:val="231F20"/>
        </w:rPr>
        <w:t>In order to distribute any excess cash flow to the Company, the AMT Asset Subs must maintain a specified debt service coverage ratio (the “DSCR”), which is generally calculated as the ratio of the net cash flow (as defined in the applicable agreement) to the amount of interest, servicing fees and trustee fees required to be paid over the succeeding 12 months on the principal amount of the Loan that will be outstanding on the payment date following such date of determination. If the DSCR were equal to or below 1.30x (the “Cash Trap DSCR”) for any quarter, then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AMT Asset Subs. The funds in the Cash Trap Reserve Account will not be released to the AMT Asset Subs unless the DSCR exceeds the Cash Trap DSCR for two consecutive calendar quarters.</w:t>
      </w:r>
    </w:p>
    <w:p>
      <w:pPr>
        <w:spacing w:after="0" w:line="132" w:lineRule="exact"/>
        <w:rPr>
          <w:sz w:val="20"/>
          <w:szCs w:val="20"/>
          <w:color w:val="auto"/>
        </w:rPr>
      </w:pPr>
    </w:p>
    <w:p>
      <w:pPr>
        <w:ind w:left="7" w:right="120"/>
        <w:spacing w:after="0" w:line="250" w:lineRule="auto"/>
        <w:rPr>
          <w:sz w:val="20"/>
          <w:szCs w:val="20"/>
          <w:color w:val="auto"/>
        </w:rPr>
      </w:pPr>
      <w:r>
        <w:rPr>
          <w:rFonts w:ascii="Times New Roman" w:cs="Times New Roman" w:eastAsia="Times New Roman" w:hAnsi="Times New Roman"/>
          <w:sz w:val="20"/>
          <w:szCs w:val="20"/>
          <w:color w:val="231F20"/>
        </w:rPr>
        <w:t>Additionally, an “amortization period” commences if, as of the end of any calendar quarter, the DSCR is equal to or below 1.15x (the “Minimum DSCR”) and will continue to exist until the DSCR exceeds the Minimum DSCR for two consecutive calendar quarters. With respect to the Trust Securities, an “amortization period” also commences if, on the anticipated repayment date the component of the Loan corresponding to the applicable subclass of the Trust Securities has not been repaid in full, provided that such amortization period shall apply with respect to such component that has not been repaid in full. During an amortization period, all excess cash flow and any amounts then in the applicable Cash Trap Reserve Account would be applied to pay the principal of the Loan on each monthly payment date.</w:t>
      </w:r>
    </w:p>
    <w:p>
      <w:pPr>
        <w:spacing w:after="0" w:line="126" w:lineRule="exact"/>
        <w:rPr>
          <w:sz w:val="20"/>
          <w:szCs w:val="20"/>
          <w:color w:val="auto"/>
        </w:rPr>
      </w:pPr>
    </w:p>
    <w:p>
      <w:pPr>
        <w:ind w:left="7" w:right="80"/>
        <w:spacing w:after="0" w:line="279" w:lineRule="auto"/>
        <w:rPr>
          <w:sz w:val="20"/>
          <w:szCs w:val="20"/>
          <w:color w:val="auto"/>
        </w:rPr>
      </w:pPr>
      <w:r>
        <w:rPr>
          <w:rFonts w:ascii="Times New Roman" w:cs="Times New Roman" w:eastAsia="Times New Roman" w:hAnsi="Times New Roman"/>
          <w:sz w:val="19"/>
          <w:szCs w:val="19"/>
          <w:color w:val="231F20"/>
        </w:rPr>
        <w:t>The Loan may be prepaid in whole or in part at any time, provided such payment is accompanied by the applicable prepayment consideration. If the prepayment occurs within (i) 36 months of the anticipated repayment date with respect to the 2018 Securities and (ii) 12 months of the anticipated repayment date for the 2023 Securities, no prepayment consideration is due.</w:t>
      </w:r>
    </w:p>
    <w:p>
      <w:pPr>
        <w:spacing w:after="0" w:line="100" w:lineRule="exact"/>
        <w:rPr>
          <w:sz w:val="20"/>
          <w:szCs w:val="20"/>
          <w:color w:val="auto"/>
        </w:rPr>
      </w:pPr>
    </w:p>
    <w:p>
      <w:pPr>
        <w:ind w:left="7"/>
        <w:spacing w:after="0" w:line="248" w:lineRule="auto"/>
        <w:rPr>
          <w:sz w:val="20"/>
          <w:szCs w:val="20"/>
          <w:color w:val="auto"/>
        </w:rPr>
      </w:pPr>
      <w:r>
        <w:rPr>
          <w:rFonts w:ascii="Times New Roman" w:cs="Times New Roman" w:eastAsia="Times New Roman" w:hAnsi="Times New Roman"/>
          <w:sz w:val="20"/>
          <w:szCs w:val="20"/>
          <w:color w:val="231F20"/>
        </w:rPr>
        <w:t>The Loan Agreement includes operating covenants and other restrictions customary for transactions subject to rated securitizations. Among other things, the AMT Asset Subs are prohibited from incurring other indebtedness for borrowed money or further encumbering their assets subject to customary carve-outs for ordinary course trade payables and permitted encumbrances (as defined in the Loan Agreement). The organizational documents of the AMT Asset Subs contain provisions consistent with rating agency securitization criteria for special purpose entities, including the requirement that they maintain independent directors. The Loan Agreement also contains certain covenants that require the AMT Asset Subs to provide the trustee with regular financial reports and operating budgets, promptly notify such trustee of events of default and material breaches under the Loan Agreement and other agreements related to the Trust Sites and allow the trustee reasonable access to the sites, including the right to conduct site investigations.</w:t>
      </w:r>
    </w:p>
    <w:p>
      <w:pPr>
        <w:spacing w:after="0" w:line="135" w:lineRule="exact"/>
        <w:rPr>
          <w:sz w:val="20"/>
          <w:szCs w:val="20"/>
          <w:color w:val="auto"/>
        </w:rPr>
      </w:pPr>
    </w:p>
    <w:p>
      <w:pPr>
        <w:ind w:left="7" w:right="140"/>
        <w:spacing w:after="0" w:line="300" w:lineRule="auto"/>
        <w:rPr>
          <w:sz w:val="20"/>
          <w:szCs w:val="20"/>
          <w:color w:val="auto"/>
        </w:rPr>
      </w:pPr>
      <w:r>
        <w:rPr>
          <w:rFonts w:ascii="Times New Roman" w:cs="Times New Roman" w:eastAsia="Times New Roman" w:hAnsi="Times New Roman"/>
          <w:sz w:val="19"/>
          <w:szCs w:val="19"/>
          <w:color w:val="231F20"/>
        </w:rPr>
        <w:t>A failure to comply with the covenants in the Loan Agreement could prevent the AMT Asset Subs from distributing excess cash flow to the Company. Furthermore, if the AMT Asset Subs were to default on the Loan, the trustee may seek to foreclose</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F-32</w:t>
      </w:r>
    </w:p>
    <w:p>
      <w:pPr>
        <w:sectPr>
          <w:pgSz w:w="11880" w:h="15480" w:orient="portrait"/>
          <w:cols w:equalWidth="0" w:num="1">
            <w:col w:w="10047"/>
          </w:cols>
          <w:pgMar w:left="913" w:top="418" w:right="920" w:bottom="0" w:gutter="0" w:footer="0" w:header="0"/>
          <w:type w:val="continuous"/>
        </w:sectPr>
      </w:pPr>
    </w:p>
    <w:bookmarkStart w:id="122" w:name="page123"/>
    <w:bookmarkEnd w:id="122"/>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20"/>
          <w:szCs w:val="20"/>
          <w:color w:val="231F20"/>
        </w:rPr>
        <w:t>upon or otherwise convert the ownership of all or any portion of the Trust Sites, in which case the Company could lose the revenue and cash flows associated with those assets.</w:t>
      </w:r>
    </w:p>
    <w:p>
      <w:pPr>
        <w:spacing w:after="0" w:line="10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color w:val="231F20"/>
        </w:rPr>
        <w:t>Further, under the Loan Agreement, the AMT Asset Subs are required to maintain reserve accounts, including for ground rents, real estate and personal property taxes and insurance premiums, and, in certain circumstances under the Loan Agreement, to reserve a portion of advance rents from tenants on the Trust Sites. Based on the terms of the Loan Agreement, all rental cash receipts received for each month are reserved for the succeeding month and held in an account controlled by the applicable trustee and then released. The $69.0 million held in the reserve accounts with respect to the Trust Securitization as of December 31, 2025 is classified as Restricted cash on the Company’s accompanying consolidated balance sheets.</w:t>
      </w:r>
    </w:p>
    <w:p>
      <w:pPr>
        <w:spacing w:after="0" w:line="11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b w:val="1"/>
          <w:bCs w:val="1"/>
          <w:i w:val="1"/>
          <w:iCs w:val="1"/>
          <w:color w:val="231F20"/>
        </w:rPr>
        <w:t>Other Subsidiary Debt</w:t>
      </w:r>
      <w:r>
        <w:rPr>
          <w:rFonts w:ascii="Times New Roman" w:cs="Times New Roman" w:eastAsia="Times New Roman" w:hAnsi="Times New Roman"/>
          <w:sz w:val="20"/>
          <w:szCs w:val="20"/>
          <w:color w:val="231F20"/>
        </w:rPr>
        <w:t>—Each of the agreements governing the other subsidiary debt contains contractual covenants and other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restrictions. Failure to comply with certain of the financial and operating covenants could constitute a default under the applicable debt agreement, which could result in, among other things, the amounts outstanding, including all accrued interest and unpaid fees, becoming immediately due and payable.</w:t>
      </w:r>
    </w:p>
    <w:p>
      <w:pPr>
        <w:spacing w:after="0" w:line="11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i w:val="1"/>
          <w:iCs w:val="1"/>
          <w:color w:val="231F20"/>
        </w:rPr>
        <w:t>Bangladesh Term Loan—</w:t>
      </w:r>
      <w:r>
        <w:rPr>
          <w:rFonts w:ascii="Times New Roman" w:cs="Times New Roman" w:eastAsia="Times New Roman" w:hAnsi="Times New Roman"/>
          <w:sz w:val="20"/>
          <w:szCs w:val="20"/>
          <w:color w:val="231F20"/>
        </w:rPr>
        <w:t>In March 2025, the Company entered into a 400.0 million BDT (approximately $3.3 million) term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loan with a maturity date that is eight years from the date of the first draw thereunder (the “Bangladesh Term Loan”). On March 24, 2025, the Company borrowed 150.0 million BDT (approximately $1.2 million) under the Bangladesh Term Loan. The Bangladesh Term Loan bears interest at 13.50% per annum, subject to quarterly resets. Interest is payable quarterly. Any outstanding principal and accrued but unpaid interest will be due and payable in full at maturity. The Bangladesh Term Loan does not require amortization of principal and may be paid prior to maturity in whole or in part at the Company’s option without penalty or premium. As of December 31, 2025, 150.0 million BDT (approximately $1.2 million) was outstanding under the Bangladesh Term Loan.</w:t>
      </w:r>
    </w:p>
    <w:p>
      <w:pPr>
        <w:spacing w:after="0" w:line="130"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i w:val="1"/>
          <w:iCs w:val="1"/>
          <w:color w:val="231F20"/>
        </w:rPr>
        <w:t>CoreSite DE1 Note—</w:t>
      </w:r>
      <w:r>
        <w:rPr>
          <w:rFonts w:ascii="Times New Roman" w:cs="Times New Roman" w:eastAsia="Times New Roman" w:hAnsi="Times New Roman"/>
          <w:sz w:val="20"/>
          <w:szCs w:val="20"/>
          <w:color w:val="231F20"/>
        </w:rPr>
        <w:t>On April 1, 2025, in connection with the Company’s acquisition of a multi-tenant data center facility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Denver, Colorado, in which it previously leased space (“DE1”), the Company entered into an agreement to pay $5.0 million of purchase price to the seller in monthly installments through March 31, 2028 (the “CoreSite DE1 Note”). The CoreSite DE1 Note accrues interest at the prime rate as announced by Bank of America, N.A plus 200 basis points. As of December 31, 2025, the interest rate was 9.50% per annum. Interest is payable monthly in arrears. Any outstanding principal and accrued but unpaid interest will be due and payable in full at maturity. The CoreSite DE1 Note may be paid prior to maturity in whole or in part at the Company’s option without penalty or premium, provided that if such prepayment is made prior to April 1, 2027, the Company is required to pay any additional interest which would have accrued under the CoreSite DE1 Note in the ordinary course through April 1, 2027. As of December 31, 2025, approximately $4.0 million was outstanding under the CoreSite DE1 Note.</w:t>
      </w:r>
    </w:p>
    <w:p>
      <w:pPr>
        <w:spacing w:after="0" w:line="13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Finance Lease Obligations</w:t>
      </w:r>
      <w:r>
        <w:rPr>
          <w:rFonts w:ascii="Times New Roman" w:cs="Times New Roman" w:eastAsia="Times New Roman" w:hAnsi="Times New Roman"/>
          <w:sz w:val="20"/>
          <w:szCs w:val="20"/>
          <w:color w:val="231F20"/>
        </w:rPr>
        <w:t>—The Company’s finance lease obligations approximated $15.9 million and $16.6 million as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December 31, 2025 and 2024, respectively.</w:t>
      </w:r>
    </w:p>
    <w:p>
      <w:pPr>
        <w:spacing w:after="0" w:line="96"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Maturities</w:t>
      </w:r>
      <w:r>
        <w:rPr>
          <w:rFonts w:ascii="Times New Roman" w:cs="Times New Roman" w:eastAsia="Times New Roman" w:hAnsi="Times New Roman"/>
          <w:sz w:val="20"/>
          <w:szCs w:val="20"/>
          <w:color w:val="231F20"/>
        </w:rPr>
        <w:t>—Aggregate principal maturities of long-term debt, including finance leases, for the next five years and thereafter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are expected to be: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100" w:type="dxa"/>
            <w:vAlign w:val="bottom"/>
            <w:tcBorders>
              <w:bottom w:val="single" w:sz="8" w:color="231F20"/>
            </w:tcBorders>
          </w:tcPr>
          <w:p>
            <w:pPr>
              <w:jc w:val="right"/>
              <w:ind w:right="8204"/>
              <w:spacing w:after="0"/>
              <w:rPr>
                <w:sz w:val="20"/>
                <w:szCs w:val="20"/>
                <w:color w:val="auto"/>
              </w:rPr>
            </w:pPr>
            <w:r>
              <w:rPr>
                <w:rFonts w:ascii="Times New Roman" w:cs="Times New Roman" w:eastAsia="Times New Roman" w:hAnsi="Times New Roman"/>
                <w:sz w:val="16"/>
                <w:szCs w:val="16"/>
                <w:b w:val="1"/>
                <w:bCs w:val="1"/>
                <w:color w:val="231F20"/>
              </w:rPr>
              <w:t>Fiscal Year</w:t>
            </w:r>
          </w:p>
        </w:tc>
        <w:tc>
          <w:tcPr>
            <w:tcW w:w="60" w:type="dxa"/>
            <w:vAlign w:val="bottom"/>
            <w:tcBorders>
              <w:bottom w:val="single" w:sz="8" w:color="E3E4E5"/>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Amount</w:t>
            </w:r>
          </w:p>
        </w:tc>
      </w:tr>
      <w:tr>
        <w:trPr>
          <w:trHeight w:val="269"/>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2026 </w:t>
            </w:r>
            <w:r>
              <w:rPr>
                <w:rFonts w:ascii="Times New Roman" w:cs="Times New Roman" w:eastAsia="Times New Roman" w:hAnsi="Times New Roman"/>
                <w:sz w:val="20"/>
                <w:szCs w:val="20"/>
                <w:color w:val="BABCBE"/>
                <w:w w:val="98"/>
              </w:rPr>
              <w:t>...............................................................................................................................................................................</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3,387.8</w:t>
            </w:r>
          </w:p>
        </w:tc>
      </w:tr>
      <w:tr>
        <w:trPr>
          <w:trHeight w:val="274"/>
        </w:trPr>
        <w:tc>
          <w:tcPr>
            <w:tcW w:w="9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2027 </w:t>
            </w:r>
            <w:r>
              <w:rPr>
                <w:rFonts w:ascii="Times New Roman" w:cs="Times New Roman" w:eastAsia="Times New Roman" w:hAnsi="Times New Roman"/>
                <w:sz w:val="20"/>
                <w:szCs w:val="20"/>
                <w:color w:val="BABCBE"/>
                <w:w w:val="98"/>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4,726.7</w:t>
            </w:r>
          </w:p>
        </w:tc>
      </w:tr>
      <w:tr>
        <w:trPr>
          <w:trHeight w:val="284"/>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2028 </w:t>
            </w:r>
            <w:r>
              <w:rPr>
                <w:rFonts w:ascii="Times New Roman" w:cs="Times New Roman" w:eastAsia="Times New Roman" w:hAnsi="Times New Roman"/>
                <w:sz w:val="20"/>
                <w:szCs w:val="20"/>
                <w:color w:val="BABCBE"/>
                <w:w w:val="98"/>
              </w:rPr>
              <w:t>...............................................................................................................................................................................</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7,513.2</w:t>
            </w:r>
          </w:p>
        </w:tc>
      </w:tr>
      <w:tr>
        <w:trPr>
          <w:trHeight w:val="274"/>
        </w:trPr>
        <w:tc>
          <w:tcPr>
            <w:tcW w:w="9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2029 </w:t>
            </w:r>
            <w:r>
              <w:rPr>
                <w:rFonts w:ascii="Times New Roman" w:cs="Times New Roman" w:eastAsia="Times New Roman" w:hAnsi="Times New Roman"/>
                <w:sz w:val="20"/>
                <w:szCs w:val="20"/>
                <w:color w:val="BABCBE"/>
                <w:w w:val="98"/>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3,782.0</w:t>
            </w:r>
          </w:p>
        </w:tc>
      </w:tr>
      <w:tr>
        <w:trPr>
          <w:trHeight w:val="284"/>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2030 </w:t>
            </w:r>
            <w:r>
              <w:rPr>
                <w:rFonts w:ascii="Times New Roman" w:cs="Times New Roman" w:eastAsia="Times New Roman" w:hAnsi="Times New Roman"/>
                <w:sz w:val="20"/>
                <w:szCs w:val="20"/>
                <w:color w:val="BABCBE"/>
                <w:w w:val="98"/>
              </w:rPr>
              <w:t>...............................................................................................................................................................................</w:t>
            </w:r>
          </w:p>
        </w:tc>
        <w:tc>
          <w:tcPr>
            <w:tcW w:w="6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4,925.3</w:t>
            </w:r>
          </w:p>
        </w:tc>
      </w:tr>
      <w:tr>
        <w:trPr>
          <w:trHeight w:val="269"/>
        </w:trPr>
        <w:tc>
          <w:tcPr>
            <w:tcW w:w="91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Thereafter </w:t>
            </w:r>
            <w:r>
              <w:rPr>
                <w:rFonts w:ascii="Times New Roman" w:cs="Times New Roman" w:eastAsia="Times New Roman" w:hAnsi="Times New Roman"/>
                <w:sz w:val="20"/>
                <w:szCs w:val="20"/>
                <w:color w:val="BABCBE"/>
                <w:w w:val="98"/>
              </w:rPr>
              <w:t>......................................................................................................................................................................</w:t>
            </w:r>
          </w:p>
        </w:tc>
        <w:tc>
          <w:tcPr>
            <w:tcW w:w="60" w:type="dxa"/>
            <w:vAlign w:val="bottom"/>
            <w:tcBorders>
              <w:bottom w:val="single" w:sz="8" w:color="E3E4E5"/>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13,099.9</w:t>
            </w:r>
          </w:p>
        </w:tc>
      </w:tr>
      <w:tr>
        <w:trPr>
          <w:trHeight w:val="269"/>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Total cash obligations</w:t>
            </w:r>
            <w:r>
              <w:rPr>
                <w:rFonts w:ascii="Times New Roman" w:cs="Times New Roman" w:eastAsia="Times New Roman" w:hAnsi="Times New Roman"/>
                <w:sz w:val="20"/>
                <w:szCs w:val="20"/>
                <w:color w:val="BABCBE"/>
              </w:rPr>
              <w:t>.............................................................................................................................................</w:t>
            </w:r>
          </w:p>
        </w:tc>
        <w:tc>
          <w:tcPr>
            <w:tcW w:w="60" w:type="dxa"/>
            <w:vAlign w:val="bottom"/>
            <w:shd w:val="clear" w:color="auto" w:fill="E3E4E5"/>
          </w:tcPr>
          <w:p>
            <w:pPr>
              <w:spacing w:after="0"/>
              <w:rPr>
                <w:sz w:val="23"/>
                <w:szCs w:val="23"/>
                <w:color w:val="auto"/>
              </w:rPr>
            </w:pPr>
          </w:p>
        </w:tc>
        <w:tc>
          <w:tcPr>
            <w:tcW w:w="200" w:type="dxa"/>
            <w:vAlign w:val="bottom"/>
            <w:shd w:val="clear" w:color="auto" w:fill="E3E4E5"/>
          </w:tcPr>
          <w:p>
            <w:pPr>
              <w:spacing w:after="0"/>
              <w:rPr>
                <w:sz w:val="23"/>
                <w:szCs w:val="23"/>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37,434.9</w:t>
            </w:r>
          </w:p>
        </w:tc>
      </w:tr>
      <w:tr>
        <w:trPr>
          <w:trHeight w:val="269"/>
        </w:trPr>
        <w:tc>
          <w:tcPr>
            <w:tcW w:w="91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Unamortized discounts, premiums and debt issuance costs, net</w:t>
            </w:r>
            <w:r>
              <w:rPr>
                <w:rFonts w:ascii="Times New Roman" w:cs="Times New Roman" w:eastAsia="Times New Roman" w:hAnsi="Times New Roman"/>
                <w:sz w:val="20"/>
                <w:szCs w:val="20"/>
                <w:color w:val="BABCBE"/>
              </w:rPr>
              <w:t>............................................................................</w:t>
            </w:r>
          </w:p>
        </w:tc>
        <w:tc>
          <w:tcPr>
            <w:tcW w:w="60" w:type="dxa"/>
            <w:vAlign w:val="bottom"/>
            <w:tcBorders>
              <w:bottom w:val="single" w:sz="8" w:color="E3E4E5"/>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(214.6)</w:t>
            </w:r>
          </w:p>
        </w:tc>
      </w:tr>
      <w:tr>
        <w:trPr>
          <w:trHeight w:val="269"/>
        </w:trPr>
        <w:tc>
          <w:tcPr>
            <w:tcW w:w="9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Balance as of December 31, 2025</w:t>
            </w:r>
            <w:r>
              <w:rPr>
                <w:rFonts w:ascii="Times New Roman" w:cs="Times New Roman" w:eastAsia="Times New Roman" w:hAnsi="Times New Roman"/>
                <w:sz w:val="20"/>
                <w:szCs w:val="20"/>
                <w:color w:val="BABCBE"/>
              </w:rPr>
              <w:t>..........................................................................................................................</w:t>
            </w:r>
          </w:p>
        </w:tc>
        <w:tc>
          <w:tcPr>
            <w:tcW w:w="2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37,220.3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-1608455</wp:posOffset>
            </wp:positionV>
            <wp:extent cx="652208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25">
                      <a:extLst>
                        <a:ext uri="{28A0092B-C50C-407E-A947-70E740481C1C}"/>
                      </a:extLst>
                    </a:blip>
                    <a:srcRect/>
                    <a:stretch>
                      <a:fillRect/>
                    </a:stretch>
                  </pic:blipFill>
                  <pic:spPr bwMode="auto">
                    <a:xfrm>
                      <a:off x="0" y="0"/>
                      <a:ext cx="6522085" cy="2540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-544195</wp:posOffset>
            </wp:positionV>
            <wp:extent cx="69723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26">
                      <a:extLst>
                        <a:ext uri="{28A0092B-C50C-407E-A947-70E740481C1C}"/>
                      </a:extLst>
                    </a:blip>
                    <a:srcRect/>
                    <a:stretch>
                      <a:fillRect/>
                    </a:stretch>
                  </pic:blipFill>
                  <pic:spPr bwMode="auto">
                    <a:xfrm>
                      <a:off x="0" y="0"/>
                      <a:ext cx="697230" cy="2540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-189230</wp:posOffset>
            </wp:positionV>
            <wp:extent cx="69723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27">
                      <a:extLst>
                        <a:ext uri="{28A0092B-C50C-407E-A947-70E740481C1C}"/>
                      </a:extLst>
                    </a:blip>
                    <a:srcRect/>
                    <a:stretch>
                      <a:fillRect/>
                    </a:stretch>
                  </pic:blipFill>
                  <pic:spPr bwMode="auto">
                    <a:xfrm>
                      <a:off x="0" y="0"/>
                      <a:ext cx="697230" cy="25400"/>
                    </a:xfrm>
                    <a:prstGeom prst="rect">
                      <a:avLst/>
                    </a:prstGeom>
                    <a:noFill/>
                  </pic:spPr>
                </pic:pic>
              </a:graphicData>
            </a:graphic>
          </wp:anchor>
        </w:drawing>
      </w:r>
    </w:p>
    <w:p>
      <w:pPr>
        <w:sectPr>
          <w:pgSz w:w="11880" w:h="15480" w:orient="portrait"/>
          <w:cols w:equalWidth="0" w:num="1">
            <w:col w:w="10220"/>
          </w:cols>
          <w:pgMar w:left="920" w:top="41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231F20"/>
        </w:rPr>
        <w:t>F-33</w:t>
      </w:r>
    </w:p>
    <w:p>
      <w:pPr>
        <w:sectPr>
          <w:pgSz w:w="11880" w:h="15480" w:orient="portrait"/>
          <w:cols w:equalWidth="0" w:num="1">
            <w:col w:w="10220"/>
          </w:cols>
          <w:pgMar w:left="920" w:top="418" w:right="740" w:bottom="0" w:gutter="0" w:footer="0" w:header="0"/>
          <w:type w:val="continuous"/>
        </w:sectPr>
      </w:pPr>
    </w:p>
    <w:bookmarkStart w:id="123" w:name="page124"/>
    <w:bookmarkEnd w:id="123"/>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75" w:lineRule="exact"/>
        <w:rPr>
          <w:sz w:val="20"/>
          <w:szCs w:val="20"/>
          <w:color w:val="auto"/>
        </w:rPr>
      </w:pPr>
    </w:p>
    <w:p>
      <w:pPr>
        <w:ind w:left="7"/>
        <w:spacing w:after="0"/>
        <w:tabs>
          <w:tab w:leader="none" w:pos="327" w:val="left"/>
        </w:tabs>
        <w:rPr>
          <w:sz w:val="20"/>
          <w:szCs w:val="20"/>
          <w:color w:val="auto"/>
        </w:rPr>
      </w:pPr>
      <w:r>
        <w:rPr>
          <w:rFonts w:ascii="Times New Roman" w:cs="Times New Roman" w:eastAsia="Times New Roman" w:hAnsi="Times New Roman"/>
          <w:sz w:val="20"/>
          <w:szCs w:val="20"/>
          <w:b w:val="1"/>
          <w:bCs w:val="1"/>
          <w:color w:val="231F20"/>
        </w:rPr>
        <w:t>9.</w:t>
      </w:r>
      <w:r>
        <w:rPr>
          <w:sz w:val="20"/>
          <w:szCs w:val="20"/>
          <w:color w:val="auto"/>
        </w:rPr>
        <w:tab/>
      </w:r>
      <w:r>
        <w:rPr>
          <w:rFonts w:ascii="Times New Roman" w:cs="Times New Roman" w:eastAsia="Times New Roman" w:hAnsi="Times New Roman"/>
          <w:sz w:val="19"/>
          <w:szCs w:val="19"/>
          <w:b w:val="1"/>
          <w:bCs w:val="1"/>
          <w:color w:val="231F20"/>
        </w:rPr>
        <w:t>ASSET RETIREMENT OBLIGATIONS</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changes in the carrying amount of the Company’s asset retirement obligations were as follows:</w:t>
      </w:r>
    </w:p>
    <w:p>
      <w:pPr>
        <w:spacing w:after="0" w:line="78"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76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0"/>
        </w:trPr>
        <w:tc>
          <w:tcPr>
            <w:tcW w:w="7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Beginning balance as of January 1, </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2,393.8</w:t>
            </w:r>
          </w:p>
        </w:tc>
        <w:tc>
          <w:tcPr>
            <w:tcW w:w="34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2,080.0</w:t>
            </w:r>
          </w:p>
        </w:tc>
      </w:tr>
      <w:tr>
        <w:trPr>
          <w:trHeight w:val="274"/>
        </w:trPr>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Additions</w:t>
            </w:r>
            <w:r>
              <w:rPr>
                <w:rFonts w:ascii="Times New Roman" w:cs="Times New Roman" w:eastAsia="Times New Roman" w:hAnsi="Times New Roman"/>
                <w:sz w:val="20"/>
                <w:szCs w:val="20"/>
                <w:color w:val="BABCBE"/>
                <w:w w:val="98"/>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w:t>
            </w:r>
          </w:p>
        </w:tc>
      </w:tr>
      <w:tr>
        <w:trPr>
          <w:trHeight w:val="284"/>
        </w:trPr>
        <w:tc>
          <w:tcPr>
            <w:tcW w:w="76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Accretion expense</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37.8</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35.5</w:t>
            </w:r>
          </w:p>
        </w:tc>
      </w:tr>
      <w:tr>
        <w:trPr>
          <w:trHeight w:val="274"/>
        </w:trPr>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Revisions in estimates (1)</w:t>
            </w:r>
            <w:r>
              <w:rPr>
                <w:rFonts w:ascii="Times New Roman" w:cs="Times New Roman" w:eastAsia="Times New Roman" w:hAnsi="Times New Roman"/>
                <w:sz w:val="20"/>
                <w:szCs w:val="20"/>
                <w:color w:val="BABCBE"/>
                <w:w w:val="98"/>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304.1</w:t>
            </w:r>
          </w:p>
        </w:tc>
      </w:tr>
      <w:tr>
        <w:trPr>
          <w:trHeight w:val="294"/>
        </w:trPr>
        <w:tc>
          <w:tcPr>
            <w:tcW w:w="76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Settlements</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6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(41.3)</w:t>
            </w:r>
          </w:p>
        </w:tc>
      </w:tr>
      <w:tr>
        <w:trPr>
          <w:trHeight w:val="221"/>
        </w:trPr>
        <w:tc>
          <w:tcPr>
            <w:tcW w:w="7680" w:type="dxa"/>
            <w:vAlign w:val="bottom"/>
          </w:tcPr>
          <w:p>
            <w:pPr>
              <w:ind w:left="40"/>
              <w:spacing w:after="0" w:line="221" w:lineRule="exact"/>
              <w:rPr>
                <w:sz w:val="20"/>
                <w:szCs w:val="20"/>
                <w:color w:val="auto"/>
              </w:rPr>
            </w:pPr>
            <w:r>
              <w:rPr>
                <w:rFonts w:ascii="Times New Roman" w:cs="Times New Roman" w:eastAsia="Times New Roman" w:hAnsi="Times New Roman"/>
                <w:sz w:val="20"/>
                <w:szCs w:val="20"/>
                <w:color w:val="231F20"/>
                <w:w w:val="98"/>
              </w:rPr>
              <w:t xml:space="preserve">Balance as of December 31, </w:t>
            </w:r>
            <w:r>
              <w:rPr>
                <w:rFonts w:ascii="Times New Roman" w:cs="Times New Roman" w:eastAsia="Times New Roman" w:hAnsi="Times New Roman"/>
                <w:sz w:val="20"/>
                <w:szCs w:val="20"/>
                <w:color w:val="BABCBE"/>
                <w:w w:val="98"/>
              </w:rPr>
              <w:t>.............................................................................................................</w:t>
            </w:r>
          </w:p>
        </w:tc>
        <w:tc>
          <w:tcPr>
            <w:tcW w:w="280" w:type="dxa"/>
            <w:vAlign w:val="bottom"/>
          </w:tcPr>
          <w:p>
            <w:pPr>
              <w:jc w:val="right"/>
              <w:ind w:right="22"/>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2,512.9</w:t>
            </w:r>
          </w:p>
        </w:tc>
        <w:tc>
          <w:tcPr>
            <w:tcW w:w="340" w:type="dxa"/>
            <w:vAlign w:val="bottom"/>
            <w:gridSpan w:val="2"/>
          </w:tcPr>
          <w:p>
            <w:pPr>
              <w:jc w:val="right"/>
              <w:ind w:right="120"/>
              <w:spacing w:after="0" w:line="221"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231F20"/>
              </w:rPr>
              <w:t>2,393.8</w:t>
            </w:r>
          </w:p>
        </w:tc>
      </w:tr>
      <w:tr>
        <w:trPr>
          <w:trHeight w:val="20"/>
        </w:trPr>
        <w:tc>
          <w:tcPr>
            <w:tcW w:w="76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-1094740</wp:posOffset>
            </wp:positionV>
            <wp:extent cx="150939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28">
                      <a:extLst>
                        <a:ext uri="{28A0092B-C50C-407E-A947-70E740481C1C}"/>
                      </a:extLst>
                    </a:blip>
                    <a:srcRect/>
                    <a:stretch>
                      <a:fillRect/>
                    </a:stretch>
                  </pic:blipFill>
                  <pic:spPr bwMode="auto">
                    <a:xfrm>
                      <a:off x="0" y="0"/>
                      <a:ext cx="1509395" cy="25400"/>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-208280</wp:posOffset>
            </wp:positionV>
            <wp:extent cx="150939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9">
                      <a:extLst>
                        <a:ext uri="{28A0092B-C50C-407E-A947-70E740481C1C}"/>
                      </a:extLst>
                    </a:blip>
                    <a:srcRect/>
                    <a:stretch>
                      <a:fillRect/>
                    </a:stretch>
                  </pic:blipFill>
                  <pic:spPr bwMode="auto">
                    <a:xfrm>
                      <a:off x="0" y="0"/>
                      <a:ext cx="1509395" cy="25400"/>
                    </a:xfrm>
                    <a:prstGeom prst="rect">
                      <a:avLst/>
                    </a:prstGeom>
                    <a:noFill/>
                  </pic:spPr>
                </pic:pic>
              </a:graphicData>
            </a:graphic>
          </wp:anchor>
        </w:drawing>
      </w:r>
    </w:p>
    <w:p>
      <w:pPr>
        <w:ind w:left="7"/>
        <w:spacing w:after="0"/>
        <w:rPr>
          <w:sz w:val="20"/>
          <w:szCs w:val="20"/>
          <w:color w:val="auto"/>
        </w:rPr>
      </w:pPr>
      <w:r>
        <w:rPr>
          <w:rFonts w:ascii="Times New Roman" w:cs="Times New Roman" w:eastAsia="Times New Roman" w:hAnsi="Times New Roman"/>
          <w:sz w:val="16"/>
          <w:szCs w:val="16"/>
          <w:color w:val="231F20"/>
        </w:rPr>
        <w:t>______________</w:t>
      </w:r>
    </w:p>
    <w:p>
      <w:pPr>
        <w:spacing w:after="0" w:line="22" w:lineRule="exact"/>
        <w:rPr>
          <w:sz w:val="20"/>
          <w:szCs w:val="20"/>
          <w:color w:val="auto"/>
        </w:rPr>
      </w:pPr>
    </w:p>
    <w:p>
      <w:pPr>
        <w:ind w:left="347" w:right="200" w:hanging="347"/>
        <w:spacing w:after="0" w:line="248" w:lineRule="auto"/>
        <w:tabs>
          <w:tab w:leader="none" w:pos="347" w:val="left"/>
        </w:tabs>
        <w:numPr>
          <w:ilvl w:val="0"/>
          <w:numId w:val="9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Revisions in estimates include an increase to the liability of $131.3 million and a decrease to the liability of $125.0 million related to foreign currency translation for the years ended December 31, 2025 and 2024, respectively. For the year ended December 31, 2024 includes a $470.0 million increase in the asset retirement obligation liability as a result of the Company’s change in the estimated settlement dates on January 1, 2024.</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As of December 31, 2025, the estimated undiscounted future cash outlay for asset retirement obligations was $4.6 billion.</w:t>
      </w:r>
    </w:p>
    <w:p>
      <w:pPr>
        <w:spacing w:after="0" w:line="194"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10.</w:t>
      </w:r>
      <w:r>
        <w:rPr>
          <w:sz w:val="20"/>
          <w:szCs w:val="20"/>
          <w:color w:val="auto"/>
        </w:rPr>
        <w:tab/>
      </w:r>
      <w:r>
        <w:rPr>
          <w:rFonts w:ascii="Times New Roman" w:cs="Times New Roman" w:eastAsia="Times New Roman" w:hAnsi="Times New Roman"/>
          <w:sz w:val="19"/>
          <w:szCs w:val="19"/>
          <w:b w:val="1"/>
          <w:bCs w:val="1"/>
          <w:color w:val="231F20"/>
        </w:rPr>
        <w:t>FAIR VALUE MEASUREMENTS</w:t>
      </w:r>
    </w:p>
    <w:p>
      <w:pPr>
        <w:spacing w:after="0" w:line="208" w:lineRule="exact"/>
        <w:rPr>
          <w:sz w:val="20"/>
          <w:szCs w:val="20"/>
          <w:color w:val="auto"/>
        </w:rPr>
      </w:pPr>
    </w:p>
    <w:p>
      <w:pPr>
        <w:ind w:left="7"/>
        <w:spacing w:after="0" w:line="259" w:lineRule="auto"/>
        <w:rPr>
          <w:sz w:val="20"/>
          <w:szCs w:val="20"/>
          <w:color w:val="auto"/>
        </w:rPr>
      </w:pPr>
      <w:r>
        <w:rPr>
          <w:rFonts w:ascii="Times New Roman" w:cs="Times New Roman" w:eastAsia="Times New Roman" w:hAnsi="Times New Roman"/>
          <w:sz w:val="20"/>
          <w:szCs w:val="20"/>
          <w:color w:val="231F20"/>
        </w:rPr>
        <w:t>The Company determines the fair value of its financial instruments based on the fair value hierarchy, which requires an entity to maximize the use of observable inputs and minimize the use of unobservable inputs when measuring fair value. Below are the three levels of inputs that may be used to measure fair value:</w:t>
      </w:r>
    </w:p>
    <w:p>
      <w:pPr>
        <w:spacing w:after="0" w:line="35" w:lineRule="exact"/>
        <w:rPr>
          <w:sz w:val="20"/>
          <w:szCs w:val="20"/>
          <w:color w:val="auto"/>
        </w:rPr>
      </w:pPr>
    </w:p>
    <w:p>
      <w:pPr>
        <w:ind w:left="1347" w:right="200" w:hanging="1013"/>
        <w:spacing w:after="0" w:line="236" w:lineRule="auto"/>
        <w:tabs>
          <w:tab w:leader="none" w:pos="1327" w:val="left"/>
        </w:tabs>
        <w:rPr>
          <w:sz w:val="20"/>
          <w:szCs w:val="20"/>
          <w:color w:val="auto"/>
        </w:rPr>
      </w:pPr>
      <w:r>
        <w:rPr>
          <w:rFonts w:ascii="Times New Roman" w:cs="Times New Roman" w:eastAsia="Times New Roman" w:hAnsi="Times New Roman"/>
          <w:sz w:val="20"/>
          <w:szCs w:val="20"/>
          <w:color w:val="231F20"/>
        </w:rPr>
        <w:t>Level 1</w:t>
      </w:r>
      <w:r>
        <w:rPr>
          <w:sz w:val="20"/>
          <w:szCs w:val="20"/>
          <w:color w:val="auto"/>
        </w:rPr>
        <w:tab/>
      </w:r>
      <w:r>
        <w:rPr>
          <w:rFonts w:ascii="Times New Roman" w:cs="Times New Roman" w:eastAsia="Times New Roman" w:hAnsi="Times New Roman"/>
          <w:sz w:val="20"/>
          <w:szCs w:val="20"/>
          <w:color w:val="231F20"/>
        </w:rPr>
        <w:t>Quoted prices in active markets for identical assets or liabilities that the Company has the ability to access at the measurement date.</w:t>
      </w:r>
    </w:p>
    <w:p>
      <w:pPr>
        <w:spacing w:after="0" w:line="106" w:lineRule="exact"/>
        <w:rPr>
          <w:sz w:val="20"/>
          <w:szCs w:val="20"/>
          <w:color w:val="auto"/>
        </w:rPr>
      </w:pPr>
    </w:p>
    <w:p>
      <w:pPr>
        <w:ind w:left="1347" w:right="180" w:hanging="1013"/>
        <w:spacing w:after="0" w:line="225" w:lineRule="auto"/>
        <w:tabs>
          <w:tab w:leader="none" w:pos="1327" w:val="left"/>
        </w:tabs>
        <w:rPr>
          <w:sz w:val="20"/>
          <w:szCs w:val="20"/>
          <w:color w:val="auto"/>
        </w:rPr>
      </w:pPr>
      <w:r>
        <w:rPr>
          <w:rFonts w:ascii="Times New Roman" w:cs="Times New Roman" w:eastAsia="Times New Roman" w:hAnsi="Times New Roman"/>
          <w:sz w:val="20"/>
          <w:szCs w:val="20"/>
          <w:color w:val="231F20"/>
        </w:rPr>
        <w:t>Level 2</w:t>
      </w:r>
      <w:r>
        <w:rPr>
          <w:sz w:val="20"/>
          <w:szCs w:val="20"/>
          <w:color w:val="auto"/>
        </w:rPr>
        <w:tab/>
      </w:r>
      <w:r>
        <w:rPr>
          <w:rFonts w:ascii="Times New Roman" w:cs="Times New Roman" w:eastAsia="Times New Roman" w:hAnsi="Times New Roman"/>
          <w:sz w:val="20"/>
          <w:szCs w:val="20"/>
          <w:color w:val="231F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18" w:lineRule="exact"/>
        <w:rPr>
          <w:sz w:val="20"/>
          <w:szCs w:val="20"/>
          <w:color w:val="auto"/>
        </w:rPr>
      </w:pPr>
    </w:p>
    <w:p>
      <w:pPr>
        <w:ind w:left="1347" w:right="180" w:hanging="1013"/>
        <w:spacing w:after="0" w:line="236" w:lineRule="auto"/>
        <w:tabs>
          <w:tab w:leader="none" w:pos="1327" w:val="left"/>
        </w:tabs>
        <w:rPr>
          <w:sz w:val="20"/>
          <w:szCs w:val="20"/>
          <w:color w:val="auto"/>
        </w:rPr>
      </w:pPr>
      <w:r>
        <w:rPr>
          <w:rFonts w:ascii="Times New Roman" w:cs="Times New Roman" w:eastAsia="Times New Roman" w:hAnsi="Times New Roman"/>
          <w:sz w:val="20"/>
          <w:szCs w:val="20"/>
          <w:color w:val="231F20"/>
        </w:rPr>
        <w:t>Level 3</w:t>
      </w:r>
      <w:r>
        <w:rPr>
          <w:sz w:val="20"/>
          <w:szCs w:val="20"/>
          <w:color w:val="auto"/>
        </w:rPr>
        <w:tab/>
      </w:r>
      <w:r>
        <w:rPr>
          <w:rFonts w:ascii="Times New Roman" w:cs="Times New Roman" w:eastAsia="Times New Roman" w:hAnsi="Times New Roman"/>
          <w:sz w:val="20"/>
          <w:szCs w:val="20"/>
          <w:color w:val="231F20"/>
        </w:rPr>
        <w:t>Unobservable inputs that are supported by little or no market activity and that are significant to the fair value of the assets or liabilities.</w:t>
      </w:r>
    </w:p>
    <w:p>
      <w:pPr>
        <w:spacing w:after="0" w:line="56" w:lineRule="exact"/>
        <w:rPr>
          <w:sz w:val="20"/>
          <w:szCs w:val="20"/>
          <w:color w:val="auto"/>
        </w:rPr>
      </w:pPr>
    </w:p>
    <w:p>
      <w:pPr>
        <w:ind w:left="7" w:right="180"/>
        <w:spacing w:after="0" w:line="275" w:lineRule="auto"/>
        <w:rPr>
          <w:sz w:val="20"/>
          <w:szCs w:val="20"/>
          <w:color w:val="auto"/>
        </w:rPr>
      </w:pPr>
      <w:r>
        <w:rPr>
          <w:rFonts w:ascii="Times New Roman" w:cs="Times New Roman" w:eastAsia="Times New Roman" w:hAnsi="Times New Roman"/>
          <w:sz w:val="20"/>
          <w:szCs w:val="20"/>
          <w:i w:val="1"/>
          <w:iCs w:val="1"/>
          <w:color w:val="231F20"/>
        </w:rPr>
        <w:t>Items Measured at Fair Value on a Recurring Basis</w:t>
      </w:r>
      <w:r>
        <w:rPr>
          <w:rFonts w:ascii="Times New Roman" w:cs="Times New Roman" w:eastAsia="Times New Roman" w:hAnsi="Times New Roman"/>
          <w:sz w:val="20"/>
          <w:szCs w:val="20"/>
          <w:color w:val="231F20"/>
        </w:rPr>
        <w:t>—The fair values of the Company’s financial assets and liabilities that are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required to be measured on a recurring basis at fair value were as follows:</w:t>
      </w:r>
    </w:p>
    <w:p>
      <w:pPr>
        <w:sectPr>
          <w:pgSz w:w="11880" w:h="15480" w:orient="portrait"/>
          <w:cols w:equalWidth="0" w:num="1">
            <w:col w:w="10047"/>
          </w:cols>
          <w:pgMar w:left="913" w:top="418" w:right="920" w:bottom="0" w:gutter="0" w:footer="0" w:header="0"/>
        </w:sectPr>
      </w:pPr>
    </w:p>
    <w:p>
      <w:pPr>
        <w:spacing w:after="0" w:line="33" w:lineRule="exact"/>
        <w:rPr>
          <w:sz w:val="20"/>
          <w:szCs w:val="20"/>
          <w:color w:val="auto"/>
        </w:rPr>
      </w:pPr>
    </w:p>
    <w:p>
      <w:pPr>
        <w:jc w:val="center"/>
        <w:ind w:left="4307"/>
        <w:spacing w:after="0"/>
        <w:rPr>
          <w:sz w:val="20"/>
          <w:szCs w:val="20"/>
          <w:color w:val="auto"/>
        </w:rPr>
      </w:pPr>
      <w:r>
        <w:rPr>
          <w:rFonts w:ascii="Times New Roman" w:cs="Times New Roman" w:eastAsia="Times New Roman" w:hAnsi="Times New Roman"/>
          <w:sz w:val="16"/>
          <w:szCs w:val="16"/>
          <w:b w:val="1"/>
          <w:bCs w:val="1"/>
          <w:color w:val="231F20"/>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18415</wp:posOffset>
            </wp:positionV>
            <wp:extent cx="185737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30">
                      <a:extLst>
                        <a:ext uri="{28A0092B-C50C-407E-A947-70E740481C1C}"/>
                      </a:extLst>
                    </a:blip>
                    <a:srcRect/>
                    <a:stretch>
                      <a:fillRect/>
                    </a:stretch>
                  </pic:blipFill>
                  <pic:spPr bwMode="auto">
                    <a:xfrm>
                      <a:off x="0" y="0"/>
                      <a:ext cx="1857375" cy="12700"/>
                    </a:xfrm>
                    <a:prstGeom prst="rect">
                      <a:avLst/>
                    </a:prstGeom>
                    <a:noFill/>
                  </pic:spPr>
                </pic:pic>
              </a:graphicData>
            </a:graphic>
          </wp:anchor>
        </w:drawing>
      </w:r>
    </w:p>
    <w:p>
      <w:pPr>
        <w:spacing w:after="0" w:line="134" w:lineRule="exact"/>
        <w:rPr>
          <w:sz w:val="20"/>
          <w:szCs w:val="20"/>
          <w:color w:val="auto"/>
        </w:rPr>
      </w:pPr>
    </w:p>
    <w:p>
      <w:pPr>
        <w:jc w:val="center"/>
        <w:ind w:left="4307"/>
        <w:spacing w:after="0"/>
        <w:rPr>
          <w:sz w:val="20"/>
          <w:szCs w:val="20"/>
          <w:color w:val="auto"/>
        </w:rPr>
      </w:pPr>
      <w:r>
        <w:rPr>
          <w:rFonts w:ascii="Times New Roman" w:cs="Times New Roman" w:eastAsia="Times New Roman" w:hAnsi="Times New Roman"/>
          <w:sz w:val="15"/>
          <w:szCs w:val="15"/>
          <w:b w:val="1"/>
          <w:bCs w:val="1"/>
          <w:color w:val="231F20"/>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26035</wp:posOffset>
            </wp:positionV>
            <wp:extent cx="185737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31">
                      <a:extLst>
                        <a:ext uri="{28A0092B-C50C-407E-A947-70E740481C1C}"/>
                      </a:extLst>
                    </a:blip>
                    <a:srcRect/>
                    <a:stretch>
                      <a:fillRect/>
                    </a:stretch>
                  </pic:blipFill>
                  <pic:spPr bwMode="auto">
                    <a:xfrm>
                      <a:off x="0" y="0"/>
                      <a:ext cx="185737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18415</wp:posOffset>
            </wp:positionV>
            <wp:extent cx="1866900"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32">
                      <a:extLst>
                        <a:ext uri="{28A0092B-C50C-407E-A947-70E740481C1C}"/>
                      </a:extLst>
                    </a:blip>
                    <a:srcRect/>
                    <a:stretch>
                      <a:fillRect/>
                    </a:stretch>
                  </pic:blipFill>
                  <pic:spPr bwMode="auto">
                    <a:xfrm>
                      <a:off x="0" y="0"/>
                      <a:ext cx="1866900" cy="12700"/>
                    </a:xfrm>
                    <a:prstGeom prst="rect">
                      <a:avLst/>
                    </a:prstGeom>
                    <a:noFill/>
                  </pic:spPr>
                </pic:pic>
              </a:graphicData>
            </a:graphic>
          </wp:anchor>
        </w:drawing>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231F20"/>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26035</wp:posOffset>
            </wp:positionV>
            <wp:extent cx="1866900"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33">
                      <a:extLst>
                        <a:ext uri="{28A0092B-C50C-407E-A947-70E740481C1C}"/>
                      </a:extLst>
                    </a:blip>
                    <a:srcRect/>
                    <a:stretch>
                      <a:fillRect/>
                    </a:stretch>
                  </pic:blipFill>
                  <pic:spPr bwMode="auto">
                    <a:xfrm>
                      <a:off x="0" y="0"/>
                      <a:ext cx="1866900" cy="12700"/>
                    </a:xfrm>
                    <a:prstGeom prst="rect">
                      <a:avLst/>
                    </a:prstGeom>
                    <a:noFill/>
                  </pic:spPr>
                </pic:pic>
              </a:graphicData>
            </a:graphic>
          </wp:anchor>
        </w:drawing>
      </w:r>
    </w:p>
    <w:p>
      <w:pPr>
        <w:spacing w:after="0" w:line="166" w:lineRule="exact"/>
        <w:rPr>
          <w:sz w:val="20"/>
          <w:szCs w:val="20"/>
          <w:color w:val="auto"/>
        </w:rPr>
      </w:pPr>
    </w:p>
    <w:p>
      <w:pPr>
        <w:sectPr>
          <w:pgSz w:w="11880" w:h="15480" w:orient="portrait"/>
          <w:cols w:equalWidth="0" w:num="2">
            <w:col w:w="6747" w:space="720"/>
            <w:col w:w="2580"/>
          </w:cols>
          <w:pgMar w:left="913" w:top="418" w:right="920" w:bottom="0" w:gutter="0" w:footer="0" w:header="0"/>
          <w:type w:val="continuous"/>
        </w:sectPr>
      </w:pPr>
    </w:p>
    <w:tbl>
      <w:tblPr>
        <w:tblLayout w:type="fixed"/>
        <w:tblInd w:w="7"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0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2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231F20"/>
              </w:rPr>
              <w:t>Level 3</w:t>
            </w:r>
          </w:p>
        </w:tc>
      </w:tr>
      <w:tr>
        <w:trPr>
          <w:trHeight w:val="270"/>
        </w:trPr>
        <w:tc>
          <w:tcPr>
            <w:tcW w:w="4060" w:type="dxa"/>
            <w:vAlign w:val="bottom"/>
            <w:tcBorders>
              <w:top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200" w:type="dxa"/>
            <w:vAlign w:val="bottom"/>
            <w:tcBorders>
              <w:top w:val="single" w:sz="8" w:color="231F20"/>
            </w:tcBorders>
            <w:shd w:val="clear" w:color="auto" w:fill="E3E4E5"/>
          </w:tcPr>
          <w:p>
            <w:pPr>
              <w:spacing w:after="0"/>
              <w:rPr>
                <w:sz w:val="23"/>
                <w:szCs w:val="23"/>
                <w:color w:val="auto"/>
              </w:rPr>
            </w:pPr>
          </w:p>
        </w:tc>
        <w:tc>
          <w:tcPr>
            <w:tcW w:w="740" w:type="dxa"/>
            <w:vAlign w:val="bottom"/>
            <w:tcBorders>
              <w:top w:val="single" w:sz="8" w:color="231F20"/>
            </w:tcBorders>
            <w:shd w:val="clear" w:color="auto" w:fill="E3E4E5"/>
          </w:tcPr>
          <w:p>
            <w:pPr>
              <w:spacing w:after="0"/>
              <w:rPr>
                <w:sz w:val="23"/>
                <w:szCs w:val="23"/>
                <w:color w:val="auto"/>
              </w:rPr>
            </w:pPr>
          </w:p>
        </w:tc>
        <w:tc>
          <w:tcPr>
            <w:tcW w:w="200" w:type="dxa"/>
            <w:vAlign w:val="bottom"/>
            <w:tcBorders>
              <w:top w:val="single" w:sz="8" w:color="231F20"/>
            </w:tcBorders>
            <w:shd w:val="clear" w:color="auto" w:fill="E3E4E5"/>
          </w:tcPr>
          <w:p>
            <w:pPr>
              <w:spacing w:after="0"/>
              <w:rPr>
                <w:sz w:val="23"/>
                <w:szCs w:val="23"/>
                <w:color w:val="auto"/>
              </w:rPr>
            </w:pPr>
          </w:p>
        </w:tc>
        <w:tc>
          <w:tcPr>
            <w:tcW w:w="880" w:type="dxa"/>
            <w:vAlign w:val="bottom"/>
            <w:tcBorders>
              <w:top w:val="single" w:sz="8" w:color="231F20"/>
            </w:tcBorders>
            <w:shd w:val="clear" w:color="auto" w:fill="E3E4E5"/>
          </w:tcPr>
          <w:p>
            <w:pPr>
              <w:spacing w:after="0"/>
              <w:rPr>
                <w:sz w:val="23"/>
                <w:szCs w:val="23"/>
                <w:color w:val="auto"/>
              </w:rPr>
            </w:pPr>
          </w:p>
        </w:tc>
        <w:tc>
          <w:tcPr>
            <w:tcW w:w="900" w:type="dxa"/>
            <w:vAlign w:val="bottom"/>
            <w:tcBorders>
              <w:top w:val="single" w:sz="8" w:color="231F20"/>
            </w:tcBorders>
            <w:shd w:val="clear" w:color="auto" w:fill="E3E4E5"/>
          </w:tcPr>
          <w:p>
            <w:pPr>
              <w:spacing w:after="0"/>
              <w:rPr>
                <w:sz w:val="23"/>
                <w:szCs w:val="23"/>
                <w:color w:val="auto"/>
              </w:rPr>
            </w:pPr>
          </w:p>
        </w:tc>
        <w:tc>
          <w:tcPr>
            <w:tcW w:w="80" w:type="dxa"/>
            <w:vAlign w:val="bottom"/>
            <w:tcBorders>
              <w:top w:val="single" w:sz="8" w:color="E3E4E5"/>
            </w:tcBorders>
            <w:shd w:val="clear" w:color="auto" w:fill="E3E4E5"/>
          </w:tcPr>
          <w:p>
            <w:pPr>
              <w:spacing w:after="0"/>
              <w:rPr>
                <w:sz w:val="23"/>
                <w:szCs w:val="23"/>
                <w:color w:val="auto"/>
              </w:rPr>
            </w:pPr>
          </w:p>
        </w:tc>
        <w:tc>
          <w:tcPr>
            <w:tcW w:w="200" w:type="dxa"/>
            <w:vAlign w:val="bottom"/>
            <w:tcBorders>
              <w:top w:val="single" w:sz="8" w:color="231F20"/>
            </w:tcBorders>
            <w:shd w:val="clear" w:color="auto" w:fill="E3E4E5"/>
          </w:tcPr>
          <w:p>
            <w:pPr>
              <w:spacing w:after="0"/>
              <w:rPr>
                <w:sz w:val="23"/>
                <w:szCs w:val="23"/>
                <w:color w:val="auto"/>
              </w:rPr>
            </w:pPr>
          </w:p>
        </w:tc>
        <w:tc>
          <w:tcPr>
            <w:tcW w:w="740" w:type="dxa"/>
            <w:vAlign w:val="bottom"/>
            <w:tcBorders>
              <w:top w:val="single" w:sz="8" w:color="231F20"/>
            </w:tcBorders>
            <w:shd w:val="clear" w:color="auto" w:fill="E3E4E5"/>
          </w:tcPr>
          <w:p>
            <w:pPr>
              <w:spacing w:after="0"/>
              <w:rPr>
                <w:sz w:val="23"/>
                <w:szCs w:val="23"/>
                <w:color w:val="auto"/>
              </w:rPr>
            </w:pPr>
          </w:p>
        </w:tc>
        <w:tc>
          <w:tcPr>
            <w:tcW w:w="220" w:type="dxa"/>
            <w:vAlign w:val="bottom"/>
            <w:tcBorders>
              <w:top w:val="single" w:sz="8" w:color="231F20"/>
            </w:tcBorders>
            <w:shd w:val="clear" w:color="auto" w:fill="E3E4E5"/>
          </w:tcPr>
          <w:p>
            <w:pPr>
              <w:spacing w:after="0"/>
              <w:rPr>
                <w:sz w:val="23"/>
                <w:szCs w:val="23"/>
                <w:color w:val="auto"/>
              </w:rPr>
            </w:pPr>
          </w:p>
        </w:tc>
        <w:tc>
          <w:tcPr>
            <w:tcW w:w="860" w:type="dxa"/>
            <w:vAlign w:val="bottom"/>
            <w:tcBorders>
              <w:top w:val="single" w:sz="8" w:color="231F20"/>
            </w:tcBorders>
            <w:shd w:val="clear" w:color="auto" w:fill="E3E4E5"/>
          </w:tcPr>
          <w:p>
            <w:pPr>
              <w:spacing w:after="0"/>
              <w:rPr>
                <w:sz w:val="23"/>
                <w:szCs w:val="23"/>
                <w:color w:val="auto"/>
              </w:rPr>
            </w:pPr>
          </w:p>
        </w:tc>
        <w:tc>
          <w:tcPr>
            <w:tcW w:w="920" w:type="dxa"/>
            <w:vAlign w:val="bottom"/>
            <w:tcBorders>
              <w:top w:val="single" w:sz="8" w:color="231F20"/>
            </w:tcBorders>
            <w:shd w:val="clear" w:color="auto" w:fill="E3E4E5"/>
          </w:tcPr>
          <w:p>
            <w:pPr>
              <w:spacing w:after="0"/>
              <w:rPr>
                <w:sz w:val="23"/>
                <w:szCs w:val="23"/>
                <w:color w:val="auto"/>
              </w:rPr>
            </w:pPr>
          </w:p>
        </w:tc>
      </w:tr>
      <w:tr>
        <w:trPr>
          <w:trHeight w:val="269"/>
        </w:trPr>
        <w:tc>
          <w:tcPr>
            <w:tcW w:w="40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Investments in equity securities (1)</w:t>
            </w:r>
            <w:r>
              <w:rPr>
                <w:rFonts w:ascii="Times New Roman" w:cs="Times New Roman" w:eastAsia="Times New Roman" w:hAnsi="Times New Roman"/>
                <w:sz w:val="20"/>
                <w:szCs w:val="20"/>
                <w:color w:val="BABCBE"/>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20"/>
                <w:szCs w:val="20"/>
                <w:color w:val="231F20"/>
              </w:rPr>
              <w:t>161.6</w:t>
            </w: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20"/>
                <w:szCs w:val="20"/>
                <w:color w:val="231F20"/>
              </w:rPr>
              <w:t>5.3</w:t>
            </w:r>
          </w:p>
        </w:tc>
        <w:tc>
          <w:tcPr>
            <w:tcW w:w="920" w:type="dxa"/>
            <w:vAlign w:val="bottom"/>
          </w:tcPr>
          <w:p>
            <w:pPr>
              <w:ind w:left="640"/>
              <w:spacing w:after="0"/>
              <w:rPr>
                <w:sz w:val="20"/>
                <w:szCs w:val="20"/>
                <w:color w:val="auto"/>
              </w:rPr>
            </w:pPr>
            <w:r>
              <w:rPr>
                <w:rFonts w:ascii="Times New Roman" w:cs="Times New Roman" w:eastAsia="Times New Roman" w:hAnsi="Times New Roman"/>
                <w:sz w:val="20"/>
                <w:szCs w:val="20"/>
                <w:color w:val="231F20"/>
              </w:rPr>
              <w:t>—</w:t>
            </w:r>
          </w:p>
        </w:tc>
      </w:tr>
      <w:tr>
        <w:trPr>
          <w:trHeight w:val="218"/>
        </w:trPr>
        <w:tc>
          <w:tcPr>
            <w:tcW w:w="4060" w:type="dxa"/>
            <w:vAlign w:val="bottom"/>
          </w:tcPr>
          <w:p>
            <w:pPr>
              <w:jc w:val="right"/>
              <w:ind w:right="3095"/>
              <w:spacing w:after="0"/>
              <w:rPr>
                <w:sz w:val="20"/>
                <w:szCs w:val="20"/>
                <w:color w:val="auto"/>
              </w:rPr>
            </w:pPr>
            <w:r>
              <w:rPr>
                <w:rFonts w:ascii="Times New Roman" w:cs="Times New Roman" w:eastAsia="Times New Roman" w:hAnsi="Times New Roman"/>
                <w:sz w:val="12"/>
                <w:szCs w:val="12"/>
                <w:color w:val="231F20"/>
                <w:w w:val="95"/>
              </w:rPr>
              <w:t>_______________</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-499110</wp:posOffset>
            </wp:positionV>
            <wp:extent cx="37966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4">
                      <a:extLst>
                        <a:ext uri="{28A0092B-C50C-407E-A947-70E740481C1C}"/>
                      </a:extLst>
                    </a:blip>
                    <a:srcRect/>
                    <a:stretch>
                      <a:fillRect/>
                    </a:stretch>
                  </pic:blipFill>
                  <pic:spPr bwMode="auto">
                    <a:xfrm>
                      <a:off x="0" y="0"/>
                      <a:ext cx="3796665" cy="25400"/>
                    </a:xfrm>
                    <a:prstGeom prst="rect">
                      <a:avLst/>
                    </a:prstGeom>
                    <a:noFill/>
                  </pic:spPr>
                </pic:pic>
              </a:graphicData>
            </a:graphic>
          </wp:anchor>
        </w:drawing>
      </w:r>
    </w:p>
    <w:p>
      <w:pPr>
        <w:ind w:left="347" w:right="120" w:hanging="347"/>
        <w:spacing w:after="0" w:line="246" w:lineRule="auto"/>
        <w:tabs>
          <w:tab w:leader="none" w:pos="348" w:val="left"/>
        </w:tabs>
        <w:numPr>
          <w:ilvl w:val="0"/>
          <w:numId w:val="9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Investments in equity securities are recorded in Notes receivable and other non-current assets in the consolidated balance sheets at fair value. Unrealized holding gains and losses for equity securities are recorded in Other income (expense) in the consolidated statements of operations in the current period. During the year ended December 31, 2025, the Company recognized an unrealized gain of $121.3 million, for equity securities held as of December 31, 2025. During the year ended December 31, 2024, the Company recognized an unrealized gain of $70.4 million for equity securities held as of December 31, 2024.</w:t>
      </w:r>
    </w:p>
    <w:p>
      <w:pPr>
        <w:spacing w:after="0" w:line="123" w:lineRule="exact"/>
        <w:rPr>
          <w:sz w:val="20"/>
          <w:szCs w:val="20"/>
          <w:color w:val="auto"/>
        </w:rPr>
      </w:pPr>
    </w:p>
    <w:p>
      <w:pPr>
        <w:ind w:left="7" w:right="40"/>
        <w:spacing w:after="0" w:line="255" w:lineRule="auto"/>
        <w:rPr>
          <w:sz w:val="20"/>
          <w:szCs w:val="20"/>
          <w:color w:val="auto"/>
        </w:rPr>
      </w:pPr>
      <w:r>
        <w:rPr>
          <w:rFonts w:ascii="Times New Roman" w:cs="Times New Roman" w:eastAsia="Times New Roman" w:hAnsi="Times New Roman"/>
          <w:sz w:val="20"/>
          <w:szCs w:val="20"/>
          <w:i w:val="1"/>
          <w:iCs w:val="1"/>
          <w:color w:val="231F20"/>
        </w:rPr>
        <w:t>Sale of Equity Securities</w:t>
      </w:r>
      <w:r>
        <w:rPr>
          <w:rFonts w:ascii="Times New Roman" w:cs="Times New Roman" w:eastAsia="Times New Roman" w:hAnsi="Times New Roman"/>
          <w:sz w:val="20"/>
          <w:szCs w:val="20"/>
          <w:color w:val="231F20"/>
        </w:rPr>
        <w:t>—During the year ended December 31, 2025, the Company completed the sale of equity securities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U.S. The net proceeds for this transaction were approximately $159.6 million after deducting commissions and fees. During the year ended December 31, 2025, the Company recognized a gain of $111.3 million for equity securities sold during the period.</w:t>
      </w:r>
    </w:p>
    <w:p>
      <w:pPr>
        <w:spacing w:after="0" w:line="1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Items Measured at Fair Value on a Nonrecurring Basis</w:t>
      </w:r>
    </w:p>
    <w:p>
      <w:pPr>
        <w:spacing w:after="0" w:line="162" w:lineRule="exact"/>
        <w:rPr>
          <w:sz w:val="20"/>
          <w:szCs w:val="20"/>
          <w:color w:val="auto"/>
        </w:rPr>
      </w:pPr>
    </w:p>
    <w:p>
      <w:pPr>
        <w:ind w:left="7" w:right="260"/>
        <w:spacing w:after="0" w:line="275" w:lineRule="auto"/>
        <w:rPr>
          <w:sz w:val="20"/>
          <w:szCs w:val="20"/>
          <w:color w:val="auto"/>
        </w:rPr>
      </w:pPr>
      <w:r>
        <w:rPr>
          <w:rFonts w:ascii="Times New Roman" w:cs="Times New Roman" w:eastAsia="Times New Roman" w:hAnsi="Times New Roman"/>
          <w:sz w:val="20"/>
          <w:szCs w:val="20"/>
          <w:i w:val="1"/>
          <w:iCs w:val="1"/>
          <w:color w:val="231F20"/>
        </w:rPr>
        <w:t>Assets Held and Used</w:t>
      </w:r>
      <w:r>
        <w:rPr>
          <w:rFonts w:ascii="Times New Roman" w:cs="Times New Roman" w:eastAsia="Times New Roman" w:hAnsi="Times New Roman"/>
          <w:sz w:val="20"/>
          <w:szCs w:val="20"/>
          <w:color w:val="231F20"/>
        </w:rPr>
        <w:t>—The Company’s long-lived assets are recorded at amortized cost and, if impaired, are adjusted to fair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value using Level 3 inputs.</w:t>
      </w:r>
    </w:p>
    <w:p>
      <w:pPr>
        <w:sectPr>
          <w:pgSz w:w="11880" w:h="15480" w:orient="portrait"/>
          <w:cols w:equalWidth="0" w:num="1">
            <w:col w:w="10047"/>
          </w:cols>
          <w:pgMar w:left="913" w:top="41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F-34</w:t>
      </w:r>
    </w:p>
    <w:p>
      <w:pPr>
        <w:sectPr>
          <w:pgSz w:w="11880" w:h="15480" w:orient="portrait"/>
          <w:cols w:equalWidth="0" w:num="1">
            <w:col w:w="10047"/>
          </w:cols>
          <w:pgMar w:left="913" w:top="418" w:right="920" w:bottom="0" w:gutter="0" w:footer="0" w:header="0"/>
          <w:type w:val="continuous"/>
        </w:sectPr>
      </w:pPr>
    </w:p>
    <w:bookmarkStart w:id="124" w:name="page125"/>
    <w:bookmarkEnd w:id="124"/>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line="264" w:lineRule="auto"/>
        <w:rPr>
          <w:sz w:val="20"/>
          <w:szCs w:val="20"/>
          <w:color w:val="auto"/>
        </w:rPr>
      </w:pPr>
      <w:r>
        <w:rPr>
          <w:rFonts w:ascii="Times New Roman" w:cs="Times New Roman" w:eastAsia="Times New Roman" w:hAnsi="Times New Roman"/>
          <w:sz w:val="19"/>
          <w:szCs w:val="19"/>
          <w:color w:val="231F20"/>
        </w:rPr>
        <w:t>During the year ended December 31, 2025, long-lived assets held and used with a carrying value of $33.7 billion included assets of $0.1 billion that were subject to fair value measurement and were written down to their net realizable value of less than $0.1 billion as a result of an asset impairment charge of $94.2 million. During the year ended December 31, 2024, long-lived assets held and used with a carrying value of $32.3 billion included assets of less than $0.1 billion that were subject to fair value measurement and written down to their net realizable value of less than $0.1 billion as a result of an asset impairment charge of $68.6 million. The asset impairment charges are recorded in Other operating expenses in the accompanying consolidated statements of operations. These adjustments were determined by comparing the estimated fair value of the subject assets utilizing projected future discounted cash flows to be provided from the long-lived assets to the asset’s carrying value.</w:t>
      </w:r>
    </w:p>
    <w:p>
      <w:pPr>
        <w:spacing w:after="0" w:line="116" w:lineRule="exact"/>
        <w:rPr>
          <w:sz w:val="20"/>
          <w:szCs w:val="20"/>
          <w:color w:val="auto"/>
        </w:rPr>
      </w:pPr>
    </w:p>
    <w:p>
      <w:pPr>
        <w:ind w:left="7" w:right="460"/>
        <w:spacing w:after="0" w:line="273" w:lineRule="auto"/>
        <w:rPr>
          <w:sz w:val="20"/>
          <w:szCs w:val="20"/>
          <w:color w:val="auto"/>
        </w:rPr>
      </w:pPr>
      <w:r>
        <w:rPr>
          <w:rFonts w:ascii="Times New Roman" w:cs="Times New Roman" w:eastAsia="Times New Roman" w:hAnsi="Times New Roman"/>
          <w:sz w:val="20"/>
          <w:szCs w:val="20"/>
          <w:color w:val="231F20"/>
        </w:rPr>
        <w:t>The significant unobservable inputs used to determine the fair value of the individual tower and acquired network location intangible assets subject to impairment in 2025 and 2024 included the following:</w:t>
      </w:r>
    </w:p>
    <w:p>
      <w:pPr>
        <w:spacing w:after="0" w:line="35" w:lineRule="exact"/>
        <w:rPr>
          <w:sz w:val="20"/>
          <w:szCs w:val="20"/>
          <w:color w:val="auto"/>
        </w:rPr>
      </w:pPr>
    </w:p>
    <w:p>
      <w:pPr>
        <w:ind w:left="6267"/>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18415</wp:posOffset>
            </wp:positionV>
            <wp:extent cx="3705860"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35">
                      <a:extLst>
                        <a:ext uri="{28A0092B-C50C-407E-A947-70E740481C1C}"/>
                      </a:extLst>
                    </a:blip>
                    <a:srcRect/>
                    <a:stretch>
                      <a:fillRect/>
                    </a:stretch>
                  </pic:blipFill>
                  <pic:spPr bwMode="auto">
                    <a:xfrm>
                      <a:off x="0" y="0"/>
                      <a:ext cx="3705860" cy="12700"/>
                    </a:xfrm>
                    <a:prstGeom prst="rect">
                      <a:avLst/>
                    </a:prstGeom>
                    <a:noFill/>
                  </pic:spPr>
                </pic:pic>
              </a:graphicData>
            </a:graphic>
          </wp:anchor>
        </w:drawing>
      </w:r>
    </w:p>
    <w:p>
      <w:pPr>
        <w:sectPr>
          <w:pgSz w:w="11880" w:h="15480" w:orient="portrait"/>
          <w:cols w:equalWidth="0" w:num="1">
            <w:col w:w="10047"/>
          </w:cols>
          <w:pgMar w:left="913" w:top="418" w:right="920" w:bottom="0" w:gutter="0" w:footer="0" w:header="0"/>
        </w:sectPr>
      </w:pPr>
    </w:p>
    <w:p>
      <w:pPr>
        <w:spacing w:after="0" w:line="66" w:lineRule="exact"/>
        <w:rPr>
          <w:sz w:val="20"/>
          <w:szCs w:val="20"/>
          <w:color w:val="auto"/>
        </w:rPr>
      </w:pPr>
    </w:p>
    <w:p>
      <w:pPr>
        <w:ind w:left="5507"/>
        <w:spacing w:after="0"/>
        <w:rPr>
          <w:sz w:val="20"/>
          <w:szCs w:val="20"/>
          <w:color w:val="auto"/>
        </w:rPr>
      </w:pPr>
      <w:r>
        <w:rPr>
          <w:rFonts w:ascii="Times New Roman" w:cs="Times New Roman" w:eastAsia="Times New Roman" w:hAnsi="Times New Roman"/>
          <w:sz w:val="16"/>
          <w:szCs w:val="16"/>
          <w:b w:val="1"/>
          <w:bCs w:val="1"/>
          <w:color w:val="231F2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18415</wp:posOffset>
            </wp:positionV>
            <wp:extent cx="1838960"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36">
                      <a:extLst>
                        <a:ext uri="{28A0092B-C50C-407E-A947-70E740481C1C}"/>
                      </a:extLst>
                    </a:blip>
                    <a:srcRect/>
                    <a:stretch>
                      <a:fillRect/>
                    </a:stretch>
                  </pic:blipFill>
                  <pic:spPr bwMode="auto">
                    <a:xfrm>
                      <a:off x="0" y="0"/>
                      <a:ext cx="1838960" cy="12700"/>
                    </a:xfrm>
                    <a:prstGeom prst="rect">
                      <a:avLst/>
                    </a:prstGeom>
                    <a:noFill/>
                  </pic:spPr>
                </pic:pic>
              </a:graphicData>
            </a:graphic>
          </wp:anchor>
        </w:drawing>
      </w:r>
    </w:p>
    <w:p>
      <w:pPr>
        <w:spacing w:after="0" w:line="46" w:lineRule="exact"/>
        <w:rPr>
          <w:sz w:val="20"/>
          <w:szCs w:val="20"/>
          <w:color w:val="auto"/>
        </w:rPr>
      </w:pPr>
    </w:p>
    <w:p>
      <w:pPr>
        <w:ind w:left="4707"/>
        <w:spacing w:after="0"/>
        <w:tabs>
          <w:tab w:leader="none" w:pos="5767" w:val="left"/>
        </w:tabs>
        <w:rPr>
          <w:sz w:val="20"/>
          <w:szCs w:val="20"/>
          <w:color w:val="auto"/>
        </w:rPr>
      </w:pPr>
      <w:r>
        <w:rPr>
          <w:rFonts w:ascii="Times New Roman" w:cs="Times New Roman" w:eastAsia="Times New Roman" w:hAnsi="Times New Roman"/>
          <w:sz w:val="15"/>
          <w:szCs w:val="15"/>
          <w:b w:val="1"/>
          <w:bCs w:val="1"/>
          <w:color w:val="231F20"/>
        </w:rPr>
        <w:t>Range</w:t>
      </w:r>
      <w:r>
        <w:rPr>
          <w:sz w:val="20"/>
          <w:szCs w:val="20"/>
          <w:color w:val="auto"/>
        </w:rPr>
        <w:tab/>
      </w:r>
      <w:r>
        <w:rPr>
          <w:rFonts w:ascii="Times New Roman" w:cs="Times New Roman" w:eastAsia="Times New Roman" w:hAnsi="Times New Roman"/>
          <w:sz w:val="15"/>
          <w:szCs w:val="15"/>
          <w:b w:val="1"/>
          <w:bCs w:val="1"/>
          <w:color w:val="231F20"/>
        </w:rPr>
        <w:t>Weighted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19050</wp:posOffset>
            </wp:positionV>
            <wp:extent cx="186436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37">
                      <a:extLst>
                        <a:ext uri="{28A0092B-C50C-407E-A947-70E740481C1C}"/>
                      </a:extLst>
                    </a:blip>
                    <a:srcRect/>
                    <a:stretch>
                      <a:fillRect/>
                    </a:stretch>
                  </pic:blipFill>
                  <pic:spPr bwMode="auto">
                    <a:xfrm>
                      <a:off x="0" y="0"/>
                      <a:ext cx="18643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231F2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18415</wp:posOffset>
            </wp:positionV>
            <wp:extent cx="182943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38">
                      <a:extLst>
                        <a:ext uri="{28A0092B-C50C-407E-A947-70E740481C1C}"/>
                      </a:extLst>
                    </a:blip>
                    <a:srcRect/>
                    <a:stretch>
                      <a:fillRect/>
                    </a:stretch>
                  </pic:blipFill>
                  <pic:spPr bwMode="auto">
                    <a:xfrm>
                      <a:off x="0" y="0"/>
                      <a:ext cx="1829435" cy="12700"/>
                    </a:xfrm>
                    <a:prstGeom prst="rect">
                      <a:avLst/>
                    </a:prstGeom>
                    <a:noFill/>
                  </pic:spPr>
                </pic:pic>
              </a:graphicData>
            </a:graphic>
          </wp:anchor>
        </w:drawing>
      </w:r>
    </w:p>
    <w:p>
      <w:pPr>
        <w:spacing w:after="0" w:line="4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5"/>
          <w:szCs w:val="15"/>
          <w:b w:val="1"/>
          <w:bCs w:val="1"/>
          <w:color w:val="231F20"/>
        </w:rPr>
        <w:t>Range</w:t>
      </w:r>
      <w:r>
        <w:rPr>
          <w:sz w:val="20"/>
          <w:szCs w:val="20"/>
          <w:color w:val="auto"/>
        </w:rPr>
        <w:tab/>
      </w:r>
      <w:r>
        <w:rPr>
          <w:rFonts w:ascii="Times New Roman" w:cs="Times New Roman" w:eastAsia="Times New Roman" w:hAnsi="Times New Roman"/>
          <w:sz w:val="15"/>
          <w:szCs w:val="15"/>
          <w:b w:val="1"/>
          <w:bCs w:val="1"/>
          <w:color w:val="231F20"/>
        </w:rPr>
        <w:t>Weighted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19050</wp:posOffset>
            </wp:positionV>
            <wp:extent cx="18548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39">
                      <a:extLst>
                        <a:ext uri="{28A0092B-C50C-407E-A947-70E740481C1C}"/>
                      </a:extLst>
                    </a:blip>
                    <a:srcRect/>
                    <a:stretch>
                      <a:fillRect/>
                    </a:stretch>
                  </pic:blipFill>
                  <pic:spPr bwMode="auto">
                    <a:xfrm>
                      <a:off x="0" y="0"/>
                      <a:ext cx="1854835" cy="25400"/>
                    </a:xfrm>
                    <a:prstGeom prst="rect">
                      <a:avLst/>
                    </a:prstGeom>
                    <a:noFill/>
                  </pic:spPr>
                </pic:pic>
              </a:graphicData>
            </a:graphic>
          </wp:anchor>
        </w:drawing>
      </w:r>
    </w:p>
    <w:p>
      <w:pPr>
        <w:spacing w:after="0" w:line="35" w:lineRule="exact"/>
        <w:rPr>
          <w:sz w:val="20"/>
          <w:szCs w:val="20"/>
          <w:color w:val="auto"/>
        </w:rPr>
      </w:pPr>
    </w:p>
    <w:p>
      <w:pPr>
        <w:sectPr>
          <w:pgSz w:w="11880" w:h="15480" w:orient="portrait"/>
          <w:cols w:equalWidth="0" w:num="2">
            <w:col w:w="7027" w:space="640"/>
            <w:col w:w="2380"/>
          </w:cols>
          <w:pgMar w:left="913" w:top="418" w:right="920" w:bottom="0" w:gutter="0" w:footer="0" w:header="0"/>
          <w:type w:val="continuous"/>
        </w:sectPr>
      </w:pPr>
    </w:p>
    <w:tbl>
      <w:tblPr>
        <w:tblLayout w:type="fixed"/>
        <w:tblInd w:w="7" w:type="dxa"/>
        <w:tblCellMar>
          <w:top w:w="0" w:type="dxa"/>
          <w:left w:w="0" w:type="dxa"/>
          <w:bottom w:w="0" w:type="dxa"/>
          <w:right w:w="0" w:type="dxa"/>
        </w:tblCellMar>
      </w:tblPr>
      <w:tr>
        <w:trPr>
          <w:trHeight w:val="289"/>
        </w:trPr>
        <w:tc>
          <w:tcPr>
            <w:tcW w:w="4220" w:type="dxa"/>
            <w:vAlign w:val="bottom"/>
            <w:tcBorders>
              <w:top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Terminal growth rates on cash flows (1)</w:t>
            </w:r>
          </w:p>
        </w:tc>
        <w:tc>
          <w:tcPr>
            <w:tcW w:w="1400" w:type="dxa"/>
            <w:vAlign w:val="bottom"/>
            <w:tcBorders>
              <w:top w:val="single" w:sz="8" w:color="231F20"/>
            </w:tcBorders>
            <w:shd w:val="clear" w:color="auto" w:fill="E3E4E5"/>
          </w:tcPr>
          <w:p>
            <w:pPr>
              <w:ind w:left="480"/>
              <w:spacing w:after="0"/>
              <w:rPr>
                <w:sz w:val="20"/>
                <w:szCs w:val="20"/>
                <w:color w:val="auto"/>
              </w:rPr>
            </w:pPr>
            <w:r>
              <w:rPr>
                <w:rFonts w:ascii="Times New Roman" w:cs="Times New Roman" w:eastAsia="Times New Roman" w:hAnsi="Times New Roman"/>
                <w:sz w:val="20"/>
                <w:szCs w:val="20"/>
                <w:color w:val="231F20"/>
              </w:rPr>
              <w:t>2% to 12%</w:t>
            </w:r>
          </w:p>
        </w:tc>
        <w:tc>
          <w:tcPr>
            <w:tcW w:w="80" w:type="dxa"/>
            <w:vAlign w:val="bottom"/>
            <w:tcBorders>
              <w:top w:val="single" w:sz="8" w:color="E3E4E5"/>
            </w:tcBorders>
            <w:shd w:val="clear" w:color="auto" w:fill="E3E4E5"/>
          </w:tcPr>
          <w:p>
            <w:pPr>
              <w:spacing w:after="0"/>
              <w:rPr>
                <w:sz w:val="24"/>
                <w:szCs w:val="24"/>
                <w:color w:val="auto"/>
              </w:rPr>
            </w:pPr>
          </w:p>
        </w:tc>
        <w:tc>
          <w:tcPr>
            <w:tcW w:w="14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Borders>
              <w:top w:val="single" w:sz="8" w:color="E3E4E5"/>
            </w:tcBorders>
            <w:shd w:val="clear" w:color="auto" w:fill="E3E4E5"/>
          </w:tcPr>
          <w:p>
            <w:pPr>
              <w:spacing w:after="0"/>
              <w:rPr>
                <w:sz w:val="24"/>
                <w:szCs w:val="24"/>
                <w:color w:val="auto"/>
              </w:rPr>
            </w:pPr>
          </w:p>
        </w:tc>
        <w:tc>
          <w:tcPr>
            <w:tcW w:w="142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 to 8%</w:t>
            </w:r>
          </w:p>
        </w:tc>
        <w:tc>
          <w:tcPr>
            <w:tcW w:w="60" w:type="dxa"/>
            <w:vAlign w:val="bottom"/>
            <w:tcBorders>
              <w:top w:val="single" w:sz="8" w:color="E3E4E5"/>
            </w:tcBorders>
            <w:shd w:val="clear" w:color="auto" w:fill="E3E4E5"/>
          </w:tcPr>
          <w:p>
            <w:pPr>
              <w:spacing w:after="0"/>
              <w:rPr>
                <w:sz w:val="24"/>
                <w:szCs w:val="24"/>
                <w:color w:val="auto"/>
              </w:rPr>
            </w:pPr>
          </w:p>
        </w:tc>
        <w:tc>
          <w:tcPr>
            <w:tcW w:w="14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82"/>
        </w:trPr>
        <w:tc>
          <w:tcPr>
            <w:tcW w:w="422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Weighted average cost of capital (2)</w:t>
            </w:r>
          </w:p>
        </w:tc>
        <w:tc>
          <w:tcPr>
            <w:tcW w:w="1400" w:type="dxa"/>
            <w:vAlign w:val="bottom"/>
          </w:tcPr>
          <w:p>
            <w:pPr>
              <w:ind w:left="480"/>
              <w:spacing w:after="0"/>
              <w:rPr>
                <w:sz w:val="20"/>
                <w:szCs w:val="20"/>
                <w:color w:val="auto"/>
              </w:rPr>
            </w:pPr>
            <w:r>
              <w:rPr>
                <w:rFonts w:ascii="Times New Roman" w:cs="Times New Roman" w:eastAsia="Times New Roman" w:hAnsi="Times New Roman"/>
                <w:sz w:val="20"/>
                <w:szCs w:val="20"/>
                <w:color w:val="231F20"/>
              </w:rPr>
              <w:t>7% to 27%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 to 56%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w:t>
            </w:r>
          </w:p>
        </w:tc>
      </w:tr>
    </w:tbl>
    <w:p>
      <w:pPr>
        <w:spacing w:after="0" w:line="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On a local currency basis.</w:t>
      </w:r>
    </w:p>
    <w:p>
      <w:pPr>
        <w:spacing w:after="0" w:line="3" w:lineRule="exact"/>
        <w:rPr>
          <w:rFonts w:ascii="Times New Roman" w:cs="Times New Roman" w:eastAsia="Times New Roman" w:hAnsi="Times New Roman"/>
          <w:sz w:val="16"/>
          <w:szCs w:val="16"/>
          <w:color w:val="231F20"/>
        </w:rPr>
      </w:pPr>
    </w:p>
    <w:p>
      <w:pPr>
        <w:ind w:left="347" w:right="380" w:hanging="347"/>
        <w:spacing w:after="0" w:line="250" w:lineRule="auto"/>
        <w:tabs>
          <w:tab w:leader="none" w:pos="347" w:val="left"/>
        </w:tabs>
        <w:numPr>
          <w:ilvl w:val="0"/>
          <w:numId w:val="10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Specific to the country of each impaired asset. Due to the underlying economic characteristics of the markets the Company operates in, the weighted average cost of capital may vary significantly from market to market.</w:t>
      </w:r>
    </w:p>
    <w:p>
      <w:pPr>
        <w:spacing w:after="0" w:line="121" w:lineRule="exact"/>
        <w:rPr>
          <w:sz w:val="20"/>
          <w:szCs w:val="20"/>
          <w:color w:val="auto"/>
        </w:rPr>
      </w:pPr>
    </w:p>
    <w:p>
      <w:pPr>
        <w:ind w:left="7" w:right="140"/>
        <w:spacing w:after="0" w:line="273" w:lineRule="auto"/>
        <w:rPr>
          <w:sz w:val="20"/>
          <w:szCs w:val="20"/>
          <w:color w:val="auto"/>
        </w:rPr>
      </w:pPr>
      <w:r>
        <w:rPr>
          <w:rFonts w:ascii="Times New Roman" w:cs="Times New Roman" w:eastAsia="Times New Roman" w:hAnsi="Times New Roman"/>
          <w:sz w:val="20"/>
          <w:szCs w:val="20"/>
          <w:color w:val="231F20"/>
        </w:rPr>
        <w:t>The Company believes any reasonable change in the significant unobservable inputs utilized would not have a material impact on the fair value of the assets used in connection with the impairment recorded.</w:t>
      </w:r>
    </w:p>
    <w:p>
      <w:pPr>
        <w:spacing w:after="0" w:line="1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231F20"/>
        </w:rPr>
        <w:t>There were no other items measured at fair value on a nonrecurring basis during the years ended December 31, 2025 and 2024.</w:t>
      </w:r>
    </w:p>
    <w:p>
      <w:pPr>
        <w:spacing w:after="0" w:line="172" w:lineRule="exact"/>
        <w:rPr>
          <w:sz w:val="20"/>
          <w:szCs w:val="20"/>
          <w:color w:val="auto"/>
        </w:rPr>
      </w:pPr>
    </w:p>
    <w:p>
      <w:pPr>
        <w:ind w:left="7" w:right="40"/>
        <w:spacing w:after="0" w:line="248" w:lineRule="auto"/>
        <w:rPr>
          <w:sz w:val="20"/>
          <w:szCs w:val="20"/>
          <w:color w:val="auto"/>
        </w:rPr>
      </w:pPr>
      <w:r>
        <w:rPr>
          <w:rFonts w:ascii="Times New Roman" w:cs="Times New Roman" w:eastAsia="Times New Roman" w:hAnsi="Times New Roman"/>
          <w:sz w:val="20"/>
          <w:szCs w:val="20"/>
          <w:i w:val="1"/>
          <w:iCs w:val="1"/>
          <w:color w:val="231F20"/>
        </w:rPr>
        <w:t>Fair Value of Financial Instruments</w:t>
      </w:r>
      <w:r>
        <w:rPr>
          <w:rFonts w:ascii="Times New Roman" w:cs="Times New Roman" w:eastAsia="Times New Roman" w:hAnsi="Times New Roman"/>
          <w:sz w:val="20"/>
          <w:szCs w:val="20"/>
          <w:color w:val="231F20"/>
        </w:rPr>
        <w:t>—The Company’s financial instruments for which the carrying value reasonably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approximates fair value at December 31, 2025 and 2024 include cash and cash equivalents, restricted cash, accounts receivable and accounts payable. The Company’s estimates of fair value of its long-term obligations, including the current portion, are based primarily upon reported market values. For long-term debt not actively traded, fair value is estimated using either indicative price quotes or a discounted cash flow analysis using rates for debt with similar terms and maturities. As of December 31, 2025, the carrying value and fair value of long-term obligations, including the current portion, were $37.2 billion and $36.1 billion, respectively, of which $32.9 billion was measured using Level 1 inputs and $3.2 billion was measured using Level 2 inputs. As of December 31, 2024, the carrying value and fair value of long-term obligations, including the current portion, and amounts presented as discontinued operations, were $36.5 billion and $34.6 billion, respectively, of which $31.3 billion was measured using Level 1 inputs and $3.3 billion was measured using Level 2 inputs.</w:t>
      </w:r>
    </w:p>
    <w:p>
      <w:pPr>
        <w:spacing w:after="0" w:line="132" w:lineRule="exact"/>
        <w:rPr>
          <w:sz w:val="20"/>
          <w:szCs w:val="20"/>
          <w:color w:val="auto"/>
        </w:rPr>
      </w:pPr>
    </w:p>
    <w:p>
      <w:pPr>
        <w:jc w:val="both"/>
        <w:ind w:left="7" w:right="120"/>
        <w:spacing w:after="0" w:line="260" w:lineRule="auto"/>
        <w:rPr>
          <w:sz w:val="20"/>
          <w:szCs w:val="20"/>
          <w:color w:val="auto"/>
        </w:rPr>
      </w:pPr>
      <w:r>
        <w:rPr>
          <w:rFonts w:ascii="Times New Roman" w:cs="Times New Roman" w:eastAsia="Times New Roman" w:hAnsi="Times New Roman"/>
          <w:sz w:val="20"/>
          <w:szCs w:val="20"/>
          <w:i w:val="1"/>
          <w:iCs w:val="1"/>
          <w:color w:val="231F20"/>
        </w:rPr>
        <w:t>Net Investment Hedge</w:t>
      </w:r>
      <w:r>
        <w:rPr>
          <w:rFonts w:ascii="Times New Roman" w:cs="Times New Roman" w:eastAsia="Times New Roman" w:hAnsi="Times New Roman"/>
          <w:sz w:val="20"/>
          <w:szCs w:val="20"/>
          <w:color w:val="231F20"/>
        </w:rPr>
        <w:t>—On June 1, 2025, the Company designated approximately 4.7 billion EUR (approximately $5.3 billion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at the designation date) of senior unsecured notes as a non-derivative net investment hedge on the Company’s net investments in its European subsidiaries (as discussed in note 1).</w:t>
      </w:r>
    </w:p>
    <w:p>
      <w:pPr>
        <w:spacing w:after="0" w:line="1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following table presents the contractual amounts of the Company's outstanding instruments:</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1780" w:type="dxa"/>
            <w:vAlign w:val="bottom"/>
            <w:tcBorders>
              <w:bottom w:val="single" w:sz="8" w:color="231F20"/>
            </w:tcBorders>
            <w:gridSpan w:val="3"/>
          </w:tcPr>
          <w:p>
            <w:pPr>
              <w:jc w:val="right"/>
              <w:ind w:right="482"/>
              <w:spacing w:after="0"/>
              <w:rPr>
                <w:sz w:val="20"/>
                <w:szCs w:val="20"/>
                <w:color w:val="auto"/>
              </w:rPr>
            </w:pPr>
            <w:r>
              <w:rPr>
                <w:rFonts w:ascii="Times New Roman" w:cs="Times New Roman" w:eastAsia="Times New Roman" w:hAnsi="Times New Roman"/>
                <w:sz w:val="16"/>
                <w:szCs w:val="16"/>
                <w:b w:val="1"/>
                <w:bCs w:val="1"/>
                <w:color w:val="231F20"/>
              </w:rPr>
              <w:t>As of</w:t>
            </w:r>
          </w:p>
        </w:tc>
        <w:tc>
          <w:tcPr>
            <w:tcW w:w="820" w:type="dxa"/>
            <w:vAlign w:val="bottom"/>
            <w:tcBorders>
              <w:bottom w:val="single" w:sz="8" w:color="231F20"/>
            </w:tcBorders>
          </w:tcPr>
          <w:p>
            <w:pPr>
              <w:spacing w:after="0"/>
              <w:rPr>
                <w:sz w:val="18"/>
                <w:szCs w:val="18"/>
                <w:color w:val="auto"/>
              </w:rPr>
            </w:pPr>
          </w:p>
        </w:tc>
      </w:tr>
      <w:tr>
        <w:trPr>
          <w:trHeight w:val="230"/>
        </w:trPr>
        <w:tc>
          <w:tcPr>
            <w:tcW w:w="5000" w:type="dxa"/>
            <w:vAlign w:val="bottom"/>
            <w:tcBorders>
              <w:bottom w:val="single" w:sz="8" w:color="E3E4E5"/>
            </w:tcBorders>
          </w:tcPr>
          <w:p>
            <w:pPr>
              <w:spacing w:after="0"/>
              <w:rPr>
                <w:sz w:val="19"/>
                <w:szCs w:val="19"/>
                <w:color w:val="auto"/>
              </w:rPr>
            </w:pPr>
          </w:p>
        </w:tc>
        <w:tc>
          <w:tcPr>
            <w:tcW w:w="18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Designation</w:t>
            </w:r>
          </w:p>
        </w:tc>
        <w:tc>
          <w:tcPr>
            <w:tcW w:w="60" w:type="dxa"/>
            <w:vAlign w:val="bottom"/>
            <w:tcBorders>
              <w:bottom w:val="single" w:sz="8" w:color="E3E4E5"/>
            </w:tcBorders>
          </w:tcPr>
          <w:p>
            <w:pPr>
              <w:spacing w:after="0"/>
              <w:rPr>
                <w:sz w:val="19"/>
                <w:szCs w:val="19"/>
                <w:color w:val="auto"/>
              </w:rPr>
            </w:pPr>
          </w:p>
        </w:tc>
        <w:tc>
          <w:tcPr>
            <w:tcW w:w="1520" w:type="dxa"/>
            <w:vAlign w:val="bottom"/>
            <w:tcBorders>
              <w:bottom w:val="single" w:sz="8" w:color="231F20"/>
            </w:tcBorders>
            <w:gridSpan w:val="2"/>
          </w:tcPr>
          <w:p>
            <w:pPr>
              <w:jc w:val="right"/>
              <w:ind w:right="52"/>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60" w:type="dxa"/>
            <w:vAlign w:val="bottom"/>
            <w:tcBorders>
              <w:bottom w:val="single" w:sz="8" w:color="E3E4E5"/>
            </w:tcBorders>
          </w:tcPr>
          <w:p>
            <w:pPr>
              <w:spacing w:after="0"/>
              <w:rPr>
                <w:sz w:val="19"/>
                <w:szCs w:val="19"/>
                <w:color w:val="auto"/>
              </w:rPr>
            </w:pPr>
          </w:p>
        </w:tc>
        <w:tc>
          <w:tcPr>
            <w:tcW w:w="1520" w:type="dxa"/>
            <w:vAlign w:val="bottom"/>
            <w:tcBorders>
              <w:bottom w:val="single" w:sz="8" w:color="231F20"/>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69"/>
        </w:trPr>
        <w:tc>
          <w:tcPr>
            <w:tcW w:w="50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Foreign currency-denominated debt (1)</w:t>
            </w:r>
          </w:p>
        </w:tc>
        <w:tc>
          <w:tcPr>
            <w:tcW w:w="1940" w:type="dxa"/>
            <w:vAlign w:val="bottom"/>
            <w:gridSpan w:val="2"/>
            <w:shd w:val="clear" w:color="auto" w:fill="E3E4E5"/>
          </w:tcPr>
          <w:p>
            <w:pPr>
              <w:jc w:val="center"/>
              <w:ind w:right="60"/>
              <w:spacing w:after="0"/>
              <w:rPr>
                <w:sz w:val="20"/>
                <w:szCs w:val="20"/>
                <w:color w:val="auto"/>
              </w:rPr>
            </w:pPr>
            <w:r>
              <w:rPr>
                <w:rFonts w:ascii="Times New Roman" w:cs="Times New Roman" w:eastAsia="Times New Roman" w:hAnsi="Times New Roman"/>
                <w:sz w:val="20"/>
                <w:szCs w:val="20"/>
                <w:color w:val="231F20"/>
                <w:w w:val="97"/>
              </w:rPr>
              <w:t>Net Investment Hedge</w:t>
            </w:r>
          </w:p>
        </w:tc>
        <w:tc>
          <w:tcPr>
            <w:tcW w:w="500" w:type="dxa"/>
            <w:vAlign w:val="bottom"/>
            <w:shd w:val="clear" w:color="auto" w:fill="E3E4E5"/>
          </w:tcPr>
          <w:p>
            <w:pPr>
              <w:jc w:val="right"/>
              <w:ind w:right="272"/>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5,461.6</w:t>
            </w:r>
          </w:p>
        </w:tc>
        <w:tc>
          <w:tcPr>
            <w:tcW w:w="760" w:type="dxa"/>
            <w:vAlign w:val="bottom"/>
            <w:gridSpan w:val="2"/>
            <w:shd w:val="clear" w:color="auto" w:fill="E3E4E5"/>
          </w:tcPr>
          <w:p>
            <w:pPr>
              <w:jc w:val="right"/>
              <w:ind w:right="482"/>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shd w:val="clear" w:color="auto" w:fill="E3E4E5"/>
          </w:tcPr>
          <w:p>
            <w:pPr>
              <w:ind w:left="560"/>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-189230</wp:posOffset>
            </wp:positionV>
            <wp:extent cx="322707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40">
                      <a:extLst>
                        <a:ext uri="{28A0092B-C50C-407E-A947-70E740481C1C}"/>
                      </a:extLst>
                    </a:blip>
                    <a:srcRect/>
                    <a:stretch>
                      <a:fillRect/>
                    </a:stretch>
                  </pic:blipFill>
                  <pic:spPr bwMode="auto">
                    <a:xfrm>
                      <a:off x="0" y="0"/>
                      <a:ext cx="3227070" cy="25400"/>
                    </a:xfrm>
                    <a:prstGeom prst="rect">
                      <a:avLst/>
                    </a:prstGeom>
                    <a:noFill/>
                  </pic:spPr>
                </pic:pic>
              </a:graphicData>
            </a:graphic>
          </wp:anchor>
        </w:drawing>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right="140" w:hanging="347"/>
        <w:spacing w:after="0" w:line="247" w:lineRule="auto"/>
        <w:tabs>
          <w:tab w:leader="none" w:pos="347" w:val="left"/>
        </w:tabs>
        <w:numPr>
          <w:ilvl w:val="0"/>
          <w:numId w:val="10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During the year ended December 31, 2025, the Company recorded $185.3 million of unrealized foreign currency losses related to the EUR denominated debt that was designated as a net investment hedge as a foreign currency translation adjustment in Accumulated other comprehensive loss. As of December 31, 2025, includes 4.7 billion EUR ($5.5 billion) of outstanding EUR denominated debt designated as hedges of a portion the Company’s net investment in foreign operations. This debt matures in fiscal years 2026 through 2034.</w:t>
      </w:r>
    </w:p>
    <w:p>
      <w:pPr>
        <w:spacing w:after="0" w:line="154"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11.</w:t>
      </w:r>
      <w:r>
        <w:rPr>
          <w:sz w:val="20"/>
          <w:szCs w:val="20"/>
          <w:color w:val="auto"/>
        </w:rPr>
        <w:tab/>
      </w:r>
      <w:r>
        <w:rPr>
          <w:rFonts w:ascii="Times New Roman" w:cs="Times New Roman" w:eastAsia="Times New Roman" w:hAnsi="Times New Roman"/>
          <w:sz w:val="19"/>
          <w:szCs w:val="19"/>
          <w:b w:val="1"/>
          <w:bCs w:val="1"/>
          <w:color w:val="231F20"/>
        </w:rPr>
        <w:t>INCOME TAXES</w:t>
      </w:r>
    </w:p>
    <w:p>
      <w:pPr>
        <w:spacing w:after="0" w:line="208" w:lineRule="exact"/>
        <w:rPr>
          <w:sz w:val="20"/>
          <w:szCs w:val="20"/>
          <w:color w:val="auto"/>
        </w:rPr>
      </w:pPr>
    </w:p>
    <w:p>
      <w:pPr>
        <w:ind w:left="7" w:right="20"/>
        <w:spacing w:after="0" w:line="252" w:lineRule="auto"/>
        <w:rPr>
          <w:sz w:val="20"/>
          <w:szCs w:val="20"/>
          <w:color w:val="auto"/>
        </w:rPr>
      </w:pPr>
      <w:r>
        <w:rPr>
          <w:rFonts w:ascii="Times New Roman" w:cs="Times New Roman" w:eastAsia="Times New Roman" w:hAnsi="Times New Roman"/>
          <w:sz w:val="20"/>
          <w:szCs w:val="20"/>
          <w:color w:val="231F20"/>
        </w:rPr>
        <w:t>Beginning in the taxable year ended December 31, 2012, the Company has filed, and intends to continue to file, U.S. federal income tax returns as a REIT, and its domestic TRSs filed, and intend to continue to file, separate tax returns as required. The Company also files tax returns in various states and countries. The Company’s state tax returns reflect different combinations of the Company’s subsidiaries and are dependent on the connection each subsidiary has with a particular state and form of organization. The following information refers to the Company’s income taxes on a consolidated basis.</w:t>
      </w:r>
    </w:p>
    <w:p>
      <w:pPr>
        <w:sectPr>
          <w:pgSz w:w="11880" w:h="15480" w:orient="portrait"/>
          <w:cols w:equalWidth="0" w:num="1">
            <w:col w:w="10047"/>
          </w:cols>
          <w:pgMar w:left="913" w:top="41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F-35</w:t>
      </w:r>
    </w:p>
    <w:p>
      <w:pPr>
        <w:sectPr>
          <w:pgSz w:w="11880" w:h="15480" w:orient="portrait"/>
          <w:cols w:equalWidth="0" w:num="1">
            <w:col w:w="10047"/>
          </w:cols>
          <w:pgMar w:left="913" w:top="418" w:right="920" w:bottom="0" w:gutter="0" w:footer="0" w:header="0"/>
          <w:type w:val="continuous"/>
        </w:sectPr>
      </w:pPr>
    </w:p>
    <w:bookmarkStart w:id="125" w:name="page126"/>
    <w:bookmarkEnd w:id="125"/>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income tax provision from continuing operations consisted of the following:</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3040" w:type="dxa"/>
            <w:vAlign w:val="bottom"/>
            <w:tcBorders>
              <w:bottom w:val="single" w:sz="8" w:color="231F20"/>
            </w:tcBorders>
            <w:gridSpan w:val="6"/>
          </w:tcPr>
          <w:p>
            <w:pPr>
              <w:jc w:val="right"/>
              <w:ind w:right="20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40" w:type="dxa"/>
            <w:vAlign w:val="bottom"/>
            <w:tcBorders>
              <w:bottom w:val="single" w:sz="8" w:color="231F20"/>
            </w:tcBorders>
          </w:tcPr>
          <w:p>
            <w:pPr>
              <w:spacing w:after="0"/>
              <w:rPr>
                <w:sz w:val="18"/>
                <w:szCs w:val="18"/>
                <w:color w:val="auto"/>
              </w:rPr>
            </w:pPr>
          </w:p>
        </w:tc>
      </w:tr>
      <w:tr>
        <w:trPr>
          <w:trHeight w:val="230"/>
        </w:trPr>
        <w:tc>
          <w:tcPr>
            <w:tcW w:w="5640" w:type="dxa"/>
            <w:vAlign w:val="bottom"/>
            <w:tcBorders>
              <w:bottom w:val="single" w:sz="8" w:color="E3E4E5"/>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E3E4E5"/>
            </w:tcBorders>
          </w:tcPr>
          <w:p>
            <w:pPr>
              <w:spacing w:after="0"/>
              <w:rPr>
                <w:sz w:val="19"/>
                <w:szCs w:val="19"/>
                <w:color w:val="auto"/>
              </w:rPr>
            </w:pPr>
          </w:p>
        </w:tc>
        <w:tc>
          <w:tcPr>
            <w:tcW w:w="34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Borders>
              <w:bottom w:val="single" w:sz="8" w:color="E3E4E5"/>
            </w:tcBorders>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64"/>
        </w:trPr>
        <w:tc>
          <w:tcPr>
            <w:tcW w:w="56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Current:</w:t>
            </w:r>
          </w:p>
        </w:tc>
        <w:tc>
          <w:tcPr>
            <w:tcW w:w="340" w:type="dxa"/>
            <w:vAlign w:val="bottom"/>
            <w:tcBorders>
              <w:bottom w:val="single" w:sz="8" w:color="E3E4E5"/>
            </w:tcBorders>
            <w:shd w:val="clear" w:color="auto" w:fill="E3E4E5"/>
          </w:tcPr>
          <w:p>
            <w:pPr>
              <w:spacing w:after="0"/>
              <w:rPr>
                <w:sz w:val="22"/>
                <w:szCs w:val="22"/>
                <w:color w:val="auto"/>
              </w:rPr>
            </w:pPr>
          </w:p>
        </w:tc>
        <w:tc>
          <w:tcPr>
            <w:tcW w:w="10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340" w:type="dxa"/>
            <w:vAlign w:val="bottom"/>
            <w:tcBorders>
              <w:bottom w:val="single" w:sz="8" w:color="E3E4E5"/>
            </w:tcBorders>
            <w:shd w:val="clear" w:color="auto" w:fill="E3E4E5"/>
          </w:tcPr>
          <w:p>
            <w:pPr>
              <w:spacing w:after="0"/>
              <w:rPr>
                <w:sz w:val="22"/>
                <w:szCs w:val="22"/>
                <w:color w:val="auto"/>
              </w:rPr>
            </w:pPr>
          </w:p>
        </w:tc>
        <w:tc>
          <w:tcPr>
            <w:tcW w:w="104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360" w:type="dxa"/>
            <w:vAlign w:val="bottom"/>
            <w:tcBorders>
              <w:bottom w:val="single" w:sz="8" w:color="E3E4E5"/>
            </w:tcBorders>
            <w:shd w:val="clear" w:color="auto" w:fill="E3E4E5"/>
          </w:tcPr>
          <w:p>
            <w:pPr>
              <w:spacing w:after="0"/>
              <w:rPr>
                <w:sz w:val="22"/>
                <w:szCs w:val="22"/>
                <w:color w:val="auto"/>
              </w:rPr>
            </w:pPr>
          </w:p>
        </w:tc>
        <w:tc>
          <w:tcPr>
            <w:tcW w:w="1040" w:type="dxa"/>
            <w:vAlign w:val="bottom"/>
            <w:tcBorders>
              <w:bottom w:val="single" w:sz="8" w:color="E3E4E5"/>
            </w:tcBorders>
            <w:shd w:val="clear" w:color="auto" w:fill="E3E4E5"/>
          </w:tcPr>
          <w:p>
            <w:pPr>
              <w:spacing w:after="0"/>
              <w:rPr>
                <w:sz w:val="22"/>
                <w:szCs w:val="22"/>
                <w:color w:val="auto"/>
              </w:rPr>
            </w:pPr>
          </w:p>
        </w:tc>
      </w:tr>
      <w:tr>
        <w:trPr>
          <w:trHeight w:val="288"/>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Federal (1)</w:t>
            </w:r>
            <w:r>
              <w:rPr>
                <w:rFonts w:ascii="Times New Roman" w:cs="Times New Roman" w:eastAsia="Times New Roman" w:hAnsi="Times New Roman"/>
                <w:sz w:val="20"/>
                <w:szCs w:val="20"/>
                <w:color w:val="BABCBE"/>
              </w:rPr>
              <w:t>........................................................................................</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w:t>
            </w:r>
          </w:p>
        </w:tc>
        <w:tc>
          <w:tcPr>
            <w:tcW w:w="46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48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300"/>
        </w:trPr>
        <w:tc>
          <w:tcPr>
            <w:tcW w:w="5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State </w:t>
            </w:r>
            <w:r>
              <w:rPr>
                <w:rFonts w:ascii="Times New Roman" w:cs="Times New Roman" w:eastAsia="Times New Roman" w:hAnsi="Times New Roman"/>
                <w:sz w:val="20"/>
                <w:szCs w:val="20"/>
                <w:color w:val="BABCBE"/>
              </w:rPr>
              <w:t>.................................................................................................</w:t>
            </w: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1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1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w:t>
            </w:r>
          </w:p>
        </w:tc>
      </w:tr>
      <w:tr>
        <w:trPr>
          <w:trHeight w:val="288"/>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Foreign </w:t>
            </w:r>
            <w:r>
              <w:rPr>
                <w:rFonts w:ascii="Times New Roman" w:cs="Times New Roman" w:eastAsia="Times New Roman" w:hAnsi="Times New Roman"/>
                <w:sz w:val="20"/>
                <w:szCs w:val="20"/>
                <w:color w:val="BABCBE"/>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(304.9)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(253.0)</w:t>
            </w:r>
          </w:p>
        </w:tc>
      </w:tr>
      <w:tr>
        <w:trPr>
          <w:trHeight w:val="280"/>
        </w:trPr>
        <w:tc>
          <w:tcPr>
            <w:tcW w:w="564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Deferred:</w:t>
            </w:r>
          </w:p>
        </w:tc>
        <w:tc>
          <w:tcPr>
            <w:tcW w:w="340" w:type="dxa"/>
            <w:vAlign w:val="bottom"/>
            <w:tcBorders>
              <w:bottom w:val="single" w:sz="8" w:color="E3E4E5"/>
            </w:tcBorders>
            <w:shd w:val="clear" w:color="auto" w:fill="E3E4E5"/>
          </w:tcPr>
          <w:p>
            <w:pPr>
              <w:spacing w:after="0"/>
              <w:rPr>
                <w:sz w:val="24"/>
                <w:szCs w:val="24"/>
                <w:color w:val="auto"/>
              </w:rPr>
            </w:pPr>
          </w:p>
        </w:tc>
        <w:tc>
          <w:tcPr>
            <w:tcW w:w="1060" w:type="dxa"/>
            <w:vAlign w:val="bottom"/>
            <w:tcBorders>
              <w:bottom w:val="single" w:sz="8" w:color="E3E4E5"/>
            </w:tcBorders>
            <w:shd w:val="clear" w:color="auto" w:fill="E3E4E5"/>
          </w:tcPr>
          <w:p>
            <w:pPr>
              <w:spacing w:after="0"/>
              <w:rPr>
                <w:sz w:val="24"/>
                <w:szCs w:val="24"/>
                <w:color w:val="auto"/>
              </w:rPr>
            </w:pPr>
          </w:p>
        </w:tc>
        <w:tc>
          <w:tcPr>
            <w:tcW w:w="1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spacing w:after="0"/>
              <w:rPr>
                <w:sz w:val="24"/>
                <w:szCs w:val="24"/>
                <w:color w:val="auto"/>
              </w:rPr>
            </w:pPr>
          </w:p>
        </w:tc>
        <w:tc>
          <w:tcPr>
            <w:tcW w:w="1040" w:type="dxa"/>
            <w:vAlign w:val="bottom"/>
            <w:tcBorders>
              <w:bottom w:val="single" w:sz="8" w:color="E3E4E5"/>
            </w:tcBorders>
            <w:shd w:val="clear" w:color="auto" w:fill="E3E4E5"/>
          </w:tcPr>
          <w:p>
            <w:pPr>
              <w:spacing w:after="0"/>
              <w:rPr>
                <w:sz w:val="24"/>
                <w:szCs w:val="24"/>
                <w:color w:val="auto"/>
              </w:rPr>
            </w:pPr>
          </w:p>
        </w:tc>
        <w:tc>
          <w:tcPr>
            <w:tcW w:w="12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E3E4E5"/>
            </w:tcBorders>
            <w:shd w:val="clear" w:color="auto" w:fill="E3E4E5"/>
          </w:tcPr>
          <w:p>
            <w:pPr>
              <w:spacing w:after="0"/>
              <w:rPr>
                <w:sz w:val="24"/>
                <w:szCs w:val="24"/>
                <w:color w:val="auto"/>
              </w:rPr>
            </w:pPr>
          </w:p>
        </w:tc>
        <w:tc>
          <w:tcPr>
            <w:tcW w:w="1040" w:type="dxa"/>
            <w:vAlign w:val="bottom"/>
            <w:tcBorders>
              <w:bottom w:val="single" w:sz="8" w:color="E3E4E5"/>
            </w:tcBorders>
            <w:shd w:val="clear" w:color="auto" w:fill="E3E4E5"/>
          </w:tcPr>
          <w:p>
            <w:pPr>
              <w:spacing w:after="0"/>
              <w:rPr>
                <w:sz w:val="24"/>
                <w:szCs w:val="24"/>
                <w:color w:val="auto"/>
              </w:rPr>
            </w:pPr>
          </w:p>
        </w:tc>
      </w:tr>
      <w:tr>
        <w:trPr>
          <w:trHeight w:val="288"/>
        </w:trPr>
        <w:tc>
          <w:tcPr>
            <w:tcW w:w="5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Federal (1)</w:t>
            </w:r>
            <w:r>
              <w:rPr>
                <w:rFonts w:ascii="Times New Roman" w:cs="Times New Roman" w:eastAsia="Times New Roman" w:hAnsi="Times New Roman"/>
                <w:sz w:val="20"/>
                <w:szCs w:val="20"/>
                <w:color w:val="BABCBE"/>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300"/>
        </w:trPr>
        <w:tc>
          <w:tcPr>
            <w:tcW w:w="5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State </w:t>
            </w:r>
            <w:r>
              <w:rPr>
                <w:rFonts w:ascii="Times New Roman" w:cs="Times New Roman" w:eastAsia="Times New Roman" w:hAnsi="Times New Roman"/>
                <w:sz w:val="20"/>
                <w:szCs w:val="20"/>
                <w:color w:val="BABCBE"/>
              </w:rPr>
              <w:t>.................................................................................................</w:t>
            </w: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12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0.8</w:t>
            </w:r>
          </w:p>
        </w:tc>
      </w:tr>
      <w:tr>
        <w:trPr>
          <w:trHeight w:val="284"/>
        </w:trPr>
        <w:tc>
          <w:tcPr>
            <w:tcW w:w="56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Foreign </w:t>
            </w:r>
            <w:r>
              <w:rPr>
                <w:rFonts w:ascii="Times New Roman" w:cs="Times New Roman" w:eastAsia="Times New Roman" w:hAnsi="Times New Roman"/>
                <w:sz w:val="20"/>
                <w:szCs w:val="20"/>
                <w:color w:val="BABCBE"/>
              </w:rPr>
              <w:t>.............................................................................................</w:t>
            </w: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w:t>
            </w:r>
          </w:p>
        </w:tc>
        <w:tc>
          <w:tcPr>
            <w:tcW w:w="12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120" w:type="dxa"/>
            <w:vAlign w:val="bottom"/>
            <w:tcBorders>
              <w:bottom w:val="single" w:sz="8" w:color="E3E4E5"/>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165.5</w:t>
            </w:r>
          </w:p>
        </w:tc>
      </w:tr>
      <w:tr>
        <w:trPr>
          <w:trHeight w:val="294"/>
        </w:trPr>
        <w:tc>
          <w:tcPr>
            <w:tcW w:w="5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Income tax provision</w:t>
            </w:r>
            <w:r>
              <w:rPr>
                <w:rFonts w:ascii="Times New Roman" w:cs="Times New Roman" w:eastAsia="Times New Roman" w:hAnsi="Times New Roman"/>
                <w:sz w:val="20"/>
                <w:szCs w:val="20"/>
                <w:color w:val="BABCBE"/>
                <w:w w:val="98"/>
              </w:rPr>
              <w:t>...............................................................................</w:t>
            </w:r>
          </w:p>
        </w:tc>
        <w:tc>
          <w:tcPr>
            <w:tcW w:w="340" w:type="dxa"/>
            <w:vAlign w:val="bottom"/>
            <w:tcBorders>
              <w:bottom w:val="single" w:sz="8" w:color="231F20"/>
            </w:tcBorders>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(415.7)</w:t>
            </w:r>
          </w:p>
        </w:tc>
        <w:tc>
          <w:tcPr>
            <w:tcW w:w="1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(366.3)</w:t>
            </w:r>
          </w:p>
        </w:tc>
        <w:tc>
          <w:tcPr>
            <w:tcW w:w="120" w:type="dxa"/>
            <w:vAlign w:val="bottom"/>
            <w:tcBorders>
              <w:bottom w:val="single" w:sz="8" w:color="E3E4E5"/>
            </w:tcBorders>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-1710690</wp:posOffset>
            </wp:positionV>
            <wp:extent cx="283527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41">
                      <a:extLst>
                        <a:ext uri="{28A0092B-C50C-407E-A947-70E740481C1C}"/>
                      </a:extLst>
                    </a:blip>
                    <a:srcRect/>
                    <a:stretch>
                      <a:fillRect/>
                    </a:stretch>
                  </pic:blipFill>
                  <pic:spPr bwMode="auto">
                    <a:xfrm>
                      <a:off x="0" y="0"/>
                      <a:ext cx="2835275" cy="254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-217170</wp:posOffset>
            </wp:positionV>
            <wp:extent cx="283527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42">
                      <a:extLst>
                        <a:ext uri="{28A0092B-C50C-407E-A947-70E740481C1C}"/>
                      </a:extLst>
                    </a:blip>
                    <a:srcRect/>
                    <a:stretch>
                      <a:fillRect/>
                    </a:stretch>
                  </pic:blipFill>
                  <pic:spPr bwMode="auto">
                    <a:xfrm>
                      <a:off x="0" y="0"/>
                      <a:ext cx="2835275" cy="254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-43180</wp:posOffset>
            </wp:positionV>
            <wp:extent cx="2835275" cy="501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43">
                      <a:extLst>
                        <a:ext uri="{28A0092B-C50C-407E-A947-70E740481C1C}"/>
                      </a:extLst>
                    </a:blip>
                    <a:srcRect/>
                    <a:stretch>
                      <a:fillRect/>
                    </a:stretch>
                  </pic:blipFill>
                  <pic:spPr bwMode="auto">
                    <a:xfrm>
                      <a:off x="0" y="0"/>
                      <a:ext cx="2835275"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0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impact of gains from equity securities in the U.S.</w:t>
      </w:r>
    </w:p>
    <w:p>
      <w:pPr>
        <w:spacing w:after="0" w:line="131" w:lineRule="exact"/>
        <w:rPr>
          <w:sz w:val="20"/>
          <w:szCs w:val="20"/>
          <w:color w:val="auto"/>
        </w:rPr>
      </w:pPr>
    </w:p>
    <w:p>
      <w:pPr>
        <w:ind w:left="7" w:right="220"/>
        <w:spacing w:after="0" w:line="254" w:lineRule="auto"/>
        <w:rPr>
          <w:sz w:val="20"/>
          <w:szCs w:val="20"/>
          <w:color w:val="auto"/>
        </w:rPr>
      </w:pPr>
      <w:r>
        <w:rPr>
          <w:rFonts w:ascii="Times New Roman" w:cs="Times New Roman" w:eastAsia="Times New Roman" w:hAnsi="Times New Roman"/>
          <w:sz w:val="20"/>
          <w:szCs w:val="20"/>
          <w:color w:val="231F20"/>
        </w:rPr>
        <w:t>The effective tax rate (“ETR”) on income from continuing operations for the years ended December 31, 2025, 2024 and 2023 differs from the federal statutory rate primarily due to the Company’s qualification for taxation as a REIT, as well as adjustments for state and foreign items. As a REIT, the Company may deduct earnings distributed to stockholders against the income generated by its REIT operations.</w:t>
      </w:r>
    </w:p>
    <w:p>
      <w:pPr>
        <w:spacing w:after="0" w:line="124" w:lineRule="exact"/>
        <w:rPr>
          <w:sz w:val="20"/>
          <w:szCs w:val="20"/>
          <w:color w:val="auto"/>
        </w:rPr>
      </w:pPr>
    </w:p>
    <w:p>
      <w:pPr>
        <w:ind w:left="7" w:right="120"/>
        <w:spacing w:after="0" w:line="259" w:lineRule="auto"/>
        <w:rPr>
          <w:sz w:val="20"/>
          <w:szCs w:val="20"/>
          <w:color w:val="auto"/>
        </w:rPr>
      </w:pPr>
      <w:r>
        <w:rPr>
          <w:rFonts w:ascii="Times New Roman" w:cs="Times New Roman" w:eastAsia="Times New Roman" w:hAnsi="Times New Roman"/>
          <w:sz w:val="20"/>
          <w:szCs w:val="20"/>
          <w:color w:val="231F20"/>
        </w:rPr>
        <w:t>On July 4, 2025, the One Big Beautiful Bill (“OBBB Act”), which includes a broad range of tax reform provisions, was signed into law in the United States. The OBBB Act did not have a material impact on the Company’s annual effective tax rate in 2025.</w:t>
      </w:r>
    </w:p>
    <w:p>
      <w:pPr>
        <w:spacing w:after="0" w:line="118" w:lineRule="exact"/>
        <w:rPr>
          <w:sz w:val="20"/>
          <w:szCs w:val="20"/>
          <w:color w:val="auto"/>
        </w:rPr>
      </w:pPr>
    </w:p>
    <w:p>
      <w:pPr>
        <w:ind w:left="7" w:right="40"/>
        <w:spacing w:after="0" w:line="268" w:lineRule="auto"/>
        <w:rPr>
          <w:sz w:val="20"/>
          <w:szCs w:val="20"/>
          <w:color w:val="auto"/>
        </w:rPr>
      </w:pPr>
      <w:r>
        <w:rPr>
          <w:rFonts w:ascii="Times New Roman" w:cs="Times New Roman" w:eastAsia="Times New Roman" w:hAnsi="Times New Roman"/>
          <w:sz w:val="19"/>
          <w:szCs w:val="19"/>
          <w:color w:val="231F20"/>
        </w:rPr>
        <w:t>For the year ended December 31, 2025, the increase in the income tax provision was primarily attributable to (i) increased earnings in certain foreign jurisdictions, (ii) taxes incurred as a result of the sale of South Africa Fiber, (iii) additions to reserves for uncertain tax positions, (iv) gains from equity securities in the U.S. and (v) the reversal of permanent reinvestment assertions in Nigeria, partially offset by a net benefit from the application of tax law changes primarily in Germany and a decrease in withholding taxes from equity distributions due in part to the ATC TIPL Transaction (as defined in note 21).</w:t>
      </w:r>
    </w:p>
    <w:p>
      <w:pPr>
        <w:spacing w:after="0" w:line="113" w:lineRule="exact"/>
        <w:rPr>
          <w:sz w:val="20"/>
          <w:szCs w:val="20"/>
          <w:color w:val="auto"/>
        </w:rPr>
      </w:pPr>
    </w:p>
    <w:p>
      <w:pPr>
        <w:ind w:left="7" w:right="2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2024, the increase in the income tax provision was primarily attributable to increased earnings in certain foreign jurisdictions, partially due to the impacts of the change in estimated useful lives on depreciation and amortization expense in the prior year and withholding taxes on equity distributions, including those related to the ATC TIPL Transaction (as defined in note 21), and management fees from certain foreign subsidiaries. The income tax provision for the year ended December 31, 2024, included the reversal of valuation allowances of $20.5 million in foreign and domestic jurisdictions as compared to the reversal of valuation allowances of $87.2 million for the year ended December 31, 2023. The income tax provision for the year ended December 31, 2023 also included a benefit from the application of a tax law change in Kenya.</w:t>
      </w:r>
    </w:p>
    <w:p>
      <w:pPr>
        <w:spacing w:after="0" w:line="1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Reconciliation between the U.S. statutory rate and the effective rate from continuing operations is as follows:</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4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2200" w:type="dxa"/>
            <w:vAlign w:val="bottom"/>
            <w:tcBorders>
              <w:bottom w:val="single" w:sz="8" w:color="231F20"/>
            </w:tcBorders>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231F20"/>
                <w:w w:val="98"/>
              </w:rPr>
              <w:t>Year Ended December 31,</w:t>
            </w:r>
          </w:p>
        </w:tc>
        <w:tc>
          <w:tcPr>
            <w:tcW w:w="8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4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74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72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6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129"/>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6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w:t>
            </w: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6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w:t>
            </w:r>
          </w:p>
        </w:tc>
        <w:tc>
          <w:tcPr>
            <w:tcW w:w="0" w:type="dxa"/>
            <w:vAlign w:val="bottom"/>
          </w:tcPr>
          <w:p>
            <w:pPr>
              <w:spacing w:after="0"/>
              <w:rPr>
                <w:sz w:val="1"/>
                <w:szCs w:val="1"/>
                <w:color w:val="auto"/>
              </w:rPr>
            </w:pPr>
          </w:p>
        </w:tc>
      </w:tr>
      <w:tr>
        <w:trPr>
          <w:trHeight w:val="27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Statutory tax rate </w:t>
            </w:r>
            <w:r>
              <w:rPr>
                <w:rFonts w:ascii="Times New Roman" w:cs="Times New Roman" w:eastAsia="Times New Roman" w:hAnsi="Times New Roman"/>
                <w:sz w:val="20"/>
                <w:szCs w:val="20"/>
                <w:color w:val="BABCBE"/>
                <w:w w:val="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21.0 %  $</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231F20"/>
              </w:rPr>
              <w:t>21.0 %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21.0 %</w:t>
            </w:r>
          </w:p>
        </w:tc>
        <w:tc>
          <w:tcPr>
            <w:tcW w:w="0" w:type="dxa"/>
            <w:vAlign w:val="bottom"/>
          </w:tcPr>
          <w:p>
            <w:pPr>
              <w:spacing w:after="0"/>
              <w:rPr>
                <w:sz w:val="1"/>
                <w:szCs w:val="1"/>
                <w:color w:val="auto"/>
              </w:rPr>
            </w:pPr>
          </w:p>
        </w:tc>
      </w:tr>
      <w:tr>
        <w:trPr>
          <w:trHeight w:val="215"/>
        </w:trPr>
        <w:tc>
          <w:tcPr>
            <w:tcW w:w="3640" w:type="dxa"/>
            <w:vAlign w:val="bottom"/>
            <w:shd w:val="clear" w:color="auto" w:fill="E3E4E5"/>
          </w:tcPr>
          <w:p>
            <w:pPr>
              <w:jc w:val="right"/>
              <w:ind w:right="282"/>
              <w:spacing w:after="0" w:line="215" w:lineRule="exact"/>
              <w:rPr>
                <w:sz w:val="20"/>
                <w:szCs w:val="20"/>
                <w:color w:val="auto"/>
              </w:rPr>
            </w:pPr>
            <w:r>
              <w:rPr>
                <w:rFonts w:ascii="Times New Roman" w:cs="Times New Roman" w:eastAsia="Times New Roman" w:hAnsi="Times New Roman"/>
                <w:sz w:val="20"/>
                <w:szCs w:val="20"/>
                <w:color w:val="231F20"/>
                <w:w w:val="98"/>
              </w:rPr>
              <w:t>State and local income tax, net of federal</w:t>
            </w:r>
          </w:p>
        </w:tc>
        <w:tc>
          <w:tcPr>
            <w:tcW w:w="200" w:type="dxa"/>
            <w:vAlign w:val="bottom"/>
            <w:shd w:val="clear" w:color="auto" w:fill="E3E4E5"/>
          </w:tcPr>
          <w:p>
            <w:pPr>
              <w:spacing w:after="0"/>
              <w:rPr>
                <w:sz w:val="18"/>
                <w:szCs w:val="18"/>
                <w:color w:val="auto"/>
              </w:rPr>
            </w:pPr>
          </w:p>
        </w:tc>
        <w:tc>
          <w:tcPr>
            <w:tcW w:w="8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60" w:type="dxa"/>
            <w:vAlign w:val="bottom"/>
            <w:shd w:val="clear" w:color="auto" w:fill="E3E4E5"/>
          </w:tcPr>
          <w:p>
            <w:pPr>
              <w:spacing w:after="0"/>
              <w:rPr>
                <w:sz w:val="18"/>
                <w:szCs w:val="18"/>
                <w:color w:val="auto"/>
              </w:rPr>
            </w:pPr>
          </w:p>
        </w:tc>
        <w:tc>
          <w:tcPr>
            <w:tcW w:w="260" w:type="dxa"/>
            <w:vAlign w:val="bottom"/>
            <w:shd w:val="clear" w:color="auto" w:fill="E3E4E5"/>
          </w:tcPr>
          <w:p>
            <w:pPr>
              <w:spacing w:after="0"/>
              <w:rPr>
                <w:sz w:val="18"/>
                <w:szCs w:val="18"/>
                <w:color w:val="auto"/>
              </w:rPr>
            </w:pPr>
          </w:p>
        </w:tc>
        <w:tc>
          <w:tcPr>
            <w:tcW w:w="7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0.3 %</w:t>
            </w:r>
          </w:p>
        </w:tc>
        <w:tc>
          <w:tcPr>
            <w:tcW w:w="80" w:type="dxa"/>
            <w:vAlign w:val="bottom"/>
            <w:shd w:val="clear" w:color="auto" w:fill="E3E4E5"/>
          </w:tcPr>
          <w:p>
            <w:pPr>
              <w:spacing w:after="0"/>
              <w:rPr>
                <w:sz w:val="18"/>
                <w:szCs w:val="18"/>
                <w:color w:val="auto"/>
              </w:rPr>
            </w:pPr>
          </w:p>
        </w:tc>
        <w:tc>
          <w:tcPr>
            <w:tcW w:w="16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60" w:type="dxa"/>
            <w:vAlign w:val="bottom"/>
            <w:shd w:val="clear" w:color="auto" w:fill="E3E4E5"/>
          </w:tcPr>
          <w:p>
            <w:pPr>
              <w:spacing w:after="0"/>
              <w:rPr>
                <w:sz w:val="18"/>
                <w:szCs w:val="18"/>
                <w:color w:val="auto"/>
              </w:rPr>
            </w:pPr>
          </w:p>
        </w:tc>
        <w:tc>
          <w:tcPr>
            <w:tcW w:w="260" w:type="dxa"/>
            <w:vAlign w:val="bottom"/>
            <w:shd w:val="clear" w:color="auto" w:fill="E3E4E5"/>
          </w:tcPr>
          <w:p>
            <w:pPr>
              <w:spacing w:after="0"/>
              <w:rPr>
                <w:sz w:val="18"/>
                <w:szCs w:val="18"/>
                <w:color w:val="auto"/>
              </w:rPr>
            </w:pPr>
          </w:p>
        </w:tc>
        <w:tc>
          <w:tcPr>
            <w:tcW w:w="7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0.2 %</w:t>
            </w:r>
          </w:p>
        </w:tc>
        <w:tc>
          <w:tcPr>
            <w:tcW w:w="80" w:type="dxa"/>
            <w:vAlign w:val="bottom"/>
            <w:shd w:val="clear" w:color="auto" w:fill="E3E4E5"/>
          </w:tcPr>
          <w:p>
            <w:pPr>
              <w:spacing w:after="0"/>
              <w:rPr>
                <w:sz w:val="18"/>
                <w:szCs w:val="18"/>
                <w:color w:val="auto"/>
              </w:rPr>
            </w:pPr>
          </w:p>
        </w:tc>
        <w:tc>
          <w:tcPr>
            <w:tcW w:w="200" w:type="dxa"/>
            <w:vAlign w:val="bottom"/>
            <w:shd w:val="clear" w:color="auto" w:fill="E3E4E5"/>
          </w:tcPr>
          <w:p>
            <w:pPr>
              <w:spacing w:after="0"/>
              <w:rPr>
                <w:sz w:val="18"/>
                <w:szCs w:val="18"/>
                <w:color w:val="auto"/>
              </w:rPr>
            </w:pPr>
          </w:p>
        </w:tc>
        <w:tc>
          <w:tcPr>
            <w:tcW w:w="8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7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0.3 %</w:t>
            </w:r>
          </w:p>
        </w:tc>
        <w:tc>
          <w:tcPr>
            <w:tcW w:w="0" w:type="dxa"/>
            <w:vAlign w:val="bottom"/>
          </w:tcPr>
          <w:p>
            <w:pPr>
              <w:spacing w:after="0"/>
              <w:rPr>
                <w:sz w:val="1"/>
                <w:szCs w:val="1"/>
                <w:color w:val="auto"/>
              </w:rPr>
            </w:pPr>
          </w:p>
        </w:tc>
      </w:tr>
      <w:tr>
        <w:trPr>
          <w:trHeight w:val="276"/>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income tax effect (1) </w:t>
            </w:r>
            <w:r>
              <w:rPr>
                <w:rFonts w:ascii="Times New Roman" w:cs="Times New Roman" w:eastAsia="Times New Roman" w:hAnsi="Times New Roman"/>
                <w:sz w:val="20"/>
                <w:szCs w:val="20"/>
                <w:color w:val="BABCBE"/>
                <w:w w:val="98"/>
              </w:rPr>
              <w:t>......................................</w:t>
            </w:r>
          </w:p>
        </w:tc>
        <w:tc>
          <w:tcPr>
            <w:tcW w:w="200" w:type="dxa"/>
            <w:vAlign w:val="bottom"/>
            <w:shd w:val="clear" w:color="auto" w:fill="E3E4E5"/>
          </w:tcPr>
          <w:p>
            <w:pPr>
              <w:spacing w:after="0"/>
              <w:rPr>
                <w:sz w:val="23"/>
                <w:szCs w:val="23"/>
                <w:color w:val="auto"/>
              </w:rPr>
            </w:pPr>
          </w:p>
        </w:tc>
        <w:tc>
          <w:tcPr>
            <w:tcW w:w="820" w:type="dxa"/>
            <w:vAlign w:val="bottom"/>
            <w:vMerge w:val="continue"/>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740" w:type="dxa"/>
            <w:vAlign w:val="bottom"/>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160" w:type="dxa"/>
            <w:vAlign w:val="bottom"/>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740" w:type="dxa"/>
            <w:vAlign w:val="bottom"/>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00" w:type="dxa"/>
            <w:vAlign w:val="bottom"/>
            <w:shd w:val="clear" w:color="auto" w:fill="E3E4E5"/>
          </w:tcPr>
          <w:p>
            <w:pPr>
              <w:spacing w:after="0"/>
              <w:rPr>
                <w:sz w:val="23"/>
                <w:szCs w:val="23"/>
                <w:color w:val="auto"/>
              </w:rPr>
            </w:pPr>
          </w:p>
        </w:tc>
        <w:tc>
          <w:tcPr>
            <w:tcW w:w="820" w:type="dxa"/>
            <w:vAlign w:val="bottom"/>
            <w:vMerge w:val="continue"/>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80" w:type="dxa"/>
            <w:vAlign w:val="bottom"/>
            <w:shd w:val="clear" w:color="auto" w:fill="E3E4E5"/>
          </w:tcPr>
          <w:p>
            <w:pPr>
              <w:spacing w:after="0"/>
              <w:rPr>
                <w:sz w:val="23"/>
                <w:szCs w:val="23"/>
                <w:color w:val="auto"/>
              </w:rPr>
            </w:pPr>
          </w:p>
        </w:tc>
        <w:tc>
          <w:tcPr>
            <w:tcW w:w="72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 xml:space="preserve">Foreign taxes </w:t>
            </w:r>
            <w:r>
              <w:rPr>
                <w:rFonts w:ascii="Times New Roman" w:cs="Times New Roman" w:eastAsia="Times New Roman" w:hAnsi="Times New Roman"/>
                <w:sz w:val="20"/>
                <w:szCs w:val="20"/>
                <w:color w:val="BABCBE"/>
                <w:w w:val="97"/>
              </w:rPr>
              <w:t>..................................................</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3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Argentina </w:t>
            </w:r>
            <w:r>
              <w:rPr>
                <w:rFonts w:ascii="Times New Roman" w:cs="Times New Roman" w:eastAsia="Times New Roman" w:hAnsi="Times New Roman"/>
                <w:sz w:val="20"/>
                <w:szCs w:val="20"/>
                <w:color w:val="BABCBE"/>
              </w:rPr>
              <w:t>.....................................................</w:t>
            </w:r>
          </w:p>
        </w:tc>
        <w:tc>
          <w:tcPr>
            <w:tcW w:w="200" w:type="dxa"/>
            <w:vAlign w:val="bottom"/>
            <w:tcBorders>
              <w:bottom w:val="single" w:sz="8" w:color="E3E4E5"/>
            </w:tcBorders>
            <w:shd w:val="clear" w:color="auto" w:fill="E3E4E5"/>
          </w:tcPr>
          <w:p>
            <w:pPr>
              <w:spacing w:after="0"/>
              <w:rPr>
                <w:sz w:val="23"/>
                <w:szCs w:val="23"/>
                <w:color w:val="auto"/>
              </w:rPr>
            </w:pPr>
          </w:p>
        </w:tc>
        <w:tc>
          <w:tcPr>
            <w:tcW w:w="82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260" w:type="dxa"/>
            <w:vAlign w:val="bottom"/>
            <w:tcBorders>
              <w:bottom w:val="single" w:sz="8" w:color="E3E4E5"/>
            </w:tcBorders>
            <w:shd w:val="clear" w:color="auto" w:fill="E3E4E5"/>
          </w:tcPr>
          <w:p>
            <w:pPr>
              <w:spacing w:after="0"/>
              <w:rPr>
                <w:sz w:val="23"/>
                <w:szCs w:val="23"/>
                <w:color w:val="auto"/>
              </w:rPr>
            </w:pPr>
          </w:p>
        </w:tc>
        <w:tc>
          <w:tcPr>
            <w:tcW w:w="740" w:type="dxa"/>
            <w:vAlign w:val="bottom"/>
            <w:tcBorders>
              <w:bottom w:val="single" w:sz="8" w:color="E3E4E5"/>
            </w:tcBorders>
            <w:shd w:val="clear" w:color="auto" w:fill="E3E4E5"/>
          </w:tcPr>
          <w:p>
            <w:pPr>
              <w:spacing w:after="0"/>
              <w:rPr>
                <w:sz w:val="23"/>
                <w:szCs w:val="23"/>
                <w:color w:val="auto"/>
              </w:rPr>
            </w:pPr>
          </w:p>
        </w:tc>
        <w:tc>
          <w:tcPr>
            <w:tcW w:w="80" w:type="dxa"/>
            <w:vAlign w:val="bottom"/>
            <w:tcBorders>
              <w:bottom w:val="single" w:sz="8" w:color="E3E4E5"/>
            </w:tcBorders>
            <w:shd w:val="clear" w:color="auto" w:fill="E3E4E5"/>
          </w:tcPr>
          <w:p>
            <w:pPr>
              <w:spacing w:after="0"/>
              <w:rPr>
                <w:sz w:val="23"/>
                <w:szCs w:val="23"/>
                <w:color w:val="auto"/>
              </w:rPr>
            </w:pPr>
          </w:p>
        </w:tc>
        <w:tc>
          <w:tcPr>
            <w:tcW w:w="160" w:type="dxa"/>
            <w:vAlign w:val="bottom"/>
            <w:tcBorders>
              <w:bottom w:val="single" w:sz="8" w:color="E3E4E5"/>
            </w:tcBorders>
            <w:shd w:val="clear" w:color="auto" w:fill="E3E4E5"/>
          </w:tcPr>
          <w:p>
            <w:pPr>
              <w:spacing w:after="0"/>
              <w:rPr>
                <w:sz w:val="23"/>
                <w:szCs w:val="23"/>
                <w:color w:val="auto"/>
              </w:rPr>
            </w:pPr>
          </w:p>
        </w:tc>
        <w:tc>
          <w:tcPr>
            <w:tcW w:w="86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260" w:type="dxa"/>
            <w:vAlign w:val="bottom"/>
            <w:tcBorders>
              <w:bottom w:val="single" w:sz="8" w:color="E3E4E5"/>
            </w:tcBorders>
            <w:shd w:val="clear" w:color="auto" w:fill="E3E4E5"/>
          </w:tcPr>
          <w:p>
            <w:pPr>
              <w:spacing w:after="0"/>
              <w:rPr>
                <w:sz w:val="23"/>
                <w:szCs w:val="23"/>
                <w:color w:val="auto"/>
              </w:rPr>
            </w:pPr>
          </w:p>
        </w:tc>
        <w:tc>
          <w:tcPr>
            <w:tcW w:w="740" w:type="dxa"/>
            <w:vAlign w:val="bottom"/>
            <w:tcBorders>
              <w:bottom w:val="single" w:sz="8" w:color="E3E4E5"/>
            </w:tcBorders>
            <w:shd w:val="clear" w:color="auto" w:fill="E3E4E5"/>
          </w:tcPr>
          <w:p>
            <w:pPr>
              <w:spacing w:after="0"/>
              <w:rPr>
                <w:sz w:val="23"/>
                <w:szCs w:val="23"/>
                <w:color w:val="auto"/>
              </w:rPr>
            </w:pPr>
          </w:p>
        </w:tc>
        <w:tc>
          <w:tcPr>
            <w:tcW w:w="80" w:type="dxa"/>
            <w:vAlign w:val="bottom"/>
            <w:tcBorders>
              <w:bottom w:val="single" w:sz="8" w:color="E3E4E5"/>
            </w:tcBorders>
            <w:shd w:val="clear" w:color="auto" w:fill="E3E4E5"/>
          </w:tcPr>
          <w:p>
            <w:pPr>
              <w:spacing w:after="0"/>
              <w:rPr>
                <w:sz w:val="23"/>
                <w:szCs w:val="23"/>
                <w:color w:val="auto"/>
              </w:rPr>
            </w:pPr>
          </w:p>
        </w:tc>
        <w:tc>
          <w:tcPr>
            <w:tcW w:w="200" w:type="dxa"/>
            <w:vAlign w:val="bottom"/>
            <w:tcBorders>
              <w:bottom w:val="single" w:sz="8" w:color="E3E4E5"/>
            </w:tcBorders>
            <w:shd w:val="clear" w:color="auto" w:fill="E3E4E5"/>
          </w:tcPr>
          <w:p>
            <w:pPr>
              <w:spacing w:after="0"/>
              <w:rPr>
                <w:sz w:val="23"/>
                <w:szCs w:val="23"/>
                <w:color w:val="auto"/>
              </w:rPr>
            </w:pPr>
          </w:p>
        </w:tc>
        <w:tc>
          <w:tcPr>
            <w:tcW w:w="820" w:type="dxa"/>
            <w:vAlign w:val="bottom"/>
            <w:tcBorders>
              <w:bottom w:val="single" w:sz="8" w:color="E3E4E5"/>
            </w:tcBorders>
            <w:shd w:val="clear" w:color="auto" w:fill="E3E4E5"/>
          </w:tcPr>
          <w:p>
            <w:pPr>
              <w:spacing w:after="0"/>
              <w:rPr>
                <w:sz w:val="23"/>
                <w:szCs w:val="23"/>
                <w:color w:val="auto"/>
              </w:rPr>
            </w:pPr>
          </w:p>
        </w:tc>
        <w:tc>
          <w:tcPr>
            <w:tcW w:w="60" w:type="dxa"/>
            <w:vAlign w:val="bottom"/>
            <w:tcBorders>
              <w:bottom w:val="single" w:sz="8" w:color="E3E4E5"/>
            </w:tcBorders>
            <w:shd w:val="clear" w:color="auto" w:fill="E3E4E5"/>
          </w:tcPr>
          <w:p>
            <w:pPr>
              <w:spacing w:after="0"/>
              <w:rPr>
                <w:sz w:val="23"/>
                <w:szCs w:val="23"/>
                <w:color w:val="auto"/>
              </w:rPr>
            </w:pPr>
          </w:p>
        </w:tc>
        <w:tc>
          <w:tcPr>
            <w:tcW w:w="280" w:type="dxa"/>
            <w:vAlign w:val="bottom"/>
            <w:tcBorders>
              <w:bottom w:val="single" w:sz="8" w:color="E3E4E5"/>
            </w:tcBorders>
            <w:shd w:val="clear" w:color="auto" w:fill="E3E4E5"/>
          </w:tcPr>
          <w:p>
            <w:pPr>
              <w:spacing w:after="0"/>
              <w:rPr>
                <w:sz w:val="23"/>
                <w:szCs w:val="23"/>
                <w:color w:val="auto"/>
              </w:rPr>
            </w:pPr>
          </w:p>
        </w:tc>
        <w:tc>
          <w:tcPr>
            <w:tcW w:w="720" w:type="dxa"/>
            <w:vAlign w:val="bottom"/>
            <w:tcBorders>
              <w:bottom w:val="single" w:sz="8" w:color="E3E4E5"/>
            </w:tcBorders>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Foreign exchange </w:t>
            </w:r>
            <w:r>
              <w:rPr>
                <w:rFonts w:ascii="Times New Roman" w:cs="Times New Roman" w:eastAsia="Times New Roman" w:hAnsi="Times New Roman"/>
                <w:sz w:val="20"/>
                <w:szCs w:val="20"/>
                <w:color w:val="BABCBE"/>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0" w:type="dxa"/>
            <w:vAlign w:val="bottom"/>
          </w:tcPr>
          <w:p>
            <w:pPr>
              <w:spacing w:after="0"/>
              <w:rPr>
                <w:sz w:val="1"/>
                <w:szCs w:val="1"/>
                <w:color w:val="auto"/>
              </w:rPr>
            </w:pPr>
          </w:p>
        </w:tc>
      </w:tr>
      <w:tr>
        <w:trPr>
          <w:trHeight w:val="269"/>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Brazil</w:t>
            </w:r>
            <w:r>
              <w:rPr>
                <w:rFonts w:ascii="Times New Roman" w:cs="Times New Roman" w:eastAsia="Times New Roman" w:hAnsi="Times New Roman"/>
                <w:sz w:val="20"/>
                <w:szCs w:val="20"/>
                <w:color w:val="BABCBE"/>
              </w:rPr>
              <w:t>............................................................</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Withholding taxes </w:t>
            </w:r>
            <w:r>
              <w:rPr>
                <w:rFonts w:ascii="Times New Roman" w:cs="Times New Roman" w:eastAsia="Times New Roman" w:hAnsi="Times New Roman"/>
                <w:sz w:val="20"/>
                <w:szCs w:val="20"/>
                <w:color w:val="BABCBE"/>
              </w:rPr>
              <w:t>...................................</w:t>
            </w: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36.9</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49.4</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8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32.9</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2.1 %</w:t>
            </w:r>
          </w:p>
        </w:tc>
        <w:tc>
          <w:tcPr>
            <w:tcW w:w="0" w:type="dxa"/>
            <w:vAlign w:val="bottom"/>
          </w:tcPr>
          <w:p>
            <w:pPr>
              <w:spacing w:after="0"/>
              <w:rPr>
                <w:sz w:val="1"/>
                <w:szCs w:val="1"/>
                <w:color w:val="auto"/>
              </w:rPr>
            </w:pPr>
          </w:p>
        </w:tc>
      </w:tr>
      <w:tr>
        <w:trPr>
          <w:trHeight w:val="282"/>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-1964690</wp:posOffset>
            </wp:positionV>
            <wp:extent cx="40951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44">
                      <a:extLst>
                        <a:ext uri="{28A0092B-C50C-407E-A947-70E740481C1C}"/>
                      </a:extLst>
                    </a:blip>
                    <a:srcRect/>
                    <a:stretch>
                      <a:fillRect/>
                    </a:stretch>
                  </pic:blipFill>
                  <pic:spPr bwMode="auto">
                    <a:xfrm>
                      <a:off x="0" y="0"/>
                      <a:ext cx="4095115" cy="2540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-1806575</wp:posOffset>
            </wp:positionV>
            <wp:extent cx="40951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45">
                      <a:extLst>
                        <a:ext uri="{28A0092B-C50C-407E-A947-70E740481C1C}"/>
                      </a:extLst>
                    </a:blip>
                    <a:srcRect/>
                    <a:stretch>
                      <a:fillRect/>
                    </a:stretch>
                  </pic:blipFill>
                  <pic:spPr bwMode="auto">
                    <a:xfrm>
                      <a:off x="0" y="0"/>
                      <a:ext cx="4095115" cy="25400"/>
                    </a:xfrm>
                    <a:prstGeom prst="rect">
                      <a:avLst/>
                    </a:prstGeom>
                    <a:noFill/>
                  </pic:spPr>
                </pic:pic>
              </a:graphicData>
            </a:graphic>
          </wp:anchor>
        </w:drawing>
      </w:r>
    </w:p>
    <w:p>
      <w:pPr>
        <w:sectPr>
          <w:pgSz w:w="11880" w:h="15480" w:orient="portrait"/>
          <w:cols w:equalWidth="0" w:num="1">
            <w:col w:w="10067"/>
          </w:cols>
          <w:pgMar w:left="913" w:top="41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231F20"/>
        </w:rPr>
        <w:t>F-36</w:t>
      </w:r>
    </w:p>
    <w:p>
      <w:pPr>
        <w:sectPr>
          <w:pgSz w:w="11880" w:h="15480" w:orient="portrait"/>
          <w:cols w:equalWidth="0" w:num="1">
            <w:col w:w="10067"/>
          </w:cols>
          <w:pgMar w:left="913" w:top="418" w:right="900" w:bottom="0" w:gutter="0" w:footer="0" w:header="0"/>
          <w:type w:val="continuous"/>
        </w:sectPr>
      </w:pPr>
    </w:p>
    <w:bookmarkStart w:id="126" w:name="page127"/>
    <w:bookmarkEnd w:id="126"/>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384925" cy="18669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186690"/>
                        </a:xfrm>
                        <a:prstGeom prst="rect">
                          <a:avLst/>
                        </a:prstGeom>
                        <a:solidFill>
                          <a:srgbClr val="E3E4E5"/>
                        </a:solidFill>
                      </wps:spPr>
                      <wps:bodyPr/>
                    </wps:wsp>
                  </a:graphicData>
                </a:graphic>
              </wp:anchor>
            </w:drawing>
          </mc:Choice>
          <mc:Fallback>
            <w:pict>
              <v:rect id="Shape 295" o:spid="_x0000_s1320" style="position:absolute;margin-left:0pt;margin-top:7.15pt;width:502.75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136" w:lineRule="exact"/>
        <w:rPr>
          <w:sz w:val="20"/>
          <w:szCs w:val="20"/>
          <w:color w:val="auto"/>
        </w:rPr>
      </w:pPr>
    </w:p>
    <w:p>
      <w:pPr>
        <w:ind w:left="167"/>
        <w:spacing w:after="0"/>
        <w:rPr>
          <w:sz w:val="20"/>
          <w:szCs w:val="20"/>
          <w:color w:val="auto"/>
        </w:rPr>
      </w:pPr>
      <w:r>
        <w:rPr>
          <w:rFonts w:ascii="Times New Roman" w:cs="Times New Roman" w:eastAsia="Times New Roman" w:hAnsi="Times New Roman"/>
          <w:sz w:val="20"/>
          <w:szCs w:val="20"/>
          <w:color w:val="231F20"/>
        </w:rPr>
        <w:t>Germany</w:t>
      </w:r>
      <w:r>
        <w:rPr>
          <w:rFonts w:ascii="Times New Roman" w:cs="Times New Roman" w:eastAsia="Times New Roman" w:hAnsi="Times New Roman"/>
          <w:sz w:val="20"/>
          <w:szCs w:val="20"/>
          <w:color w:val="BABCBE"/>
        </w:rPr>
        <w:t>.......................................................</w:t>
      </w:r>
    </w:p>
    <w:p>
      <w:pPr>
        <w:spacing w:after="0" w:line="64" w:lineRule="exact"/>
        <w:rPr>
          <w:sz w:val="20"/>
          <w:szCs w:val="20"/>
          <w:color w:val="auto"/>
        </w:rPr>
      </w:pPr>
    </w:p>
    <w:tbl>
      <w:tblPr>
        <w:tblLayout w:type="fixed"/>
        <w:tblInd w:w="7" w:type="dxa"/>
        <w:tblCellMar>
          <w:top w:w="0" w:type="dxa"/>
          <w:left w:w="0" w:type="dxa"/>
          <w:bottom w:w="0" w:type="dxa"/>
          <w:right w:w="0" w:type="dxa"/>
        </w:tblCellMar>
      </w:tblPr>
      <w:tr>
        <w:trPr>
          <w:trHeight w:val="276"/>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Change in tax law</w:t>
            </w:r>
            <w:r>
              <w:rPr>
                <w:rFonts w:ascii="Times New Roman" w:cs="Times New Roman" w:eastAsia="Times New Roman" w:hAnsi="Times New Roman"/>
                <w:sz w:val="20"/>
                <w:szCs w:val="20"/>
                <w:color w:val="BABCBE"/>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0.4 %</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0.3 %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0.0 %</w:t>
            </w:r>
          </w:p>
        </w:tc>
        <w:tc>
          <w:tcPr>
            <w:tcW w:w="0" w:type="dxa"/>
            <w:vAlign w:val="bottom"/>
          </w:tcPr>
          <w:p>
            <w:pPr>
              <w:spacing w:after="0"/>
              <w:rPr>
                <w:sz w:val="1"/>
                <w:szCs w:val="1"/>
                <w:color w:val="auto"/>
              </w:rPr>
            </w:pPr>
          </w:p>
        </w:tc>
      </w:tr>
      <w:tr>
        <w:trPr>
          <w:trHeight w:val="269"/>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Kenya </w:t>
            </w:r>
            <w:r>
              <w:rPr>
                <w:rFonts w:ascii="Times New Roman" w:cs="Times New Roman" w:eastAsia="Times New Roman" w:hAnsi="Times New Roman"/>
                <w:sz w:val="20"/>
                <w:szCs w:val="20"/>
                <w:color w:val="BABCBE"/>
              </w:rPr>
              <w:t>...........................................................</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Change in tax law</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360" w:type="dxa"/>
            <w:vAlign w:val="bottom"/>
            <w:gridSpan w:val="3"/>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360" w:type="dxa"/>
            <w:vAlign w:val="bottom"/>
            <w:gridSpan w:val="3"/>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(40.9)</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0.3 %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0.1 %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0" w:type="dxa"/>
            <w:vAlign w:val="bottom"/>
          </w:tcPr>
          <w:p>
            <w:pPr>
              <w:spacing w:after="0"/>
              <w:rPr>
                <w:sz w:val="1"/>
                <w:szCs w:val="1"/>
                <w:color w:val="auto"/>
              </w:rPr>
            </w:pPr>
          </w:p>
        </w:tc>
      </w:tr>
      <w:tr>
        <w:trPr>
          <w:trHeight w:val="280"/>
        </w:trPr>
        <w:tc>
          <w:tcPr>
            <w:tcW w:w="3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Mexico </w:t>
            </w:r>
            <w:r>
              <w:rPr>
                <w:rFonts w:ascii="Times New Roman" w:cs="Times New Roman" w:eastAsia="Times New Roman" w:hAnsi="Times New Roman"/>
                <w:sz w:val="20"/>
                <w:szCs w:val="20"/>
                <w:color w:val="BABCBE"/>
              </w:rPr>
              <w:t>.........................................................</w:t>
            </w: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Incremental loss on sale (2)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valuation allowance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360" w:type="dxa"/>
            <w:vAlign w:val="bottom"/>
            <w:gridSpan w:val="3"/>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360" w:type="dxa"/>
            <w:vAlign w:val="bottom"/>
            <w:gridSpan w:val="3"/>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168.9</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11.0 %</w:t>
            </w: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0.6 %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0.4 %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0.9 %</w:t>
            </w:r>
          </w:p>
        </w:tc>
        <w:tc>
          <w:tcPr>
            <w:tcW w:w="0" w:type="dxa"/>
            <w:vAlign w:val="bottom"/>
          </w:tcPr>
          <w:p>
            <w:pPr>
              <w:spacing w:after="0"/>
              <w:rPr>
                <w:sz w:val="1"/>
                <w:szCs w:val="1"/>
                <w:color w:val="auto"/>
              </w:rPr>
            </w:pPr>
          </w:p>
        </w:tc>
      </w:tr>
      <w:tr>
        <w:trPr>
          <w:trHeight w:val="280"/>
        </w:trPr>
        <w:tc>
          <w:tcPr>
            <w:tcW w:w="3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Netherlands </w:t>
            </w:r>
            <w:r>
              <w:rPr>
                <w:rFonts w:ascii="Times New Roman" w:cs="Times New Roman" w:eastAsia="Times New Roman" w:hAnsi="Times New Roman"/>
                <w:sz w:val="20"/>
                <w:szCs w:val="20"/>
                <w:color w:val="BABCBE"/>
              </w:rPr>
              <w:t>..................................................</w:t>
            </w: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Foreign tax credits</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valuation allowance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61.2</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31.5</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2.1 %</w:t>
            </w:r>
          </w:p>
        </w:tc>
        <w:tc>
          <w:tcPr>
            <w:tcW w:w="0" w:type="dxa"/>
            <w:vAlign w:val="bottom"/>
          </w:tcPr>
          <w:p>
            <w:pPr>
              <w:spacing w:after="0"/>
              <w:rPr>
                <w:sz w:val="1"/>
                <w:szCs w:val="1"/>
                <w:color w:val="auto"/>
              </w:rPr>
            </w:pPr>
          </w:p>
        </w:tc>
      </w:tr>
      <w:tr>
        <w:trPr>
          <w:trHeight w:val="209"/>
        </w:trPr>
        <w:tc>
          <w:tcPr>
            <w:tcW w:w="3640" w:type="dxa"/>
            <w:vAlign w:val="bottom"/>
          </w:tcPr>
          <w:p>
            <w:pPr>
              <w:ind w:left="400"/>
              <w:spacing w:after="0" w:line="209" w:lineRule="exact"/>
              <w:rPr>
                <w:sz w:val="20"/>
                <w:szCs w:val="20"/>
                <w:color w:val="auto"/>
              </w:rPr>
            </w:pPr>
            <w:r>
              <w:rPr>
                <w:rFonts w:ascii="Times New Roman" w:cs="Times New Roman" w:eastAsia="Times New Roman" w:hAnsi="Times New Roman"/>
                <w:sz w:val="20"/>
                <w:szCs w:val="20"/>
                <w:color w:val="231F20"/>
              </w:rPr>
              <w:t>Rate differential between local and</w:t>
            </w: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70"/>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statutory tax rates </w:t>
            </w:r>
            <w:r>
              <w:rPr>
                <w:rFonts w:ascii="Times New Roman" w:cs="Times New Roman" w:eastAsia="Times New Roman" w:hAnsi="Times New Roman"/>
                <w:sz w:val="20"/>
                <w:szCs w:val="20"/>
                <w:color w:val="BABCBE"/>
              </w:rPr>
              <w:t>....................................</w:t>
            </w:r>
          </w:p>
        </w:tc>
        <w:tc>
          <w:tcPr>
            <w:tcW w:w="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22.0</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0.7 %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0.9 %</w:t>
            </w:r>
          </w:p>
        </w:tc>
        <w:tc>
          <w:tcPr>
            <w:tcW w:w="0" w:type="dxa"/>
            <w:vAlign w:val="bottom"/>
          </w:tcPr>
          <w:p>
            <w:pPr>
              <w:spacing w:after="0"/>
              <w:rPr>
                <w:sz w:val="1"/>
                <w:szCs w:val="1"/>
                <w:color w:val="auto"/>
              </w:rPr>
            </w:pPr>
          </w:p>
        </w:tc>
      </w:tr>
      <w:tr>
        <w:trPr>
          <w:trHeight w:val="269"/>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Nigeria </w:t>
            </w:r>
            <w:r>
              <w:rPr>
                <w:rFonts w:ascii="Times New Roman" w:cs="Times New Roman" w:eastAsia="Times New Roman" w:hAnsi="Times New Roman"/>
                <w:sz w:val="20"/>
                <w:szCs w:val="20"/>
                <w:color w:val="BABCBE"/>
              </w:rPr>
              <w:t>.........................................................</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valuation allowance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360" w:type="dxa"/>
            <w:vAlign w:val="bottom"/>
            <w:gridSpan w:val="3"/>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360" w:type="dxa"/>
            <w:vAlign w:val="bottom"/>
            <w:gridSpan w:val="3"/>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(85.6)</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0.6 %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0" w:type="dxa"/>
            <w:vAlign w:val="bottom"/>
          </w:tcPr>
          <w:p>
            <w:pPr>
              <w:spacing w:after="0"/>
              <w:rPr>
                <w:sz w:val="1"/>
                <w:szCs w:val="1"/>
                <w:color w:val="auto"/>
              </w:rPr>
            </w:pPr>
          </w:p>
        </w:tc>
      </w:tr>
      <w:tr>
        <w:trPr>
          <w:trHeight w:val="280"/>
        </w:trPr>
        <w:tc>
          <w:tcPr>
            <w:tcW w:w="3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Singapore </w:t>
            </w:r>
            <w:r>
              <w:rPr>
                <w:rFonts w:ascii="Times New Roman" w:cs="Times New Roman" w:eastAsia="Times New Roman" w:hAnsi="Times New Roman"/>
                <w:sz w:val="20"/>
                <w:szCs w:val="20"/>
                <w:color w:val="BABCBE"/>
              </w:rPr>
              <w:t>.....................................................</w:t>
            </w: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Incremental loss on sale (2)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valuation allowance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146.3</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w:t>
            </w: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0.1 %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0.2 %</w:t>
            </w:r>
          </w:p>
        </w:tc>
        <w:tc>
          <w:tcPr>
            <w:tcW w:w="0" w:type="dxa"/>
            <w:vAlign w:val="bottom"/>
          </w:tcPr>
          <w:p>
            <w:pPr>
              <w:spacing w:after="0"/>
              <w:rPr>
                <w:sz w:val="1"/>
                <w:szCs w:val="1"/>
                <w:color w:val="auto"/>
              </w:rPr>
            </w:pPr>
          </w:p>
        </w:tc>
      </w:tr>
      <w:tr>
        <w:trPr>
          <w:trHeight w:val="280"/>
        </w:trPr>
        <w:tc>
          <w:tcPr>
            <w:tcW w:w="36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Spain </w:t>
            </w:r>
            <w:r>
              <w:rPr>
                <w:rFonts w:ascii="Times New Roman" w:cs="Times New Roman" w:eastAsia="Times New Roman" w:hAnsi="Times New Roman"/>
                <w:sz w:val="20"/>
                <w:szCs w:val="20"/>
                <w:color w:val="BABCBE"/>
              </w:rPr>
              <w:t>............................................................</w:t>
            </w: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E3E4E5"/>
            </w:tcBorders>
            <w:shd w:val="clear" w:color="auto" w:fill="E3E4E5"/>
          </w:tcPr>
          <w:p>
            <w:pPr>
              <w:spacing w:after="0"/>
              <w:rPr>
                <w:sz w:val="24"/>
                <w:szCs w:val="24"/>
                <w:color w:val="auto"/>
              </w:rPr>
            </w:pPr>
          </w:p>
        </w:tc>
        <w:tc>
          <w:tcPr>
            <w:tcW w:w="740" w:type="dxa"/>
            <w:vAlign w:val="bottom"/>
            <w:tcBorders>
              <w:bottom w:val="single" w:sz="8" w:color="E3E4E5"/>
            </w:tcBorders>
            <w:shd w:val="clear" w:color="auto" w:fill="E3E4E5"/>
          </w:tcPr>
          <w:p>
            <w:pPr>
              <w:spacing w:after="0"/>
              <w:rPr>
                <w:sz w:val="24"/>
                <w:szCs w:val="24"/>
                <w:color w:val="auto"/>
              </w:rPr>
            </w:pP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Disallowance of goodwill impairment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foreign jurisdictions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2.7 %</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Changes in valuation allowance</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(15.3)</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(0.4)%</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20.3</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0" w:type="dxa"/>
            <w:vAlign w:val="bottom"/>
          </w:tcPr>
          <w:p>
            <w:pPr>
              <w:spacing w:after="0"/>
              <w:rPr>
                <w:sz w:val="1"/>
                <w:szCs w:val="1"/>
                <w:color w:val="auto"/>
              </w:rPr>
            </w:pPr>
          </w:p>
        </w:tc>
      </w:tr>
      <w:tr>
        <w:trPr>
          <w:trHeight w:val="269"/>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Nontaxable or nondeductible </w:t>
            </w:r>
            <w:r>
              <w:rPr>
                <w:rFonts w:ascii="Times New Roman" w:cs="Times New Roman" w:eastAsia="Times New Roman" w:hAnsi="Times New Roman"/>
                <w:sz w:val="20"/>
                <w:szCs w:val="20"/>
                <w:color w:val="BABCBE"/>
                <w:w w:val="99"/>
              </w:rPr>
              <w:t>........................</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Adjustment to reflect REIT status (3)</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(401.0)</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(579.6)</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(292.9)</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(19.0)%</w:t>
            </w:r>
          </w:p>
        </w:tc>
        <w:tc>
          <w:tcPr>
            <w:tcW w:w="0" w:type="dxa"/>
            <w:vAlign w:val="bottom"/>
          </w:tcPr>
          <w:p>
            <w:pPr>
              <w:spacing w:after="0"/>
              <w:rPr>
                <w:sz w:val="1"/>
                <w:szCs w:val="1"/>
                <w:color w:val="auto"/>
              </w:rPr>
            </w:pPr>
          </w:p>
        </w:tc>
      </w:tr>
      <w:tr>
        <w:trPr>
          <w:trHeight w:val="288"/>
        </w:trPr>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tax status (4)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231F20"/>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0.3 %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300"/>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0.2 %</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09"/>
        </w:trPr>
        <w:tc>
          <w:tcPr>
            <w:tcW w:w="364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231F20"/>
              </w:rPr>
              <w:t>Changes in unrecognized tax</w:t>
            </w: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54.9</w:t>
            </w:r>
          </w:p>
        </w:tc>
        <w:tc>
          <w:tcPr>
            <w:tcW w:w="6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30.6</w:t>
            </w:r>
          </w:p>
        </w:tc>
        <w:tc>
          <w:tcPr>
            <w:tcW w:w="6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0.8 %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62.3</w:t>
            </w:r>
          </w:p>
        </w:tc>
        <w:tc>
          <w:tcPr>
            <w:tcW w:w="6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4.1 %</w:t>
            </w:r>
          </w:p>
        </w:tc>
        <w:tc>
          <w:tcPr>
            <w:tcW w:w="0" w:type="dxa"/>
            <w:vAlign w:val="bottom"/>
          </w:tcPr>
          <w:p>
            <w:pPr>
              <w:spacing w:after="0"/>
              <w:rPr>
                <w:sz w:val="1"/>
                <w:szCs w:val="1"/>
                <w:color w:val="auto"/>
              </w:rPr>
            </w:pPr>
          </w:p>
        </w:tc>
      </w:tr>
      <w:tr>
        <w:trPr>
          <w:trHeight w:val="266"/>
        </w:trPr>
        <w:tc>
          <w:tcPr>
            <w:tcW w:w="36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benefits (5) </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vMerge w:val="continue"/>
          </w:tcPr>
          <w:p>
            <w:pPr>
              <w:spacing w:after="0"/>
              <w:rPr>
                <w:sz w:val="23"/>
                <w:szCs w:val="23"/>
                <w:color w:val="auto"/>
              </w:rPr>
            </w:pPr>
          </w:p>
        </w:tc>
        <w:tc>
          <w:tcPr>
            <w:tcW w:w="60" w:type="dxa"/>
            <w:vAlign w:val="bottom"/>
            <w:tcBorders>
              <w:bottom w:val="single" w:sz="8" w:color="E3E4E5"/>
            </w:tcBorders>
            <w:vMerge w:val="continue"/>
          </w:tcPr>
          <w:p>
            <w:pPr>
              <w:spacing w:after="0"/>
              <w:rPr>
                <w:sz w:val="23"/>
                <w:szCs w:val="23"/>
                <w:color w:val="auto"/>
              </w:rPr>
            </w:pPr>
          </w:p>
        </w:tc>
        <w:tc>
          <w:tcPr>
            <w:tcW w:w="1000" w:type="dxa"/>
            <w:vAlign w:val="bottom"/>
            <w:tcBorders>
              <w:bottom w:val="single" w:sz="8" w:color="231F20"/>
            </w:tcBorders>
            <w:vMerge w:val="continue"/>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vMerge w:val="continue"/>
          </w:tcPr>
          <w:p>
            <w:pPr>
              <w:spacing w:after="0"/>
              <w:rPr>
                <w:sz w:val="23"/>
                <w:szCs w:val="23"/>
                <w:color w:val="auto"/>
              </w:rPr>
            </w:pPr>
          </w:p>
        </w:tc>
        <w:tc>
          <w:tcPr>
            <w:tcW w:w="60" w:type="dxa"/>
            <w:vAlign w:val="bottom"/>
            <w:tcBorders>
              <w:bottom w:val="single" w:sz="8" w:color="E3E4E5"/>
            </w:tcBorders>
            <w:vMerge w:val="continue"/>
          </w:tcPr>
          <w:p>
            <w:pPr>
              <w:spacing w:after="0"/>
              <w:rPr>
                <w:sz w:val="23"/>
                <w:szCs w:val="23"/>
                <w:color w:val="auto"/>
              </w:rPr>
            </w:pPr>
          </w:p>
        </w:tc>
        <w:tc>
          <w:tcPr>
            <w:tcW w:w="1000" w:type="dxa"/>
            <w:vAlign w:val="bottom"/>
            <w:tcBorders>
              <w:bottom w:val="single" w:sz="8" w:color="231F20"/>
            </w:tcBorders>
            <w:vMerge w:val="continue"/>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vMerge w:val="continue"/>
          </w:tcPr>
          <w:p>
            <w:pPr>
              <w:spacing w:after="0"/>
              <w:rPr>
                <w:sz w:val="23"/>
                <w:szCs w:val="23"/>
                <w:color w:val="auto"/>
              </w:rPr>
            </w:pPr>
          </w:p>
        </w:tc>
        <w:tc>
          <w:tcPr>
            <w:tcW w:w="60" w:type="dxa"/>
            <w:vAlign w:val="bottom"/>
            <w:tcBorders>
              <w:bottom w:val="single" w:sz="8" w:color="E3E4E5"/>
            </w:tcBorders>
            <w:vMerge w:val="continue"/>
          </w:tcPr>
          <w:p>
            <w:pPr>
              <w:spacing w:after="0"/>
              <w:rPr>
                <w:sz w:val="23"/>
                <w:szCs w:val="23"/>
                <w:color w:val="auto"/>
              </w:rPr>
            </w:pPr>
          </w:p>
        </w:tc>
        <w:tc>
          <w:tcPr>
            <w:tcW w:w="1000" w:type="dxa"/>
            <w:vAlign w:val="bottom"/>
            <w:tcBorders>
              <w:bottom w:val="single" w:sz="8" w:color="231F20"/>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Effective tax rate </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415.7</w:t>
            </w:r>
          </w:p>
        </w:tc>
        <w:tc>
          <w:tcPr>
            <w:tcW w:w="60" w:type="dxa"/>
            <w:vAlign w:val="bottom"/>
            <w:shd w:val="clear" w:color="auto" w:fill="E3E4E5"/>
          </w:tcPr>
          <w:p>
            <w:pPr>
              <w:spacing w:after="0"/>
              <w:rPr>
                <w:sz w:val="23"/>
                <w:szCs w:val="23"/>
                <w:color w:val="auto"/>
              </w:rPr>
            </w:pPr>
          </w:p>
        </w:tc>
        <w:tc>
          <w:tcPr>
            <w:tcW w:w="1360" w:type="dxa"/>
            <w:vAlign w:val="bottom"/>
            <w:gridSpan w:val="3"/>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13.7 %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366.3</w:t>
            </w:r>
          </w:p>
        </w:tc>
        <w:tc>
          <w:tcPr>
            <w:tcW w:w="1420" w:type="dxa"/>
            <w:vAlign w:val="bottom"/>
            <w:gridSpan w:val="4"/>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231F20"/>
              </w:rPr>
              <w:t>10.1 %  $</w:t>
            </w:r>
          </w:p>
        </w:tc>
        <w:tc>
          <w:tcPr>
            <w:tcW w:w="7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90.8</w:t>
            </w:r>
          </w:p>
        </w:tc>
        <w:tc>
          <w:tcPr>
            <w:tcW w:w="10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5.9 %</w:t>
            </w:r>
          </w:p>
        </w:tc>
        <w:tc>
          <w:tcPr>
            <w:tcW w:w="0" w:type="dxa"/>
            <w:vAlign w:val="bottom"/>
          </w:tcPr>
          <w:p>
            <w:pPr>
              <w:spacing w:after="0"/>
              <w:rPr>
                <w:sz w:val="1"/>
                <w:szCs w:val="1"/>
                <w:color w:val="auto"/>
              </w:rPr>
            </w:pPr>
          </w:p>
        </w:tc>
      </w:tr>
      <w:tr>
        <w:trPr>
          <w:trHeight w:val="25"/>
        </w:trPr>
        <w:tc>
          <w:tcPr>
            <w:tcW w:w="3640" w:type="dxa"/>
            <w:vAlign w:val="bottom"/>
            <w:tcBorders>
              <w:top w:val="single" w:sz="8" w:color="E3E4E5"/>
            </w:tcBorders>
          </w:tcPr>
          <w:p>
            <w:pPr>
              <w:spacing w:after="0"/>
              <w:rPr>
                <w:sz w:val="2"/>
                <w:szCs w:val="2"/>
                <w:color w:val="auto"/>
              </w:rPr>
            </w:pPr>
          </w:p>
        </w:tc>
        <w:tc>
          <w:tcPr>
            <w:tcW w:w="280" w:type="dxa"/>
            <w:vAlign w:val="bottom"/>
            <w:tcBorders>
              <w:top w:val="single" w:sz="8" w:color="231F20"/>
            </w:tcBorders>
            <w:shd w:val="clear" w:color="auto" w:fill="231F20"/>
          </w:tcPr>
          <w:p>
            <w:pPr>
              <w:spacing w:after="0"/>
              <w:rPr>
                <w:sz w:val="2"/>
                <w:szCs w:val="2"/>
                <w:color w:val="auto"/>
              </w:rPr>
            </w:pPr>
          </w:p>
        </w:tc>
        <w:tc>
          <w:tcPr>
            <w:tcW w:w="74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3E4E5"/>
            </w:tcBorders>
          </w:tcPr>
          <w:p>
            <w:pPr>
              <w:spacing w:after="0"/>
              <w:rPr>
                <w:sz w:val="2"/>
                <w:szCs w:val="2"/>
                <w:color w:val="auto"/>
              </w:rPr>
            </w:pPr>
          </w:p>
        </w:tc>
        <w:tc>
          <w:tcPr>
            <w:tcW w:w="10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3E4E5"/>
            </w:tcBorders>
          </w:tcPr>
          <w:p>
            <w:pPr>
              <w:spacing w:after="0"/>
              <w:rPr>
                <w:sz w:val="2"/>
                <w:szCs w:val="2"/>
                <w:color w:val="auto"/>
              </w:rPr>
            </w:pPr>
          </w:p>
        </w:tc>
        <w:tc>
          <w:tcPr>
            <w:tcW w:w="280" w:type="dxa"/>
            <w:vAlign w:val="bottom"/>
            <w:tcBorders>
              <w:top w:val="single" w:sz="8" w:color="231F20"/>
            </w:tcBorders>
            <w:shd w:val="clear" w:color="auto" w:fill="231F20"/>
          </w:tcPr>
          <w:p>
            <w:pPr>
              <w:spacing w:after="0"/>
              <w:rPr>
                <w:sz w:val="2"/>
                <w:szCs w:val="2"/>
                <w:color w:val="auto"/>
              </w:rPr>
            </w:pPr>
          </w:p>
        </w:tc>
        <w:tc>
          <w:tcPr>
            <w:tcW w:w="74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3E4E5"/>
            </w:tcBorders>
          </w:tcPr>
          <w:p>
            <w:pPr>
              <w:spacing w:after="0"/>
              <w:rPr>
                <w:sz w:val="2"/>
                <w:szCs w:val="2"/>
                <w:color w:val="auto"/>
              </w:rPr>
            </w:pPr>
          </w:p>
        </w:tc>
        <w:tc>
          <w:tcPr>
            <w:tcW w:w="1000" w:type="dxa"/>
            <w:vAlign w:val="bottom"/>
            <w:tcBorders>
              <w:top w:val="single" w:sz="8" w:color="231F20"/>
            </w:tcBorders>
            <w:shd w:val="clear" w:color="auto" w:fill="231F20"/>
          </w:tcPr>
          <w:p>
            <w:pPr>
              <w:spacing w:after="0"/>
              <w:rPr>
                <w:sz w:val="2"/>
                <w:szCs w:val="2"/>
                <w:color w:val="auto"/>
              </w:rPr>
            </w:pPr>
          </w:p>
        </w:tc>
        <w:tc>
          <w:tcPr>
            <w:tcW w:w="80" w:type="dxa"/>
            <w:vAlign w:val="bottom"/>
            <w:tcBorders>
              <w:top w:val="single" w:sz="8" w:color="E3E4E5"/>
            </w:tcBorders>
          </w:tcPr>
          <w:p>
            <w:pPr>
              <w:spacing w:after="0"/>
              <w:rPr>
                <w:sz w:val="2"/>
                <w:szCs w:val="2"/>
                <w:color w:val="auto"/>
              </w:rPr>
            </w:pPr>
          </w:p>
        </w:tc>
        <w:tc>
          <w:tcPr>
            <w:tcW w:w="280" w:type="dxa"/>
            <w:vAlign w:val="bottom"/>
            <w:tcBorders>
              <w:top w:val="single" w:sz="8" w:color="231F20"/>
            </w:tcBorders>
            <w:shd w:val="clear" w:color="auto" w:fill="231F20"/>
          </w:tcPr>
          <w:p>
            <w:pPr>
              <w:spacing w:after="0"/>
              <w:rPr>
                <w:sz w:val="2"/>
                <w:szCs w:val="2"/>
                <w:color w:val="auto"/>
              </w:rPr>
            </w:pPr>
          </w:p>
        </w:tc>
        <w:tc>
          <w:tcPr>
            <w:tcW w:w="740" w:type="dxa"/>
            <w:vAlign w:val="bottom"/>
            <w:tcBorders>
              <w:top w:val="single" w:sz="8" w:color="231F20"/>
            </w:tcBorders>
            <w:shd w:val="clear" w:color="auto" w:fill="231F20"/>
          </w:tcPr>
          <w:p>
            <w:pPr>
              <w:spacing w:after="0"/>
              <w:rPr>
                <w:sz w:val="2"/>
                <w:szCs w:val="2"/>
                <w:color w:val="auto"/>
              </w:rPr>
            </w:pPr>
          </w:p>
        </w:tc>
        <w:tc>
          <w:tcPr>
            <w:tcW w:w="60" w:type="dxa"/>
            <w:vAlign w:val="bottom"/>
            <w:tcBorders>
              <w:top w:val="single" w:sz="8" w:color="E3E4E5"/>
            </w:tcBorders>
          </w:tcPr>
          <w:p>
            <w:pPr>
              <w:spacing w:after="0"/>
              <w:rPr>
                <w:sz w:val="2"/>
                <w:szCs w:val="2"/>
                <w:color w:val="auto"/>
              </w:rPr>
            </w:pPr>
          </w:p>
        </w:tc>
        <w:tc>
          <w:tcPr>
            <w:tcW w:w="1000" w:type="dxa"/>
            <w:vAlign w:val="bottom"/>
            <w:tcBorders>
              <w:top w:val="single" w:sz="8" w:color="231F20"/>
            </w:tcBorders>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-217170</wp:posOffset>
            </wp:positionV>
            <wp:extent cx="40951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46">
                      <a:extLst>
                        <a:ext uri="{28A0092B-C50C-407E-A947-70E740481C1C}"/>
                      </a:extLst>
                    </a:blip>
                    <a:srcRect/>
                    <a:stretch>
                      <a:fillRect/>
                    </a:stretch>
                  </pic:blipFill>
                  <pic:spPr bwMode="auto">
                    <a:xfrm>
                      <a:off x="0" y="0"/>
                      <a:ext cx="4095115" cy="2540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-43180</wp:posOffset>
            </wp:positionV>
            <wp:extent cx="4095115" cy="501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47">
                      <a:extLst>
                        <a:ext uri="{28A0092B-C50C-407E-A947-70E740481C1C}"/>
                      </a:extLst>
                    </a:blip>
                    <a:srcRect/>
                    <a:stretch>
                      <a:fillRect/>
                    </a:stretch>
                  </pic:blipFill>
                  <pic:spPr bwMode="auto">
                    <a:xfrm>
                      <a:off x="0" y="0"/>
                      <a:ext cx="4095115"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right="20" w:hanging="347"/>
        <w:spacing w:after="0" w:line="245" w:lineRule="auto"/>
        <w:tabs>
          <w:tab w:leader="none" w:pos="347" w:val="left"/>
        </w:tabs>
        <w:numPr>
          <w:ilvl w:val="0"/>
          <w:numId w:val="1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State taxes in Texas, Mississippi, Louisiana, New Hampshire, Oklahoma and Rhode Island made up the majority (greater than 50 percent) of the tax effect in this category.</w:t>
      </w:r>
    </w:p>
    <w:p>
      <w:pPr>
        <w:ind w:left="347" w:hanging="347"/>
        <w:spacing w:after="0" w:line="245" w:lineRule="auto"/>
        <w:tabs>
          <w:tab w:leader="none" w:pos="347" w:val="left"/>
        </w:tabs>
        <w:numPr>
          <w:ilvl w:val="0"/>
          <w:numId w:val="1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2024, Singapore includes amounts related to the sale of ATC TIPL (as defined in note 21). For the year ended December 31, 2023, Mexico includes amounts related to the sale of Mexico Fiber (as defined in note 15).</w:t>
      </w:r>
    </w:p>
    <w:p>
      <w:pPr>
        <w:ind w:left="347" w:hanging="347"/>
        <w:spacing w:after="0"/>
        <w:tabs>
          <w:tab w:leader="none" w:pos="347" w:val="left"/>
        </w:tabs>
        <w:numPr>
          <w:ilvl w:val="0"/>
          <w:numId w:val="1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a result of the ability to utilize the dividends paid deduction to offset the Company’s REIT income and gains.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a result of a change in the election of previously designated TRSs to be included as part of the REIT.</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0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both foreign and domestic unrecognized tax benefits.</w:t>
      </w:r>
    </w:p>
    <w:p>
      <w:pPr>
        <w:sectPr>
          <w:pgSz w:w="11880" w:h="15480" w:orient="portrait"/>
          <w:cols w:equalWidth="0" w:num="1">
            <w:col w:w="10067"/>
          </w:cols>
          <w:pgMar w:left="913" w:top="41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231F20"/>
        </w:rPr>
        <w:t>F-37</w:t>
      </w:r>
    </w:p>
    <w:p>
      <w:pPr>
        <w:sectPr>
          <w:pgSz w:w="11880" w:h="15480" w:orient="portrait"/>
          <w:cols w:equalWidth="0" w:num="1">
            <w:col w:w="10067"/>
          </w:cols>
          <w:pgMar w:left="913" w:top="418" w:right="900" w:bottom="0" w:gutter="0" w:footer="0" w:header="0"/>
          <w:type w:val="continuous"/>
        </w:sectPr>
      </w:pPr>
    </w:p>
    <w:bookmarkStart w:id="127" w:name="page128"/>
    <w:bookmarkEnd w:id="127"/>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Cash paid for income taxes, net of refunds consisted of the following:</w:t>
      </w:r>
    </w:p>
    <w:p>
      <w:pPr>
        <w:spacing w:after="0" w:line="294"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2420" w:type="dxa"/>
            <w:vAlign w:val="bottom"/>
            <w:tcBorders>
              <w:bottom w:val="single" w:sz="8" w:color="231F20"/>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40" w:type="dxa"/>
            <w:vAlign w:val="bottom"/>
            <w:tcBorders>
              <w:bottom w:val="single" w:sz="8" w:color="231F20"/>
            </w:tcBorders>
          </w:tcPr>
          <w:p>
            <w:pPr>
              <w:spacing w:after="0"/>
              <w:rPr>
                <w:sz w:val="18"/>
                <w:szCs w:val="18"/>
                <w:color w:val="auto"/>
              </w:rPr>
            </w:pPr>
          </w:p>
        </w:tc>
      </w:tr>
      <w:tr>
        <w:trPr>
          <w:trHeight w:val="274"/>
        </w:trPr>
        <w:tc>
          <w:tcPr>
            <w:tcW w:w="5720" w:type="dxa"/>
            <w:vAlign w:val="bottom"/>
            <w:tcBorders>
              <w:bottom w:val="single" w:sz="8" w:color="E3E4E5"/>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20" w:type="dxa"/>
            <w:vAlign w:val="bottom"/>
            <w:tcBorders>
              <w:bottom w:val="single" w:sz="8" w:color="231F20"/>
            </w:tcBorders>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5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Federal (1) </w:t>
            </w:r>
            <w:r>
              <w:rPr>
                <w:rFonts w:ascii="Times New Roman" w:cs="Times New Roman" w:eastAsia="Times New Roman" w:hAnsi="Times New Roman"/>
                <w:sz w:val="20"/>
                <w:szCs w:val="20"/>
                <w:color w:val="BABCBE"/>
                <w:w w:val="98"/>
              </w:rPr>
              <w:t>................................................................................................</w:t>
            </w:r>
          </w:p>
        </w:tc>
        <w:tc>
          <w:tcPr>
            <w:tcW w:w="860" w:type="dxa"/>
            <w:vAlign w:val="bottom"/>
            <w:shd w:val="clear" w:color="auto" w:fill="E3E4E5"/>
          </w:tcPr>
          <w:p>
            <w:pPr>
              <w:jc w:val="right"/>
              <w:ind w:right="629"/>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29.2</w:t>
            </w:r>
          </w:p>
        </w:tc>
        <w:tc>
          <w:tcPr>
            <w:tcW w:w="42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420" w:type="dxa"/>
            <w:vAlign w:val="bottom"/>
            <w:gridSpan w:val="2"/>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w:t>
            </w:r>
          </w:p>
        </w:tc>
      </w:tr>
      <w:tr>
        <w:trPr>
          <w:trHeight w:val="288"/>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State </w:t>
            </w:r>
            <w:r>
              <w:rPr>
                <w:rFonts w:ascii="Times New Roman" w:cs="Times New Roman" w:eastAsia="Times New Roman" w:hAnsi="Times New Roman"/>
                <w:sz w:val="20"/>
                <w:szCs w:val="20"/>
                <w:color w:val="BABCBE"/>
                <w:w w:val="98"/>
              </w:rPr>
              <w:t>..........................................................................................................</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309"/>
        </w:trPr>
        <w:tc>
          <w:tcPr>
            <w:tcW w:w="57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Foreign</w:t>
            </w:r>
            <w:r>
              <w:rPr>
                <w:rFonts w:ascii="Times New Roman" w:cs="Times New Roman" w:eastAsia="Times New Roman" w:hAnsi="Times New Roman"/>
                <w:sz w:val="20"/>
                <w:szCs w:val="20"/>
                <w:color w:val="BABCBE"/>
                <w:w w:val="98"/>
              </w:rPr>
              <w:t>......................................................................................................</w:t>
            </w:r>
          </w:p>
        </w:tc>
        <w:tc>
          <w:tcPr>
            <w:tcW w:w="860" w:type="dxa"/>
            <w:vAlign w:val="bottom"/>
            <w:tcBorders>
              <w:bottom w:val="single" w:sz="8" w:color="231F20"/>
            </w:tcBorders>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3"/>
              </w:rPr>
              <w:t>290.6</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10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345.0</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297.5</w:t>
            </w:r>
          </w:p>
        </w:tc>
      </w:tr>
      <w:tr>
        <w:trPr>
          <w:trHeight w:val="235"/>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Cash paid for income taxes, net of refunds </w:t>
            </w:r>
            <w:r>
              <w:rPr>
                <w:rFonts w:ascii="Times New Roman" w:cs="Times New Roman" w:eastAsia="Times New Roman" w:hAnsi="Times New Roman"/>
                <w:sz w:val="20"/>
                <w:szCs w:val="20"/>
                <w:color w:val="BABCBE"/>
              </w:rPr>
              <w:t>.......................................</w:t>
            </w:r>
          </w:p>
        </w:tc>
        <w:tc>
          <w:tcPr>
            <w:tcW w:w="860" w:type="dxa"/>
            <w:vAlign w:val="bottom"/>
          </w:tcPr>
          <w:p>
            <w:pPr>
              <w:jc w:val="right"/>
              <w:ind w:right="629"/>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328.7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306.5</w:t>
            </w:r>
          </w:p>
        </w:tc>
      </w:tr>
      <w:tr>
        <w:trPr>
          <w:trHeight w:val="20"/>
        </w:trPr>
        <w:tc>
          <w:tcPr>
            <w:tcW w:w="572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-777240</wp:posOffset>
            </wp:positionV>
            <wp:extent cx="277876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48">
                      <a:extLst>
                        <a:ext uri="{28A0092B-C50C-407E-A947-70E740481C1C}"/>
                      </a:extLst>
                    </a:blip>
                    <a:srcRect/>
                    <a:stretch>
                      <a:fillRect/>
                    </a:stretch>
                  </pic:blipFill>
                  <pic:spPr bwMode="auto">
                    <a:xfrm>
                      <a:off x="0" y="0"/>
                      <a:ext cx="2778760" cy="2540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-217170</wp:posOffset>
            </wp:positionV>
            <wp:extent cx="277876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49">
                      <a:extLst>
                        <a:ext uri="{28A0092B-C50C-407E-A947-70E740481C1C}"/>
                      </a:extLst>
                    </a:blip>
                    <a:srcRect/>
                    <a:stretch>
                      <a:fillRect/>
                    </a:stretch>
                  </pic:blipFill>
                  <pic:spPr bwMode="auto">
                    <a:xfrm>
                      <a:off x="0" y="0"/>
                      <a:ext cx="2778760"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0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taxes paid related to the sale of equity securities in the U.S.</w:t>
      </w:r>
    </w:p>
    <w:p>
      <w:pPr>
        <w:spacing w:after="0" w:line="131" w:lineRule="exact"/>
        <w:rPr>
          <w:sz w:val="20"/>
          <w:szCs w:val="20"/>
          <w:color w:val="auto"/>
        </w:rPr>
      </w:pPr>
    </w:p>
    <w:p>
      <w:pPr>
        <w:ind w:left="7" w:right="620"/>
        <w:spacing w:after="0" w:line="273" w:lineRule="auto"/>
        <w:rPr>
          <w:sz w:val="20"/>
          <w:szCs w:val="20"/>
          <w:color w:val="auto"/>
        </w:rPr>
      </w:pPr>
      <w:r>
        <w:rPr>
          <w:rFonts w:ascii="Times New Roman" w:cs="Times New Roman" w:eastAsia="Times New Roman" w:hAnsi="Times New Roman"/>
          <w:sz w:val="20"/>
          <w:szCs w:val="20"/>
          <w:color w:val="231F20"/>
        </w:rPr>
        <w:t>Cash paid for income taxes, net of refunds exceeded 5 percent of total income taxes paid, net of refunds in the following jurisdictions:</w:t>
      </w:r>
    </w:p>
    <w:p>
      <w:pPr>
        <w:spacing w:after="0" w:line="79"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c>
          <w:tcPr>
            <w:tcW w:w="2420" w:type="dxa"/>
            <w:vAlign w:val="bottom"/>
            <w:tcBorders>
              <w:bottom w:val="single" w:sz="8" w:color="231F20"/>
            </w:tcBorders>
            <w:gridSpan w:val="6"/>
          </w:tcPr>
          <w:p>
            <w:pPr>
              <w:jc w:val="center"/>
              <w:ind w:left="84"/>
              <w:spacing w:after="0"/>
              <w:rPr>
                <w:sz w:val="20"/>
                <w:szCs w:val="20"/>
                <w:color w:val="auto"/>
              </w:rPr>
            </w:pPr>
            <w:r>
              <w:rPr>
                <w:rFonts w:ascii="Times New Roman" w:cs="Times New Roman" w:eastAsia="Times New Roman" w:hAnsi="Times New Roman"/>
                <w:sz w:val="16"/>
                <w:szCs w:val="16"/>
                <w:b w:val="1"/>
                <w:bCs w:val="1"/>
                <w:color w:val="231F20"/>
                <w:w w:val="98"/>
              </w:rPr>
              <w:t>Year Ended December 31,</w:t>
            </w:r>
          </w:p>
        </w:tc>
        <w:tc>
          <w:tcPr>
            <w:tcW w:w="1040" w:type="dxa"/>
            <w:vAlign w:val="bottom"/>
            <w:tcBorders>
              <w:bottom w:val="single" w:sz="8" w:color="231F20"/>
            </w:tcBorders>
          </w:tcPr>
          <w:p>
            <w:pPr>
              <w:spacing w:after="0"/>
              <w:rPr>
                <w:sz w:val="18"/>
                <w:szCs w:val="18"/>
                <w:color w:val="auto"/>
              </w:rPr>
            </w:pPr>
          </w:p>
        </w:tc>
      </w:tr>
      <w:tr>
        <w:trPr>
          <w:trHeight w:val="274"/>
        </w:trPr>
        <w:tc>
          <w:tcPr>
            <w:tcW w:w="5720" w:type="dxa"/>
            <w:vAlign w:val="bottom"/>
            <w:tcBorders>
              <w:bottom w:val="single" w:sz="8" w:color="E3E4E5"/>
            </w:tcBorders>
          </w:tcPr>
          <w:p>
            <w:pPr>
              <w:spacing w:after="0"/>
              <w:rPr>
                <w:sz w:val="23"/>
                <w:szCs w:val="23"/>
                <w:color w:val="auto"/>
              </w:rPr>
            </w:pPr>
          </w:p>
        </w:tc>
        <w:tc>
          <w:tcPr>
            <w:tcW w:w="860" w:type="dxa"/>
            <w:vAlign w:val="bottom"/>
            <w:tcBorders>
              <w:bottom w:val="single" w:sz="8" w:color="231F20"/>
            </w:tcBorders>
          </w:tcPr>
          <w:p>
            <w:pPr>
              <w:jc w:val="center"/>
              <w:ind w:left="426"/>
              <w:spacing w:after="0"/>
              <w:rPr>
                <w:sz w:val="20"/>
                <w:szCs w:val="20"/>
                <w:color w:val="auto"/>
              </w:rPr>
            </w:pPr>
            <w:r>
              <w:rPr>
                <w:rFonts w:ascii="Times New Roman" w:cs="Times New Roman" w:eastAsia="Times New Roman" w:hAnsi="Times New Roman"/>
                <w:sz w:val="16"/>
                <w:szCs w:val="16"/>
                <w:b w:val="1"/>
                <w:bCs w:val="1"/>
                <w:color w:val="231F20"/>
                <w:w w:val="93"/>
              </w:rPr>
              <w:t>2025</w:t>
            </w:r>
          </w:p>
        </w:tc>
        <w:tc>
          <w:tcPr>
            <w:tcW w:w="520" w:type="dxa"/>
            <w:vAlign w:val="bottom"/>
            <w:tcBorders>
              <w:bottom w:val="single" w:sz="8" w:color="231F20"/>
            </w:tcBorders>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center"/>
              <w:ind w:right="244"/>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64"/>
        </w:trPr>
        <w:tc>
          <w:tcPr>
            <w:tcW w:w="57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Foreign</w:t>
            </w:r>
            <w:r>
              <w:rPr>
                <w:rFonts w:ascii="Times New Roman" w:cs="Times New Roman" w:eastAsia="Times New Roman" w:hAnsi="Times New Roman"/>
                <w:sz w:val="20"/>
                <w:szCs w:val="20"/>
                <w:color w:val="BABCBE"/>
                <w:w w:val="98"/>
              </w:rPr>
              <w:t>......................................................................................................</w:t>
            </w:r>
          </w:p>
        </w:tc>
        <w:tc>
          <w:tcPr>
            <w:tcW w:w="860" w:type="dxa"/>
            <w:vAlign w:val="bottom"/>
            <w:tcBorders>
              <w:bottom w:val="single" w:sz="8" w:color="E3E4E5"/>
            </w:tcBorders>
            <w:shd w:val="clear" w:color="auto" w:fill="E3E4E5"/>
          </w:tcPr>
          <w:p>
            <w:pPr>
              <w:spacing w:after="0"/>
              <w:rPr>
                <w:sz w:val="22"/>
                <w:szCs w:val="22"/>
                <w:color w:val="auto"/>
              </w:rPr>
            </w:pPr>
          </w:p>
        </w:tc>
        <w:tc>
          <w:tcPr>
            <w:tcW w:w="520" w:type="dxa"/>
            <w:vAlign w:val="bottom"/>
            <w:tcBorders>
              <w:bottom w:val="single" w:sz="8" w:color="E3E4E5"/>
            </w:tcBorders>
            <w:shd w:val="clear" w:color="auto" w:fill="E3E4E5"/>
          </w:tcPr>
          <w:p>
            <w:pPr>
              <w:spacing w:after="0"/>
              <w:rPr>
                <w:sz w:val="22"/>
                <w:szCs w:val="22"/>
                <w:color w:val="auto"/>
              </w:rPr>
            </w:pPr>
          </w:p>
        </w:tc>
        <w:tc>
          <w:tcPr>
            <w:tcW w:w="80" w:type="dxa"/>
            <w:vAlign w:val="bottom"/>
            <w:tcBorders>
              <w:bottom w:val="single" w:sz="8" w:color="E3E4E5"/>
            </w:tcBorders>
            <w:shd w:val="clear" w:color="auto" w:fill="E3E4E5"/>
          </w:tcPr>
          <w:p>
            <w:pPr>
              <w:spacing w:after="0"/>
              <w:rPr>
                <w:sz w:val="22"/>
                <w:szCs w:val="22"/>
                <w:color w:val="auto"/>
              </w:rPr>
            </w:pPr>
          </w:p>
        </w:tc>
        <w:tc>
          <w:tcPr>
            <w:tcW w:w="340" w:type="dxa"/>
            <w:vAlign w:val="bottom"/>
            <w:tcBorders>
              <w:bottom w:val="single" w:sz="8" w:color="E3E4E5"/>
            </w:tcBorders>
            <w:shd w:val="clear" w:color="auto" w:fill="E3E4E5"/>
          </w:tcPr>
          <w:p>
            <w:pPr>
              <w:spacing w:after="0"/>
              <w:rPr>
                <w:sz w:val="22"/>
                <w:szCs w:val="22"/>
                <w:color w:val="auto"/>
              </w:rPr>
            </w:pPr>
          </w:p>
        </w:tc>
        <w:tc>
          <w:tcPr>
            <w:tcW w:w="1060" w:type="dxa"/>
            <w:vAlign w:val="bottom"/>
            <w:tcBorders>
              <w:bottom w:val="single" w:sz="8" w:color="E3E4E5"/>
            </w:tcBorders>
            <w:shd w:val="clear" w:color="auto" w:fill="E3E4E5"/>
          </w:tcPr>
          <w:p>
            <w:pPr>
              <w:spacing w:after="0"/>
              <w:rPr>
                <w:sz w:val="22"/>
                <w:szCs w:val="22"/>
                <w:color w:val="auto"/>
              </w:rPr>
            </w:pPr>
          </w:p>
        </w:tc>
        <w:tc>
          <w:tcPr>
            <w:tcW w:w="80" w:type="dxa"/>
            <w:vAlign w:val="bottom"/>
            <w:tcBorders>
              <w:bottom w:val="single" w:sz="8" w:color="E3E4E5"/>
            </w:tcBorders>
            <w:shd w:val="clear" w:color="auto" w:fill="E3E4E5"/>
          </w:tcPr>
          <w:p>
            <w:pPr>
              <w:spacing w:after="0"/>
              <w:rPr>
                <w:sz w:val="22"/>
                <w:szCs w:val="22"/>
                <w:color w:val="auto"/>
              </w:rPr>
            </w:pPr>
          </w:p>
        </w:tc>
        <w:tc>
          <w:tcPr>
            <w:tcW w:w="340" w:type="dxa"/>
            <w:vAlign w:val="bottom"/>
            <w:tcBorders>
              <w:bottom w:val="single" w:sz="8" w:color="E3E4E5"/>
            </w:tcBorders>
            <w:shd w:val="clear" w:color="auto" w:fill="E3E4E5"/>
          </w:tcPr>
          <w:p>
            <w:pPr>
              <w:spacing w:after="0"/>
              <w:rPr>
                <w:sz w:val="22"/>
                <w:szCs w:val="22"/>
                <w:color w:val="auto"/>
              </w:rPr>
            </w:pPr>
          </w:p>
        </w:tc>
        <w:tc>
          <w:tcPr>
            <w:tcW w:w="1040" w:type="dxa"/>
            <w:vAlign w:val="bottom"/>
            <w:tcBorders>
              <w:bottom w:val="single" w:sz="8" w:color="E3E4E5"/>
            </w:tcBorders>
            <w:shd w:val="clear" w:color="auto" w:fill="E3E4E5"/>
          </w:tcPr>
          <w:p>
            <w:pPr>
              <w:spacing w:after="0"/>
              <w:rPr>
                <w:sz w:val="22"/>
                <w:szCs w:val="22"/>
                <w:color w:val="auto"/>
              </w:rPr>
            </w:pPr>
          </w:p>
        </w:tc>
      </w:tr>
      <w:tr>
        <w:trPr>
          <w:trHeight w:val="288"/>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Brazil</w:t>
            </w:r>
            <w:r>
              <w:rPr>
                <w:rFonts w:ascii="Times New Roman" w:cs="Times New Roman" w:eastAsia="Times New Roman" w:hAnsi="Times New Roman"/>
                <w:sz w:val="20"/>
                <w:szCs w:val="20"/>
                <w:color w:val="BABCBE"/>
              </w:rPr>
              <w:t>....................................................................................................</w:t>
            </w:r>
          </w:p>
        </w:tc>
        <w:tc>
          <w:tcPr>
            <w:tcW w:w="860" w:type="dxa"/>
            <w:vAlign w:val="bottom"/>
          </w:tcPr>
          <w:p>
            <w:pPr>
              <w:jc w:val="right"/>
              <w:ind w:right="626"/>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82.5</w:t>
            </w:r>
          </w:p>
        </w:tc>
      </w:tr>
      <w:tr>
        <w:trPr>
          <w:trHeight w:val="300"/>
        </w:trPr>
        <w:tc>
          <w:tcPr>
            <w:tcW w:w="5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Burkina Faso (1) </w:t>
            </w:r>
            <w:r>
              <w:rPr>
                <w:rFonts w:ascii="Times New Roman" w:cs="Times New Roman" w:eastAsia="Times New Roman" w:hAnsi="Times New Roman"/>
                <w:sz w:val="20"/>
                <w:szCs w:val="20"/>
                <w:color w:val="BABCBE"/>
              </w:rPr>
              <w:t>..................................................................................</w:t>
            </w:r>
          </w:p>
        </w:tc>
        <w:tc>
          <w:tcPr>
            <w:tcW w:w="860" w:type="dxa"/>
            <w:vAlign w:val="bottom"/>
            <w:shd w:val="clear" w:color="auto" w:fill="E3E4E5"/>
          </w:tcPr>
          <w:p>
            <w:pPr>
              <w:spacing w:after="0"/>
              <w:rPr>
                <w:sz w:val="24"/>
                <w:szCs w:val="24"/>
                <w:color w:val="auto"/>
              </w:rPr>
            </w:pPr>
          </w:p>
        </w:tc>
        <w:tc>
          <w:tcPr>
            <w:tcW w:w="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center"/>
              <w:ind w:right="224"/>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40" w:type="dxa"/>
            <w:vAlign w:val="bottom"/>
            <w:shd w:val="clear" w:color="auto" w:fill="E3E4E5"/>
          </w:tcPr>
          <w:p>
            <w:pPr>
              <w:jc w:val="right"/>
              <w:ind w:right="524"/>
              <w:spacing w:after="0"/>
              <w:rPr>
                <w:sz w:val="20"/>
                <w:szCs w:val="20"/>
                <w:color w:val="auto"/>
              </w:rPr>
            </w:pPr>
            <w:r>
              <w:rPr>
                <w:rFonts w:ascii="Times New Roman" w:cs="Times New Roman" w:eastAsia="Times New Roman" w:hAnsi="Times New Roman"/>
                <w:sz w:val="20"/>
                <w:szCs w:val="20"/>
                <w:color w:val="231F20"/>
              </w:rPr>
              <w:t>*</w:t>
            </w:r>
          </w:p>
        </w:tc>
      </w:tr>
      <w:tr>
        <w:trPr>
          <w:trHeight w:val="288"/>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Ghana</w:t>
            </w:r>
            <w:r>
              <w:rPr>
                <w:rFonts w:ascii="Times New Roman" w:cs="Times New Roman" w:eastAsia="Times New Roman" w:hAnsi="Times New Roman"/>
                <w:sz w:val="20"/>
                <w:szCs w:val="20"/>
                <w:color w:val="BABCBE"/>
              </w:rPr>
              <w:t>...................................................................................................</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center"/>
              <w:ind w:right="224"/>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w:t>
            </w:r>
          </w:p>
        </w:tc>
      </w:tr>
      <w:tr>
        <w:trPr>
          <w:trHeight w:val="300"/>
        </w:trPr>
        <w:tc>
          <w:tcPr>
            <w:tcW w:w="5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India (2) </w:t>
            </w:r>
            <w:r>
              <w:rPr>
                <w:rFonts w:ascii="Times New Roman" w:cs="Times New Roman" w:eastAsia="Times New Roman" w:hAnsi="Times New Roman"/>
                <w:sz w:val="20"/>
                <w:szCs w:val="20"/>
                <w:color w:val="BABCBE"/>
              </w:rPr>
              <w:t>...............................................................................................</w:t>
            </w:r>
          </w:p>
        </w:tc>
        <w:tc>
          <w:tcPr>
            <w:tcW w:w="860" w:type="dxa"/>
            <w:vAlign w:val="bottom"/>
            <w:shd w:val="clear" w:color="auto" w:fill="E3E4E5"/>
          </w:tcPr>
          <w:p>
            <w:pPr>
              <w:jc w:val="center"/>
              <w:ind w:left="466"/>
              <w:spacing w:after="0"/>
              <w:rPr>
                <w:sz w:val="20"/>
                <w:szCs w:val="20"/>
                <w:color w:val="auto"/>
              </w:rPr>
            </w:pPr>
            <w:r>
              <w:rPr>
                <w:rFonts w:ascii="Times New Roman" w:cs="Times New Roman" w:eastAsia="Times New Roman" w:hAnsi="Times New Roman"/>
                <w:sz w:val="20"/>
                <w:szCs w:val="20"/>
                <w:color w:val="231F20"/>
                <w:w w:val="99"/>
              </w:rPr>
              <w:t>*</w:t>
            </w:r>
          </w:p>
        </w:tc>
        <w:tc>
          <w:tcPr>
            <w:tcW w:w="5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73.6</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53.1</w:t>
            </w:r>
          </w:p>
        </w:tc>
      </w:tr>
      <w:tr>
        <w:trPr>
          <w:trHeight w:val="288"/>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Kenya</w:t>
            </w:r>
            <w:r>
              <w:rPr>
                <w:rFonts w:ascii="Times New Roman" w:cs="Times New Roman" w:eastAsia="Times New Roman" w:hAnsi="Times New Roman"/>
                <w:sz w:val="20"/>
                <w:szCs w:val="20"/>
                <w:color w:val="BABCBE"/>
              </w:rPr>
              <w:t>...................................................................................................</w:t>
            </w:r>
          </w:p>
        </w:tc>
        <w:tc>
          <w:tcPr>
            <w:tcW w:w="860" w:type="dxa"/>
            <w:vAlign w:val="bottom"/>
          </w:tcPr>
          <w:p>
            <w:pPr>
              <w:jc w:val="center"/>
              <w:ind w:left="466"/>
              <w:spacing w:after="0"/>
              <w:rPr>
                <w:sz w:val="20"/>
                <w:szCs w:val="20"/>
                <w:color w:val="auto"/>
              </w:rPr>
            </w:pPr>
            <w:r>
              <w:rPr>
                <w:rFonts w:ascii="Times New Roman" w:cs="Times New Roman" w:eastAsia="Times New Roman" w:hAnsi="Times New Roman"/>
                <w:sz w:val="20"/>
                <w:szCs w:val="20"/>
                <w:color w:val="231F20"/>
                <w:w w:val="99"/>
              </w:rPr>
              <w:t>*</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center"/>
              <w:ind w:right="224"/>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15.5</w:t>
            </w:r>
          </w:p>
        </w:tc>
      </w:tr>
      <w:tr>
        <w:trPr>
          <w:trHeight w:val="300"/>
        </w:trPr>
        <w:tc>
          <w:tcPr>
            <w:tcW w:w="5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Mexico </w:t>
            </w:r>
            <w:r>
              <w:rPr>
                <w:rFonts w:ascii="Times New Roman" w:cs="Times New Roman" w:eastAsia="Times New Roman" w:hAnsi="Times New Roman"/>
                <w:sz w:val="20"/>
                <w:szCs w:val="20"/>
                <w:color w:val="BABCBE"/>
              </w:rPr>
              <w:t>.................................................................................................</w:t>
            </w:r>
          </w:p>
        </w:tc>
        <w:tc>
          <w:tcPr>
            <w:tcW w:w="860" w:type="dxa"/>
            <w:vAlign w:val="bottom"/>
            <w:shd w:val="clear" w:color="auto" w:fill="E3E4E5"/>
          </w:tcPr>
          <w:p>
            <w:pPr>
              <w:spacing w:after="0"/>
              <w:rPr>
                <w:sz w:val="24"/>
                <w:szCs w:val="24"/>
                <w:color w:val="auto"/>
              </w:rPr>
            </w:pPr>
          </w:p>
        </w:tc>
        <w:tc>
          <w:tcPr>
            <w:tcW w:w="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43.8</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36.6</w:t>
            </w:r>
          </w:p>
        </w:tc>
      </w:tr>
      <w:tr>
        <w:trPr>
          <w:trHeight w:val="288"/>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Nigeria </w:t>
            </w:r>
            <w:r>
              <w:rPr>
                <w:rFonts w:ascii="Times New Roman" w:cs="Times New Roman" w:eastAsia="Times New Roman" w:hAnsi="Times New Roman"/>
                <w:sz w:val="20"/>
                <w:szCs w:val="20"/>
                <w:color w:val="BABCBE"/>
              </w:rPr>
              <w:t>.................................................................................................</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r>
      <w:tr>
        <w:trPr>
          <w:trHeight w:val="300"/>
        </w:trPr>
        <w:tc>
          <w:tcPr>
            <w:tcW w:w="5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South Africa (1) </w:t>
            </w:r>
            <w:r>
              <w:rPr>
                <w:rFonts w:ascii="Times New Roman" w:cs="Times New Roman" w:eastAsia="Times New Roman" w:hAnsi="Times New Roman"/>
                <w:sz w:val="20"/>
                <w:szCs w:val="20"/>
                <w:color w:val="BABCBE"/>
              </w:rPr>
              <w:t>...................................................................................</w:t>
            </w:r>
          </w:p>
        </w:tc>
        <w:tc>
          <w:tcPr>
            <w:tcW w:w="860" w:type="dxa"/>
            <w:vAlign w:val="bottom"/>
            <w:shd w:val="clear" w:color="auto" w:fill="E3E4E5"/>
          </w:tcPr>
          <w:p>
            <w:pPr>
              <w:spacing w:after="0"/>
              <w:rPr>
                <w:sz w:val="24"/>
                <w:szCs w:val="24"/>
                <w:color w:val="auto"/>
              </w:rPr>
            </w:pPr>
          </w:p>
        </w:tc>
        <w:tc>
          <w:tcPr>
            <w:tcW w:w="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39.3</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60" w:type="dxa"/>
            <w:vAlign w:val="bottom"/>
            <w:shd w:val="clear" w:color="auto" w:fill="E3E4E5"/>
          </w:tcPr>
          <w:p>
            <w:pPr>
              <w:jc w:val="center"/>
              <w:ind w:right="224"/>
              <w:spacing w:after="0"/>
              <w:rPr>
                <w:sz w:val="20"/>
                <w:szCs w:val="20"/>
                <w:color w:val="auto"/>
              </w:rPr>
            </w:pPr>
            <w:r>
              <w:rPr>
                <w:rFonts w:ascii="Times New Roman" w:cs="Times New Roman" w:eastAsia="Times New Roman" w:hAnsi="Times New Roman"/>
                <w:sz w:val="20"/>
                <w:szCs w:val="20"/>
                <w:color w:val="231F20"/>
                <w:w w:val="99"/>
              </w:rPr>
              <w:t>*</w:t>
            </w:r>
          </w:p>
        </w:tc>
        <w:tc>
          <w:tcPr>
            <w:tcW w:w="8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1040" w:type="dxa"/>
            <w:vAlign w:val="bottom"/>
            <w:shd w:val="clear" w:color="auto" w:fill="E3E4E5"/>
          </w:tcPr>
          <w:p>
            <w:pPr>
              <w:jc w:val="right"/>
              <w:ind w:right="524"/>
              <w:spacing w:after="0"/>
              <w:rPr>
                <w:sz w:val="20"/>
                <w:szCs w:val="20"/>
                <w:color w:val="auto"/>
              </w:rPr>
            </w:pPr>
            <w:r>
              <w:rPr>
                <w:rFonts w:ascii="Times New Roman" w:cs="Times New Roman" w:eastAsia="Times New Roman" w:hAnsi="Times New Roman"/>
                <w:sz w:val="20"/>
                <w:szCs w:val="20"/>
                <w:color w:val="231F20"/>
              </w:rPr>
              <w:t>*</w:t>
            </w:r>
          </w:p>
        </w:tc>
      </w:tr>
      <w:tr>
        <w:trPr>
          <w:trHeight w:val="288"/>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Uganda</w:t>
            </w:r>
            <w:r>
              <w:rPr>
                <w:rFonts w:ascii="Times New Roman" w:cs="Times New Roman" w:eastAsia="Times New Roman" w:hAnsi="Times New Roman"/>
                <w:sz w:val="20"/>
                <w:szCs w:val="20"/>
                <w:color w:val="BABCBE"/>
              </w:rPr>
              <w:t>.................................................................................................</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524"/>
              <w:spacing w:after="0"/>
              <w:rPr>
                <w:sz w:val="20"/>
                <w:szCs w:val="20"/>
                <w:color w:val="auto"/>
              </w:rPr>
            </w:pPr>
            <w:r>
              <w:rPr>
                <w:rFonts w:ascii="Times New Roman" w:cs="Times New Roman" w:eastAsia="Times New Roman" w:hAnsi="Times New Roman"/>
                <w:sz w:val="20"/>
                <w:szCs w:val="20"/>
                <w:color w:val="231F20"/>
              </w:rPr>
              <w:t>*</w:t>
            </w:r>
          </w:p>
        </w:tc>
      </w:tr>
      <w:tr>
        <w:trPr>
          <w:trHeight w:val="309"/>
        </w:trPr>
        <w:tc>
          <w:tcPr>
            <w:tcW w:w="57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ABCBE"/>
              </w:rPr>
              <w:t>....................................................................................................</w:t>
            </w:r>
          </w:p>
        </w:tc>
        <w:tc>
          <w:tcPr>
            <w:tcW w:w="860" w:type="dxa"/>
            <w:vAlign w:val="bottom"/>
            <w:tcBorders>
              <w:bottom w:val="single" w:sz="8" w:color="231F20"/>
            </w:tcBorders>
            <w:shd w:val="clear" w:color="auto" w:fill="E3E4E5"/>
          </w:tcPr>
          <w:p>
            <w:pPr>
              <w:spacing w:after="0"/>
              <w:rPr>
                <w:sz w:val="24"/>
                <w:szCs w:val="24"/>
                <w:color w:val="auto"/>
              </w:rPr>
            </w:pPr>
          </w:p>
        </w:tc>
        <w:tc>
          <w:tcPr>
            <w:tcW w:w="5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66.8</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10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91.8</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spacing w:after="0"/>
              <w:rPr>
                <w:sz w:val="24"/>
                <w:szCs w:val="24"/>
                <w:color w:val="auto"/>
              </w:rPr>
            </w:pP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63.0</w:t>
            </w:r>
          </w:p>
        </w:tc>
      </w:tr>
      <w:tr>
        <w:trPr>
          <w:trHeight w:val="235"/>
        </w:trPr>
        <w:tc>
          <w:tcPr>
            <w:tcW w:w="57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Total Foreign </w:t>
            </w:r>
            <w:r>
              <w:rPr>
                <w:rFonts w:ascii="Times New Roman" w:cs="Times New Roman" w:eastAsia="Times New Roman" w:hAnsi="Times New Roman"/>
                <w:sz w:val="20"/>
                <w:szCs w:val="20"/>
                <w:color w:val="BABCBE"/>
                <w:w w:val="98"/>
              </w:rPr>
              <w:t>............................................................................................</w:t>
            </w:r>
          </w:p>
        </w:tc>
        <w:tc>
          <w:tcPr>
            <w:tcW w:w="860" w:type="dxa"/>
            <w:vAlign w:val="bottom"/>
          </w:tcPr>
          <w:p>
            <w:pPr>
              <w:jc w:val="right"/>
              <w:ind w:right="626"/>
              <w:spacing w:after="0"/>
              <w:rPr>
                <w:sz w:val="20"/>
                <w:szCs w:val="20"/>
                <w:color w:val="auto"/>
              </w:rPr>
            </w:pPr>
            <w:r>
              <w:rPr>
                <w:rFonts w:ascii="Times New Roman" w:cs="Times New Roman" w:eastAsia="Times New Roman" w:hAnsi="Times New Roman"/>
                <w:sz w:val="20"/>
                <w:szCs w:val="20"/>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290.6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345.0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297.5</w:t>
            </w:r>
          </w:p>
        </w:tc>
      </w:tr>
      <w:tr>
        <w:trPr>
          <w:trHeight w:val="20"/>
        </w:trPr>
        <w:tc>
          <w:tcPr>
            <w:tcW w:w="5720" w:type="dxa"/>
            <w:vAlign w:val="bottom"/>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-2270760</wp:posOffset>
            </wp:positionV>
            <wp:extent cx="277876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50">
                      <a:extLst>
                        <a:ext uri="{28A0092B-C50C-407E-A947-70E740481C1C}"/>
                      </a:extLst>
                    </a:blip>
                    <a:srcRect/>
                    <a:stretch>
                      <a:fillRect/>
                    </a:stretch>
                  </pic:blipFill>
                  <pic:spPr bwMode="auto">
                    <a:xfrm>
                      <a:off x="0" y="0"/>
                      <a:ext cx="2778760" cy="2540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-217170</wp:posOffset>
            </wp:positionV>
            <wp:extent cx="277876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51">
                      <a:extLst>
                        <a:ext uri="{28A0092B-C50C-407E-A947-70E740481C1C}"/>
                      </a:extLst>
                    </a:blip>
                    <a:srcRect/>
                    <a:stretch>
                      <a:fillRect/>
                    </a:stretch>
                  </pic:blipFill>
                  <pic:spPr bwMode="auto">
                    <a:xfrm>
                      <a:off x="0" y="0"/>
                      <a:ext cx="2778760"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231F20"/>
        </w:rPr>
        <w:t>(*) Below threshold for period presented.</w:t>
      </w:r>
    </w:p>
    <w:p>
      <w:pPr>
        <w:spacing w:after="0" w:line="4" w:lineRule="exact"/>
        <w:rPr>
          <w:sz w:val="20"/>
          <w:szCs w:val="20"/>
          <w:color w:val="auto"/>
        </w:rPr>
      </w:pPr>
    </w:p>
    <w:p>
      <w:pPr>
        <w:ind w:left="347" w:hanging="347"/>
        <w:spacing w:after="0"/>
        <w:tabs>
          <w:tab w:leader="none" w:pos="347" w:val="left"/>
        </w:tabs>
        <w:numPr>
          <w:ilvl w:val="0"/>
          <w:numId w:val="10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non-recurring tax payments.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0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years ended December 31, 2024 and 2023, includes ATC TIPL (as defined in note 21).</w:t>
      </w:r>
    </w:p>
    <w:p>
      <w:pPr>
        <w:spacing w:after="0" w:line="1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domestic and foreign components of income from continuing operations before income taxes are as follows:</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340" w:type="dxa"/>
            <w:vAlign w:val="bottom"/>
            <w:tcBorders>
              <w:bottom w:val="single" w:sz="8" w:color="231F20"/>
            </w:tcBorders>
          </w:tcPr>
          <w:p>
            <w:pPr>
              <w:spacing w:after="0"/>
              <w:rPr>
                <w:sz w:val="18"/>
                <w:szCs w:val="18"/>
                <w:color w:val="auto"/>
              </w:rPr>
            </w:pPr>
          </w:p>
        </w:tc>
        <w:tc>
          <w:tcPr>
            <w:tcW w:w="2940" w:type="dxa"/>
            <w:vAlign w:val="bottom"/>
            <w:tcBorders>
              <w:bottom w:val="single" w:sz="8" w:color="231F20"/>
            </w:tcBorders>
            <w:gridSpan w:val="6"/>
          </w:tcPr>
          <w:p>
            <w:pPr>
              <w:jc w:val="right"/>
              <w:ind w:right="14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40" w:type="dxa"/>
            <w:vAlign w:val="bottom"/>
            <w:tcBorders>
              <w:bottom w:val="single" w:sz="8" w:color="231F20"/>
            </w:tcBorders>
          </w:tcPr>
          <w:p>
            <w:pPr>
              <w:spacing w:after="0"/>
              <w:rPr>
                <w:sz w:val="18"/>
                <w:szCs w:val="18"/>
                <w:color w:val="auto"/>
              </w:rPr>
            </w:pPr>
          </w:p>
        </w:tc>
      </w:tr>
      <w:tr>
        <w:trPr>
          <w:trHeight w:val="274"/>
        </w:trPr>
        <w:tc>
          <w:tcPr>
            <w:tcW w:w="572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04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5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United States</w:t>
            </w:r>
            <w:r>
              <w:rPr>
                <w:rFonts w:ascii="Times New Roman" w:cs="Times New Roman" w:eastAsia="Times New Roman" w:hAnsi="Times New Roman"/>
                <w:sz w:val="20"/>
                <w:szCs w:val="20"/>
                <w:color w:val="BABCBE"/>
                <w:w w:val="98"/>
              </w:rPr>
              <w:t>.............................................................................................</w:t>
            </w:r>
          </w:p>
        </w:tc>
        <w:tc>
          <w:tcPr>
            <w:tcW w:w="340" w:type="dxa"/>
            <w:vAlign w:val="bottom"/>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2,141.3</w:t>
            </w:r>
          </w:p>
        </w:tc>
        <w:tc>
          <w:tcPr>
            <w:tcW w:w="420" w:type="dxa"/>
            <w:vAlign w:val="bottom"/>
            <w:gridSpan w:val="2"/>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1,745.9</w:t>
            </w:r>
          </w:p>
        </w:tc>
        <w:tc>
          <w:tcPr>
            <w:tcW w:w="420" w:type="dxa"/>
            <w:vAlign w:val="bottom"/>
            <w:gridSpan w:val="2"/>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1,371.4</w:t>
            </w:r>
          </w:p>
        </w:tc>
      </w:tr>
      <w:tr>
        <w:trPr>
          <w:trHeight w:val="284"/>
        </w:trPr>
        <w:tc>
          <w:tcPr>
            <w:tcW w:w="57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w w:val="98"/>
              </w:rPr>
              <w:t>Foreign</w:t>
            </w:r>
            <w:r>
              <w:rPr>
                <w:rFonts w:ascii="Times New Roman" w:cs="Times New Roman" w:eastAsia="Times New Roman" w:hAnsi="Times New Roman"/>
                <w:sz w:val="20"/>
                <w:szCs w:val="20"/>
                <w:color w:val="BABCBE"/>
                <w:w w:val="98"/>
              </w:rPr>
              <w:t>......................................................................................................</w:t>
            </w:r>
          </w:p>
        </w:tc>
        <w:tc>
          <w:tcPr>
            <w:tcW w:w="34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902.9</w:t>
            </w:r>
          </w:p>
        </w:tc>
        <w:tc>
          <w:tcPr>
            <w:tcW w:w="8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1,878.9</w:t>
            </w:r>
          </w:p>
        </w:tc>
        <w:tc>
          <w:tcPr>
            <w:tcW w:w="80" w:type="dxa"/>
            <w:vAlign w:val="bottom"/>
            <w:tcBorders>
              <w:bottom w:val="single" w:sz="8" w:color="E3E4E5"/>
            </w:tcBorders>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157.9</w:t>
            </w:r>
          </w:p>
        </w:tc>
      </w:tr>
      <w:tr>
        <w:trPr>
          <w:trHeight w:val="294"/>
        </w:trPr>
        <w:tc>
          <w:tcPr>
            <w:tcW w:w="57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ABCBE"/>
              </w:rPr>
              <w:t>..................................................................................................</w:t>
            </w:r>
          </w:p>
        </w:tc>
        <w:tc>
          <w:tcPr>
            <w:tcW w:w="340" w:type="dxa"/>
            <w:vAlign w:val="bottom"/>
            <w:tcBorders>
              <w:bottom w:val="single" w:sz="8" w:color="231F20"/>
            </w:tcBorders>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3,044.2</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3,624.8</w:t>
            </w:r>
          </w:p>
        </w:tc>
        <w:tc>
          <w:tcPr>
            <w:tcW w:w="8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231F20"/>
            </w:tcBorders>
            <w:shd w:val="clear" w:color="auto" w:fill="E3E4E5"/>
          </w:tcPr>
          <w:p>
            <w:pPr>
              <w:jc w:val="right"/>
              <w:ind w:right="10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-590550</wp:posOffset>
            </wp:positionV>
            <wp:extent cx="277876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52">
                      <a:extLst>
                        <a:ext uri="{28A0092B-C50C-407E-A947-70E740481C1C}"/>
                      </a:extLst>
                    </a:blip>
                    <a:srcRect/>
                    <a:stretch>
                      <a:fillRect/>
                    </a:stretch>
                  </pic:blipFill>
                  <pic:spPr bwMode="auto">
                    <a:xfrm>
                      <a:off x="0" y="0"/>
                      <a:ext cx="2778760" cy="2540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-217170</wp:posOffset>
            </wp:positionV>
            <wp:extent cx="277876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53">
                      <a:extLst>
                        <a:ext uri="{28A0092B-C50C-407E-A947-70E740481C1C}"/>
                      </a:extLst>
                    </a:blip>
                    <a:srcRect/>
                    <a:stretch>
                      <a:fillRect/>
                    </a:stretch>
                  </pic:blipFill>
                  <pic:spPr bwMode="auto">
                    <a:xfrm>
                      <a:off x="0" y="0"/>
                      <a:ext cx="2778760" cy="2540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-43180</wp:posOffset>
            </wp:positionV>
            <wp:extent cx="2778760" cy="501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54">
                      <a:extLst>
                        <a:ext uri="{28A0092B-C50C-407E-A947-70E740481C1C}"/>
                      </a:extLst>
                    </a:blip>
                    <a:srcRect/>
                    <a:stretch>
                      <a:fillRect/>
                    </a:stretch>
                  </pic:blipFill>
                  <pic:spPr bwMode="auto">
                    <a:xfrm>
                      <a:off x="0" y="0"/>
                      <a:ext cx="2778760" cy="50165"/>
                    </a:xfrm>
                    <a:prstGeom prst="rect">
                      <a:avLst/>
                    </a:prstGeom>
                    <a:noFill/>
                  </pic:spPr>
                </pic:pic>
              </a:graphicData>
            </a:graphic>
          </wp:anchor>
        </w:drawing>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F-38</w:t>
      </w:r>
    </w:p>
    <w:p>
      <w:pPr>
        <w:sectPr>
          <w:pgSz w:w="11880" w:h="15480" w:orient="portrait"/>
          <w:cols w:equalWidth="0" w:num="1">
            <w:col w:w="10047"/>
          </w:cols>
          <w:pgMar w:left="913" w:top="418" w:right="920" w:bottom="0" w:gutter="0" w:footer="0" w:header="0"/>
          <w:type w:val="continuous"/>
        </w:sectPr>
      </w:pPr>
    </w:p>
    <w:bookmarkStart w:id="128" w:name="page129"/>
    <w:bookmarkEnd w:id="128"/>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components of the net deferred tax asset and liability and related valuation allowance were as follows:</w:t>
      </w:r>
    </w:p>
    <w:p>
      <w:pPr>
        <w:spacing w:after="0" w:line="25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7100" w:type="dxa"/>
            <w:vAlign w:val="bottom"/>
            <w:tcBorders>
              <w:bottom w:val="single" w:sz="8" w:color="E3E4E5"/>
            </w:tcBorders>
          </w:tcPr>
          <w:p>
            <w:pPr>
              <w:spacing w:after="0"/>
              <w:rPr>
                <w:sz w:val="18"/>
                <w:szCs w:val="18"/>
                <w:color w:val="auto"/>
              </w:rPr>
            </w:pPr>
          </w:p>
        </w:tc>
        <w:tc>
          <w:tcPr>
            <w:tcW w:w="1480" w:type="dxa"/>
            <w:vAlign w:val="bottom"/>
            <w:tcBorders>
              <w:bottom w:val="single" w:sz="8" w:color="231F20"/>
            </w:tcBorders>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80" w:type="dxa"/>
            <w:vAlign w:val="bottom"/>
            <w:tcBorders>
              <w:bottom w:val="single" w:sz="8" w:color="E3E4E5"/>
            </w:tcBorders>
          </w:tcPr>
          <w:p>
            <w:pPr>
              <w:spacing w:after="0"/>
              <w:rPr>
                <w:sz w:val="18"/>
                <w:szCs w:val="18"/>
                <w:color w:val="auto"/>
              </w:rPr>
            </w:pPr>
          </w:p>
        </w:tc>
        <w:tc>
          <w:tcPr>
            <w:tcW w:w="13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64"/>
        </w:trPr>
        <w:tc>
          <w:tcPr>
            <w:tcW w:w="710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Assets:</w:t>
            </w:r>
          </w:p>
        </w:tc>
        <w:tc>
          <w:tcPr>
            <w:tcW w:w="460" w:type="dxa"/>
            <w:vAlign w:val="bottom"/>
            <w:tcBorders>
              <w:bottom w:val="single" w:sz="8" w:color="E3E4E5"/>
            </w:tcBorders>
            <w:shd w:val="clear" w:color="auto" w:fill="E3E4E5"/>
          </w:tcPr>
          <w:p>
            <w:pPr>
              <w:spacing w:after="0"/>
              <w:rPr>
                <w:sz w:val="22"/>
                <w:szCs w:val="22"/>
                <w:color w:val="auto"/>
              </w:rPr>
            </w:pPr>
          </w:p>
        </w:tc>
        <w:tc>
          <w:tcPr>
            <w:tcW w:w="1020" w:type="dxa"/>
            <w:vAlign w:val="bottom"/>
            <w:tcBorders>
              <w:bottom w:val="single" w:sz="8" w:color="E3E4E5"/>
            </w:tcBorders>
            <w:shd w:val="clear" w:color="auto" w:fill="E3E4E5"/>
          </w:tcPr>
          <w:p>
            <w:pPr>
              <w:spacing w:after="0"/>
              <w:rPr>
                <w:sz w:val="22"/>
                <w:szCs w:val="22"/>
                <w:color w:val="auto"/>
              </w:rPr>
            </w:pPr>
          </w:p>
        </w:tc>
        <w:tc>
          <w:tcPr>
            <w:tcW w:w="80" w:type="dxa"/>
            <w:vAlign w:val="bottom"/>
            <w:tcBorders>
              <w:bottom w:val="single" w:sz="8" w:color="E3E4E5"/>
            </w:tcBorders>
            <w:shd w:val="clear" w:color="auto" w:fill="E3E4E5"/>
          </w:tcPr>
          <w:p>
            <w:pPr>
              <w:spacing w:after="0"/>
              <w:rPr>
                <w:sz w:val="22"/>
                <w:szCs w:val="22"/>
                <w:color w:val="auto"/>
              </w:rPr>
            </w:pPr>
          </w:p>
        </w:tc>
        <w:tc>
          <w:tcPr>
            <w:tcW w:w="400" w:type="dxa"/>
            <w:vAlign w:val="bottom"/>
            <w:tcBorders>
              <w:bottom w:val="single" w:sz="8" w:color="E3E4E5"/>
            </w:tcBorders>
            <w:shd w:val="clear" w:color="auto" w:fill="E3E4E5"/>
          </w:tcPr>
          <w:p>
            <w:pPr>
              <w:spacing w:after="0"/>
              <w:rPr>
                <w:sz w:val="22"/>
                <w:szCs w:val="22"/>
                <w:color w:val="auto"/>
              </w:rPr>
            </w:pPr>
          </w:p>
        </w:tc>
        <w:tc>
          <w:tcPr>
            <w:tcW w:w="980" w:type="dxa"/>
            <w:vAlign w:val="bottom"/>
            <w:tcBorders>
              <w:bottom w:val="single" w:sz="8" w:color="E3E4E5"/>
            </w:tcBorders>
            <w:shd w:val="clear" w:color="auto" w:fill="E3E4E5"/>
          </w:tcPr>
          <w:p>
            <w:pPr>
              <w:spacing w:after="0"/>
              <w:rPr>
                <w:sz w:val="22"/>
                <w:szCs w:val="22"/>
                <w:color w:val="auto"/>
              </w:rPr>
            </w:pP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Operating lease liability</w:t>
            </w:r>
          </w:p>
        </w:tc>
        <w:tc>
          <w:tcPr>
            <w:tcW w:w="460" w:type="dxa"/>
            <w:vAlign w:val="bottom"/>
          </w:tcPr>
          <w:p>
            <w:pPr>
              <w:jc w:val="right"/>
              <w:ind w:right="209"/>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992.2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900.8</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154.8</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212.0</w:t>
            </w: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Accrued asset retirement obligations</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245.6</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9.9</w:t>
            </w: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Unearned revenue</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Unrealized loss on foreign currency</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25.6</w:t>
            </w: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Other accruals, allowances and reserves</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46.1</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Nondeductible interest</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55.1</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51.6</w:t>
            </w: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Tax credits</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379.0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311.2</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Capital loss carryforwards (1)</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311.7</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293.1</w:t>
            </w: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Items not currently deductible and other</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58.6</w:t>
            </w:r>
          </w:p>
        </w:tc>
      </w:tr>
      <w:tr>
        <w:trPr>
          <w:trHeight w:val="280"/>
        </w:trPr>
        <w:tc>
          <w:tcPr>
            <w:tcW w:w="7100" w:type="dxa"/>
            <w:vAlign w:val="bottom"/>
            <w:tcBorders>
              <w:bottom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rPr>
              <w:t>Liabilities:</w:t>
            </w:r>
          </w:p>
        </w:tc>
        <w:tc>
          <w:tcPr>
            <w:tcW w:w="460" w:type="dxa"/>
            <w:vAlign w:val="bottom"/>
            <w:tcBorders>
              <w:bottom w:val="single" w:sz="8" w:color="E3E4E5"/>
            </w:tcBorders>
            <w:shd w:val="clear" w:color="auto" w:fill="E3E4E5"/>
          </w:tcPr>
          <w:p>
            <w:pPr>
              <w:spacing w:after="0"/>
              <w:rPr>
                <w:sz w:val="24"/>
                <w:szCs w:val="24"/>
                <w:color w:val="auto"/>
              </w:rPr>
            </w:pPr>
          </w:p>
        </w:tc>
        <w:tc>
          <w:tcPr>
            <w:tcW w:w="102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40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spacing w:after="0"/>
              <w:rPr>
                <w:sz w:val="24"/>
                <w:szCs w:val="24"/>
                <w:color w:val="auto"/>
              </w:rPr>
            </w:pP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(1,673.0)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(1,566.0)</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Right-of-use asset</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(994.5)</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(907.0)</w:t>
            </w:r>
          </w:p>
        </w:tc>
      </w:tr>
      <w:tr>
        <w:trPr>
          <w:trHeight w:val="288"/>
        </w:trPr>
        <w:tc>
          <w:tcPr>
            <w:tcW w:w="7100" w:type="dxa"/>
            <w:vAlign w:val="bottom"/>
          </w:tcPr>
          <w:p>
            <w:pPr>
              <w:ind w:left="740"/>
              <w:spacing w:after="0"/>
              <w:rPr>
                <w:sz w:val="20"/>
                <w:szCs w:val="20"/>
                <w:color w:val="auto"/>
              </w:rPr>
            </w:pPr>
            <w:r>
              <w:rPr>
                <w:rFonts w:ascii="Times New Roman" w:cs="Times New Roman" w:eastAsia="Times New Roman" w:hAnsi="Times New Roman"/>
                <w:sz w:val="20"/>
                <w:szCs w:val="20"/>
                <w:color w:val="231F20"/>
              </w:rPr>
              <w:t>Deferred rent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(116.3)</w:t>
            </w:r>
          </w:p>
        </w:tc>
      </w:tr>
      <w:tr>
        <w:trPr>
          <w:trHeight w:val="300"/>
        </w:trPr>
        <w:tc>
          <w:tcPr>
            <w:tcW w:w="7100" w:type="dxa"/>
            <w:vAlign w:val="bottom"/>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Unremitted earnings of foreign subsidiaries</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(50.6)</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(11.1)</w:t>
            </w:r>
          </w:p>
        </w:tc>
      </w:tr>
      <w:tr>
        <w:trPr>
          <w:trHeight w:val="284"/>
        </w:trPr>
        <w:tc>
          <w:tcPr>
            <w:tcW w:w="7100" w:type="dxa"/>
            <w:vAlign w:val="bottom"/>
            <w:tcBorders>
              <w:bottom w:val="single" w:sz="8" w:color="E3E4E5"/>
            </w:tcBorders>
          </w:tcPr>
          <w:p>
            <w:pPr>
              <w:ind w:left="740"/>
              <w:spacing w:after="0"/>
              <w:rPr>
                <w:sz w:val="20"/>
                <w:szCs w:val="20"/>
                <w:color w:val="auto"/>
              </w:rPr>
            </w:pPr>
            <w:r>
              <w:rPr>
                <w:rFonts w:ascii="Times New Roman" w:cs="Times New Roman" w:eastAsia="Times New Roman" w:hAnsi="Times New Roman"/>
                <w:sz w:val="20"/>
                <w:szCs w:val="20"/>
                <w:color w:val="231F20"/>
              </w:rPr>
              <w:t>Other</w:t>
            </w:r>
          </w:p>
        </w:tc>
        <w:tc>
          <w:tcPr>
            <w:tcW w:w="4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(49.2)</w:t>
            </w:r>
          </w:p>
        </w:tc>
        <w:tc>
          <w:tcPr>
            <w:tcW w:w="80" w:type="dxa"/>
            <w:vAlign w:val="bottom"/>
            <w:tcBorders>
              <w:bottom w:val="single" w:sz="8" w:color="E3E4E5"/>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(31.5)</w:t>
            </w:r>
          </w:p>
        </w:tc>
      </w:tr>
      <w:tr>
        <w:trPr>
          <w:trHeight w:val="284"/>
        </w:trPr>
        <w:tc>
          <w:tcPr>
            <w:tcW w:w="71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Subtotal</w:t>
            </w:r>
          </w:p>
        </w:tc>
        <w:tc>
          <w:tcPr>
            <w:tcW w:w="460" w:type="dxa"/>
            <w:vAlign w:val="bottom"/>
            <w:shd w:val="clear" w:color="auto" w:fill="E3E4E5"/>
          </w:tcPr>
          <w:p>
            <w:pPr>
              <w:spacing w:after="0"/>
              <w:rPr>
                <w:sz w:val="24"/>
                <w:szCs w:val="24"/>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(528.6)</w:t>
            </w:r>
          </w:p>
        </w:tc>
        <w:tc>
          <w:tcPr>
            <w:tcW w:w="80" w:type="dxa"/>
            <w:vAlign w:val="bottom"/>
            <w:shd w:val="clear" w:color="auto" w:fill="E3E4E5"/>
          </w:tcPr>
          <w:p>
            <w:pPr>
              <w:spacing w:after="0"/>
              <w:rPr>
                <w:sz w:val="24"/>
                <w:szCs w:val="24"/>
                <w:color w:val="auto"/>
              </w:rPr>
            </w:pPr>
          </w:p>
        </w:tc>
        <w:tc>
          <w:tcPr>
            <w:tcW w:w="4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(457.6)</w:t>
            </w:r>
          </w:p>
        </w:tc>
      </w:tr>
      <w:tr>
        <w:trPr>
          <w:trHeight w:val="284"/>
        </w:trPr>
        <w:tc>
          <w:tcPr>
            <w:tcW w:w="710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231F20"/>
              </w:rPr>
              <w:t>Valuation allowance</w:t>
            </w:r>
          </w:p>
        </w:tc>
        <w:tc>
          <w:tcPr>
            <w:tcW w:w="46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(760.3)</w:t>
            </w:r>
          </w:p>
        </w:tc>
        <w:tc>
          <w:tcPr>
            <w:tcW w:w="80" w:type="dxa"/>
            <w:vAlign w:val="bottom"/>
            <w:tcBorders>
              <w:bottom w:val="single" w:sz="8" w:color="E3E4E5"/>
            </w:tcBorders>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(681.7)</w:t>
            </w:r>
          </w:p>
        </w:tc>
      </w:tr>
      <w:tr>
        <w:trPr>
          <w:trHeight w:val="294"/>
        </w:trPr>
        <w:tc>
          <w:tcPr>
            <w:tcW w:w="7100" w:type="dxa"/>
            <w:vAlign w:val="bottom"/>
            <w:tcBorders>
              <w:bottom w:val="single" w:sz="8" w:color="E3E4E5"/>
            </w:tcBorders>
            <w:shd w:val="clear" w:color="auto" w:fill="E3E4E5"/>
          </w:tcPr>
          <w:p>
            <w:pPr>
              <w:ind w:left="740"/>
              <w:spacing w:after="0"/>
              <w:rPr>
                <w:sz w:val="20"/>
                <w:szCs w:val="20"/>
                <w:color w:val="auto"/>
              </w:rPr>
            </w:pPr>
            <w:r>
              <w:rPr>
                <w:rFonts w:ascii="Times New Roman" w:cs="Times New Roman" w:eastAsia="Times New Roman" w:hAnsi="Times New Roman"/>
                <w:sz w:val="20"/>
                <w:szCs w:val="20"/>
                <w:color w:val="231F20"/>
              </w:rPr>
              <w:t>Net deferred tax liabilities</w:t>
            </w:r>
          </w:p>
        </w:tc>
        <w:tc>
          <w:tcPr>
            <w:tcW w:w="460" w:type="dxa"/>
            <w:vAlign w:val="bottom"/>
            <w:tcBorders>
              <w:bottom w:val="single" w:sz="8" w:color="231F20"/>
            </w:tcBorders>
            <w:shd w:val="clear" w:color="auto" w:fill="E3E4E5"/>
          </w:tcPr>
          <w:p>
            <w:pPr>
              <w:jc w:val="right"/>
              <w:ind w:right="209"/>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(1,288.9)</w:t>
            </w:r>
          </w:p>
        </w:tc>
        <w:tc>
          <w:tcPr>
            <w:tcW w:w="80" w:type="dxa"/>
            <w:vAlign w:val="bottom"/>
            <w:tcBorders>
              <w:bottom w:val="single" w:sz="8" w:color="E3E4E5"/>
            </w:tcBorders>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-3950970</wp:posOffset>
            </wp:positionV>
            <wp:extent cx="189230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55">
                      <a:extLst>
                        <a:ext uri="{28A0092B-C50C-407E-A947-70E740481C1C}"/>
                      </a:extLst>
                    </a:blip>
                    <a:srcRect/>
                    <a:stretch>
                      <a:fillRect/>
                    </a:stretch>
                  </pic:blipFill>
                  <pic:spPr bwMode="auto">
                    <a:xfrm>
                      <a:off x="0" y="0"/>
                      <a:ext cx="1892300" cy="2540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-590550</wp:posOffset>
            </wp:positionV>
            <wp:extent cx="189230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56">
                      <a:extLst>
                        <a:ext uri="{28A0092B-C50C-407E-A947-70E740481C1C}"/>
                      </a:extLst>
                    </a:blip>
                    <a:srcRect/>
                    <a:stretch>
                      <a:fillRect/>
                    </a:stretch>
                  </pic:blipFill>
                  <pic:spPr bwMode="auto">
                    <a:xfrm>
                      <a:off x="0" y="0"/>
                      <a:ext cx="1892300" cy="2540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-217170</wp:posOffset>
            </wp:positionV>
            <wp:extent cx="189230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57">
                      <a:extLst>
                        <a:ext uri="{28A0092B-C50C-407E-A947-70E740481C1C}"/>
                      </a:extLst>
                    </a:blip>
                    <a:srcRect/>
                    <a:stretch>
                      <a:fillRect/>
                    </a:stretch>
                  </pic:blipFill>
                  <pic:spPr bwMode="auto">
                    <a:xfrm>
                      <a:off x="0" y="0"/>
                      <a:ext cx="1892300" cy="2540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-43180</wp:posOffset>
            </wp:positionV>
            <wp:extent cx="1892300" cy="501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58">
                      <a:extLst>
                        <a:ext uri="{28A0092B-C50C-407E-A947-70E740481C1C}"/>
                      </a:extLst>
                    </a:blip>
                    <a:srcRect/>
                    <a:stretch>
                      <a:fillRect/>
                    </a:stretch>
                  </pic:blipFill>
                  <pic:spPr bwMode="auto">
                    <a:xfrm>
                      <a:off x="0" y="0"/>
                      <a:ext cx="1892300"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0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related to the sales of ATC TIPL (as defined in note 21) and Mexico Fiber (as defined in note 15).</w:t>
      </w:r>
    </w:p>
    <w:p>
      <w:pPr>
        <w:spacing w:after="0" w:line="131" w:lineRule="exact"/>
        <w:rPr>
          <w:sz w:val="20"/>
          <w:szCs w:val="20"/>
          <w:color w:val="auto"/>
        </w:rPr>
      </w:pPr>
    </w:p>
    <w:p>
      <w:pPr>
        <w:ind w:left="7" w:right="160"/>
        <w:spacing w:after="0" w:line="254" w:lineRule="auto"/>
        <w:rPr>
          <w:sz w:val="20"/>
          <w:szCs w:val="20"/>
          <w:color w:val="auto"/>
        </w:rPr>
      </w:pPr>
      <w:r>
        <w:rPr>
          <w:rFonts w:ascii="Times New Roman" w:cs="Times New Roman" w:eastAsia="Times New Roman" w:hAnsi="Times New Roman"/>
          <w:sz w:val="20"/>
          <w:szCs w:val="20"/>
          <w:color w:val="231F20"/>
        </w:rPr>
        <w:t>The Company provides valuation allowances if, based on the available evidence, it is more likely than not that some or all of the deferred tax assets will not be realized. Management assesses the available evidence to estimate if sufficient future taxable income will be generated to use the existing deferred tax assets. Valuation allowances may be reversed if, based on changes in facts and circumstances, the net deferred tax assets have been determined to be realizable.</w:t>
      </w:r>
    </w:p>
    <w:p>
      <w:pPr>
        <w:spacing w:after="0" w:line="124" w:lineRule="exact"/>
        <w:rPr>
          <w:sz w:val="20"/>
          <w:szCs w:val="20"/>
          <w:color w:val="auto"/>
        </w:rPr>
      </w:pPr>
    </w:p>
    <w:p>
      <w:pPr>
        <w:ind w:left="7" w:right="20"/>
        <w:spacing w:after="0" w:line="266" w:lineRule="auto"/>
        <w:rPr>
          <w:sz w:val="20"/>
          <w:szCs w:val="20"/>
          <w:color w:val="auto"/>
        </w:rPr>
      </w:pPr>
      <w:r>
        <w:rPr>
          <w:rFonts w:ascii="Times New Roman" w:cs="Times New Roman" w:eastAsia="Times New Roman" w:hAnsi="Times New Roman"/>
          <w:sz w:val="19"/>
          <w:szCs w:val="19"/>
          <w:color w:val="231F20"/>
        </w:rPr>
        <w:t>At December 31, 2025 and 2024, the Company has provided a valuation allowance of $760.3 million and $681.7 million, respectively, which primarily relates to foreign items. The increase in the valuation allowance for the year ending December 31, 2025 is due to uncertainty as to the timing of, and the Company’s ability to recover, net deferred tax assets in certain foreign operations in the foreseeable future, offset by reversals and fluctuations in foreign currency exchange rates. The amount of deferred tax assets considered realizable, however, could be adjusted if objective evidence in the form of cumulative losses is no longer present and additional weight may be given to subjective evidence such as the Company’s projections for growth.</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 summary of the activity in the valuation allowance is as follows:</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Balance as of January 1, </w:t>
            </w:r>
            <w:r>
              <w:rPr>
                <w:rFonts w:ascii="Times New Roman" w:cs="Times New Roman" w:eastAsia="Times New Roman" w:hAnsi="Times New Roman"/>
                <w:sz w:val="20"/>
                <w:szCs w:val="20"/>
                <w:color w:val="BABCBE"/>
                <w:w w:val="99"/>
              </w:rPr>
              <w:t>.........................................................................................</w:t>
            </w:r>
          </w:p>
        </w:tc>
        <w:tc>
          <w:tcPr>
            <w:tcW w:w="28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681.7</w:t>
            </w:r>
          </w:p>
        </w:tc>
        <w:tc>
          <w:tcPr>
            <w:tcW w:w="360" w:type="dxa"/>
            <w:vAlign w:val="bottom"/>
            <w:gridSpan w:val="2"/>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433.5</w:t>
            </w:r>
          </w:p>
        </w:tc>
        <w:tc>
          <w:tcPr>
            <w:tcW w:w="340" w:type="dxa"/>
            <w:vAlign w:val="bottom"/>
            <w:gridSpan w:val="2"/>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335.7</w:t>
            </w:r>
          </w:p>
        </w:tc>
      </w:tr>
      <w:tr>
        <w:trPr>
          <w:trHeight w:val="288"/>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Additions (1)</w:t>
            </w:r>
            <w:r>
              <w:rPr>
                <w:rFonts w:ascii="Times New Roman" w:cs="Times New Roman" w:eastAsia="Times New Roman" w:hAnsi="Times New Roman"/>
                <w:sz w:val="20"/>
                <w:szCs w:val="20"/>
                <w:color w:val="BABCBE"/>
                <w:w w:val="99"/>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249.1</w:t>
            </w:r>
          </w:p>
        </w:tc>
      </w:tr>
      <w:tr>
        <w:trPr>
          <w:trHeight w:val="300"/>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Usage, expiration and reversals </w:t>
            </w:r>
            <w:r>
              <w:rPr>
                <w:rFonts w:ascii="Times New Roman" w:cs="Times New Roman" w:eastAsia="Times New Roman" w:hAnsi="Times New Roman"/>
                <w:sz w:val="20"/>
                <w:szCs w:val="20"/>
                <w:color w:val="BABCBE"/>
                <w:w w:val="99"/>
              </w:rPr>
              <w:t>..............................................................................</w:t>
            </w:r>
          </w:p>
        </w:tc>
        <w:tc>
          <w:tcPr>
            <w:tcW w:w="28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(87.2)</w:t>
            </w:r>
          </w:p>
        </w:tc>
      </w:tr>
      <w:tr>
        <w:trPr>
          <w:trHeight w:val="284"/>
        </w:trPr>
        <w:tc>
          <w:tcPr>
            <w:tcW w:w="64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rPr>
              <w:t>Foreign currency translation</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8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(36.9)</w:t>
            </w:r>
          </w:p>
        </w:tc>
        <w:tc>
          <w:tcPr>
            <w:tcW w:w="6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(64.1)</w:t>
            </w:r>
          </w:p>
        </w:tc>
      </w:tr>
      <w:tr>
        <w:trPr>
          <w:trHeight w:val="294"/>
        </w:trPr>
        <w:tc>
          <w:tcPr>
            <w:tcW w:w="64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Balance as of December 31, </w:t>
            </w:r>
            <w:r>
              <w:rPr>
                <w:rFonts w:ascii="Times New Roman" w:cs="Times New Roman" w:eastAsia="Times New Roman" w:hAnsi="Times New Roman"/>
                <w:sz w:val="20"/>
                <w:szCs w:val="20"/>
                <w:color w:val="BABCBE"/>
                <w:w w:val="99"/>
              </w:rPr>
              <w:t>...................................................................................</w:t>
            </w:r>
          </w:p>
        </w:tc>
        <w:tc>
          <w:tcPr>
            <w:tcW w:w="280" w:type="dxa"/>
            <w:vAlign w:val="bottom"/>
            <w:tcBorders>
              <w:bottom w:val="single" w:sz="8" w:color="231F20"/>
            </w:tcBorders>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760.3</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681.7</w:t>
            </w:r>
          </w:p>
        </w:tc>
        <w:tc>
          <w:tcPr>
            <w:tcW w:w="6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-963930</wp:posOffset>
            </wp:positionV>
            <wp:extent cx="227520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59">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-217170</wp:posOffset>
            </wp:positionV>
            <wp:extent cx="227520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60">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-43180</wp:posOffset>
            </wp:positionV>
            <wp:extent cx="2275205" cy="501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61">
                      <a:extLst>
                        <a:ext uri="{28A0092B-C50C-407E-A947-70E740481C1C}"/>
                      </a:extLst>
                    </a:blip>
                    <a:srcRect/>
                    <a:stretch>
                      <a:fillRect/>
                    </a:stretch>
                  </pic:blipFill>
                  <pic:spPr bwMode="auto">
                    <a:xfrm>
                      <a:off x="0" y="0"/>
                      <a:ext cx="2275205" cy="50165"/>
                    </a:xfrm>
                    <a:prstGeom prst="rect">
                      <a:avLst/>
                    </a:prstGeom>
                    <a:noFill/>
                  </pic:spPr>
                </pic:pic>
              </a:graphicData>
            </a:graphic>
          </wp:anchor>
        </w:drawing>
      </w:r>
    </w:p>
    <w:p>
      <w:pPr>
        <w:spacing w:after="0" w:line="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0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net charges to expense and allowances established due to acquisition and divestitures.</w:t>
      </w:r>
    </w:p>
    <w:p>
      <w:pPr>
        <w:spacing w:after="0" w:line="131" w:lineRule="exact"/>
        <w:rPr>
          <w:sz w:val="20"/>
          <w:szCs w:val="20"/>
          <w:color w:val="auto"/>
        </w:rPr>
      </w:pPr>
    </w:p>
    <w:p>
      <w:pPr>
        <w:ind w:left="7" w:right="100"/>
        <w:spacing w:after="0" w:line="300" w:lineRule="auto"/>
        <w:rPr>
          <w:sz w:val="20"/>
          <w:szCs w:val="20"/>
          <w:color w:val="auto"/>
        </w:rPr>
      </w:pPr>
      <w:r>
        <w:rPr>
          <w:rFonts w:ascii="Times New Roman" w:cs="Times New Roman" w:eastAsia="Times New Roman" w:hAnsi="Times New Roman"/>
          <w:sz w:val="19"/>
          <w:szCs w:val="19"/>
          <w:color w:val="231F20"/>
        </w:rPr>
        <w:t>The recoverability of the Company’s deferred tax assets has been assessed utilizing projections based on its current operations. Accordingly, the recoverability of the deferred tax assets is not dependent on material asset sales or other non-routine</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F-39</w:t>
      </w:r>
    </w:p>
    <w:p>
      <w:pPr>
        <w:sectPr>
          <w:pgSz w:w="11880" w:h="15480" w:orient="portrait"/>
          <w:cols w:equalWidth="0" w:num="1">
            <w:col w:w="10047"/>
          </w:cols>
          <w:pgMar w:left="913" w:top="418" w:right="920" w:bottom="0" w:gutter="0" w:footer="0" w:header="0"/>
          <w:type w:val="continuous"/>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color w:val="231F20"/>
        </w:rPr>
        <w:t>transactions. Based on its current outlook of future taxable income during the carryforward period, the Company believes that deferred tax assets, other than those for which a valuation allowance has been recorded, will be realized.</w:t>
      </w:r>
    </w:p>
    <w:p>
      <w:pPr>
        <w:spacing w:after="0" w:line="10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231F20"/>
        </w:rPr>
        <w:t>The Company intends to reinvest foreign earnings indefinitely outside of the U.S., except for earnings in certain entities in Argentina, Brazil, Burkina Faso, Costa Rica, Jersey, Mexico, Netherlands, Nigeria, Paraguay, Singapore, South Africa, Spain, Uganda and the United Kingdom. Any tax consequences for future distributions from the entities that are not indefinitely reinvested have been recorded as deferred tax liabilities. It is not practicable to determine the amount of unrecognized deferred tax liability for outside basis differences in indefinitely reinvested entities.</w:t>
      </w:r>
    </w:p>
    <w:p>
      <w:pPr>
        <w:spacing w:after="0" w:line="18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color w:val="231F20"/>
        </w:rPr>
        <w:t>At December 31, 2025, the Company had net federal, state and foreign operating loss carryforwards available to reduce future taxable income. If not utilized, the Company’s NOLs expire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22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231F20"/>
              </w:rPr>
              <w:t>Federal</w:t>
            </w: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State</w:t>
            </w:r>
          </w:p>
        </w:tc>
        <w:tc>
          <w:tcPr>
            <w:tcW w:w="6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231F20"/>
              </w:rPr>
              <w:t>Foreign</w:t>
            </w:r>
          </w:p>
        </w:tc>
      </w:tr>
      <w:tr>
        <w:trPr>
          <w:trHeight w:val="284"/>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2026 to 2030</w:t>
            </w:r>
            <w:r>
              <w:rPr>
                <w:rFonts w:ascii="Times New Roman" w:cs="Times New Roman" w:eastAsia="Times New Roman" w:hAnsi="Times New Roman"/>
                <w:sz w:val="20"/>
                <w:szCs w:val="20"/>
                <w:color w:val="BABCBE"/>
                <w:w w:val="98"/>
              </w:rPr>
              <w:t>.............................................................................................................</w:t>
            </w:r>
          </w:p>
        </w:tc>
        <w:tc>
          <w:tcPr>
            <w:tcW w:w="2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36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136.8</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138.4</w:t>
            </w:r>
          </w:p>
        </w:tc>
      </w:tr>
      <w:tr>
        <w:trPr>
          <w:trHeight w:val="288"/>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2031 to 2035</w:t>
            </w:r>
            <w:r>
              <w:rPr>
                <w:rFonts w:ascii="Times New Roman" w:cs="Times New Roman" w:eastAsia="Times New Roman" w:hAnsi="Times New Roman"/>
                <w:sz w:val="20"/>
                <w:szCs w:val="20"/>
                <w:color w:val="BABCBE"/>
                <w:w w:val="98"/>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r>
      <w:tr>
        <w:trPr>
          <w:trHeight w:val="300"/>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2036 to 2040</w:t>
            </w:r>
            <w:r>
              <w:rPr>
                <w:rFonts w:ascii="Times New Roman" w:cs="Times New Roman" w:eastAsia="Times New Roman" w:hAnsi="Times New Roman"/>
                <w:sz w:val="20"/>
                <w:szCs w:val="20"/>
                <w:color w:val="BABCBE"/>
                <w:w w:val="98"/>
              </w:rPr>
              <w:t>.............................................................................................................</w:t>
            </w:r>
          </w:p>
        </w:tc>
        <w:tc>
          <w:tcPr>
            <w:tcW w:w="22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60.9</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197.6</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0.0</w:t>
            </w:r>
          </w:p>
        </w:tc>
      </w:tr>
      <w:tr>
        <w:trPr>
          <w:trHeight w:val="288"/>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2041 to 2045</w:t>
            </w:r>
            <w:r>
              <w:rPr>
                <w:rFonts w:ascii="Times New Roman" w:cs="Times New Roman" w:eastAsia="Times New Roman" w:hAnsi="Times New Roman"/>
                <w:sz w:val="20"/>
                <w:szCs w:val="20"/>
                <w:color w:val="BABCBE"/>
                <w:w w:val="98"/>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r>
      <w:tr>
        <w:trPr>
          <w:trHeight w:val="309"/>
        </w:trPr>
        <w:tc>
          <w:tcPr>
            <w:tcW w:w="64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Indefinite carryforward </w:t>
            </w:r>
            <w:r>
              <w:rPr>
                <w:rFonts w:ascii="Times New Roman" w:cs="Times New Roman" w:eastAsia="Times New Roman" w:hAnsi="Times New Roman"/>
                <w:sz w:val="20"/>
                <w:szCs w:val="20"/>
                <w:color w:val="BABCBE"/>
                <w:w w:val="98"/>
              </w:rPr>
              <w:t>............................................................................................</w:t>
            </w:r>
          </w:p>
        </w:tc>
        <w:tc>
          <w:tcPr>
            <w:tcW w:w="22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335.5</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82.1</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383.0</w:t>
            </w:r>
          </w:p>
        </w:tc>
      </w:tr>
      <w:tr>
        <w:trPr>
          <w:trHeight w:val="235"/>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Total </w:t>
            </w:r>
            <w:r>
              <w:rPr>
                <w:rFonts w:ascii="Times New Roman" w:cs="Times New Roman" w:eastAsia="Times New Roman" w:hAnsi="Times New Roman"/>
                <w:sz w:val="20"/>
                <w:szCs w:val="20"/>
                <w:color w:val="BABCBE"/>
                <w:w w:val="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401.5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529.0</w:t>
            </w:r>
          </w:p>
        </w:tc>
      </w:tr>
      <w:tr>
        <w:trPr>
          <w:trHeight w:val="20"/>
        </w:trPr>
        <w:tc>
          <w:tcPr>
            <w:tcW w:w="64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-1150620</wp:posOffset>
            </wp:positionV>
            <wp:extent cx="227520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62">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-217170</wp:posOffset>
            </wp:positionV>
            <wp:extent cx="227520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63">
                      <a:extLst>
                        <a:ext uri="{28A0092B-C50C-407E-A947-70E740481C1C}"/>
                      </a:extLst>
                    </a:blip>
                    <a:srcRect/>
                    <a:stretch>
                      <a:fillRect/>
                    </a:stretch>
                  </pic:blipFill>
                  <pic:spPr bwMode="auto">
                    <a:xfrm>
                      <a:off x="0" y="0"/>
                      <a:ext cx="2275205" cy="25400"/>
                    </a:xfrm>
                    <a:prstGeom prst="rect">
                      <a:avLst/>
                    </a:prstGeom>
                    <a:noFill/>
                  </pic:spPr>
                </pic:pic>
              </a:graphicData>
            </a:graphic>
          </wp:anchor>
        </w:drawing>
      </w:r>
    </w:p>
    <w:p>
      <w:pPr>
        <w:spacing w:after="0" w:line="14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231F20"/>
        </w:rPr>
        <w:t>As of December 31, 2025 and 2024, the total amount of unrecognized tax benefits that would impact the ETR, if recognized, is $128.6 million and $101.3 million, respectively. The amount of unrecognized tax benefits for the year ended December 31, 2025 includes additions to the Company’s existing tax positions of $44.9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 reconciliation of the beginning and ending amount of unrecognized tax benefits are as follows:</w:t>
      </w:r>
    </w:p>
    <w:p>
      <w:pPr>
        <w:sectPr>
          <w:pgSz w:w="11880" w:h="15480" w:orient="portrait"/>
          <w:cols w:equalWidth="0" w:num="1">
            <w:col w:w="10020"/>
          </w:cols>
          <w:pgMar w:left="920" w:top="418" w:right="940" w:bottom="0" w:gutter="0" w:footer="0" w:header="0"/>
        </w:sect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31F20"/>
        </w:rPr>
        <w:t xml:space="preserve">Balance at January 1 </w:t>
      </w:r>
      <w:r>
        <w:rPr>
          <w:rFonts w:ascii="Times New Roman" w:cs="Times New Roman" w:eastAsia="Times New Roman" w:hAnsi="Times New Roman"/>
          <w:sz w:val="19"/>
          <w:szCs w:val="19"/>
          <w:color w:val="BABCBE"/>
        </w:rPr>
        <w:t>..................................................................................</w:t>
      </w:r>
      <w:r>
        <w:rPr>
          <w:rFonts w:ascii="Times New Roman" w:cs="Times New Roman" w:eastAsia="Times New Roman" w:hAnsi="Times New Roman"/>
          <w:sz w:val="19"/>
          <w:szCs w:val="19"/>
          <w:color w:val="231F2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6378575" cy="1993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64">
                      <a:extLst>
                        <a:ext uri="{28A0092B-C50C-407E-A947-70E740481C1C}"/>
                      </a:extLst>
                    </a:blip>
                    <a:srcRect/>
                    <a:stretch>
                      <a:fillRect/>
                    </a:stretch>
                  </pic:blipFill>
                  <pic:spPr bwMode="auto">
                    <a:xfrm>
                      <a:off x="0" y="0"/>
                      <a:ext cx="6378575" cy="1993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 xml:space="preserve">Additions based on tax positions related to the current year </w:t>
      </w:r>
      <w:r>
        <w:rPr>
          <w:rFonts w:ascii="Times New Roman" w:cs="Times New Roman" w:eastAsia="Times New Roman" w:hAnsi="Times New Roman"/>
          <w:sz w:val="20"/>
          <w:szCs w:val="20"/>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32385</wp:posOffset>
                </wp:positionV>
                <wp:extent cx="6365240" cy="18669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5240" cy="186690"/>
                        </a:xfrm>
                        <a:prstGeom prst="rect">
                          <a:avLst/>
                        </a:prstGeom>
                        <a:solidFill>
                          <a:srgbClr val="E3E4E5"/>
                        </a:solidFill>
                      </wps:spPr>
                      <wps:bodyPr/>
                    </wps:wsp>
                  </a:graphicData>
                </a:graphic>
              </wp:anchor>
            </w:drawing>
          </mc:Choice>
          <mc:Fallback>
            <w:pict>
              <v:rect id="Shape 315" o:spid="_x0000_s1340" style="position:absolute;margin-left:-0.2999pt;margin-top:2.55pt;width:501.2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Additions and reductions for tax positions of prior years</w:t>
      </w:r>
      <w:r>
        <w:rPr>
          <w:rFonts w:ascii="Times New Roman" w:cs="Times New Roman" w:eastAsia="Times New Roman" w:hAnsi="Times New Roman"/>
          <w:sz w:val="20"/>
          <w:szCs w:val="20"/>
          <w:color w:val="BABCBE"/>
        </w:rPr>
        <w:t>..........................</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Foreign currency</w:t>
      </w:r>
      <w:r>
        <w:rPr>
          <w:rFonts w:ascii="Times New Roman" w:cs="Times New Roman" w:eastAsia="Times New Roman" w:hAnsi="Times New Roman"/>
          <w:sz w:val="20"/>
          <w:szCs w:val="20"/>
          <w:color w:val="BABCBE"/>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32385</wp:posOffset>
                </wp:positionV>
                <wp:extent cx="6365240" cy="18669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5240" cy="186690"/>
                        </a:xfrm>
                        <a:prstGeom prst="rect">
                          <a:avLst/>
                        </a:prstGeom>
                        <a:solidFill>
                          <a:srgbClr val="E3E4E5"/>
                        </a:solidFill>
                      </wps:spPr>
                      <wps:bodyPr/>
                    </wps:wsp>
                  </a:graphicData>
                </a:graphic>
              </wp:anchor>
            </w:drawing>
          </mc:Choice>
          <mc:Fallback>
            <w:pict>
              <v:rect id="Shape 316" o:spid="_x0000_s1341" style="position:absolute;margin-left:-0.2999pt;margin-top:2.55pt;width:501.2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 xml:space="preserve">Reduction as a result of the lapse of statute of limitations </w:t>
      </w:r>
      <w:r>
        <w:rPr>
          <w:rFonts w:ascii="Times New Roman" w:cs="Times New Roman" w:eastAsia="Times New Roman" w:hAnsi="Times New Roman"/>
          <w:sz w:val="20"/>
          <w:szCs w:val="20"/>
          <w:color w:val="BABCBE"/>
        </w:rPr>
        <w:t>........................</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231F20"/>
        </w:rPr>
        <w:t>Reduction as a result of effective settlements</w:t>
      </w:r>
      <w:r>
        <w:rPr>
          <w:rFonts w:ascii="Times New Roman" w:cs="Times New Roman" w:eastAsia="Times New Roman" w:hAnsi="Times New Roman"/>
          <w:sz w:val="20"/>
          <w:szCs w:val="20"/>
          <w:color w:val="BABCB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6378575" cy="2247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65">
                      <a:extLst>
                        <a:ext uri="{28A0092B-C50C-407E-A947-70E740481C1C}"/>
                      </a:extLst>
                    </a:blip>
                    <a:srcRect/>
                    <a:stretch>
                      <a:fillRect/>
                    </a:stretch>
                  </pic:blipFill>
                  <pic:spPr bwMode="auto">
                    <a:xfrm>
                      <a:off x="0" y="0"/>
                      <a:ext cx="6378575" cy="22479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231F20"/>
        </w:rPr>
        <w:t xml:space="preserve">Balance at December 31 </w:t>
      </w:r>
      <w:r>
        <w:rPr>
          <w:rFonts w:ascii="Times New Roman" w:cs="Times New Roman" w:eastAsia="Times New Roman" w:hAnsi="Times New Roman"/>
          <w:sz w:val="19"/>
          <w:szCs w:val="19"/>
          <w:color w:val="BABCBE"/>
        </w:rPr>
        <w:t>............................................................................</w:t>
      </w:r>
      <w:r>
        <w:rPr>
          <w:rFonts w:ascii="Times New Roman" w:cs="Times New Roman" w:eastAsia="Times New Roman" w:hAnsi="Times New Roman"/>
          <w:sz w:val="19"/>
          <w:szCs w:val="19"/>
          <w:color w:val="231F20"/>
        </w:rPr>
        <w:t xml:space="preserve"> $</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18415</wp:posOffset>
            </wp:positionV>
            <wp:extent cx="2697480"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66">
                      <a:extLst>
                        <a:ext uri="{28A0092B-C50C-407E-A947-70E740481C1C}"/>
                      </a:extLst>
                    </a:blip>
                    <a:srcRect/>
                    <a:stretch>
                      <a:fillRect/>
                    </a:stretch>
                  </pic:blipFill>
                  <pic:spPr bwMode="auto">
                    <a:xfrm>
                      <a:off x="0" y="0"/>
                      <a:ext cx="2697480" cy="1270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jc w:val="right"/>
              <w:ind w:right="504"/>
              <w:spacing w:after="0"/>
              <w:rPr>
                <w:sz w:val="20"/>
                <w:szCs w:val="20"/>
                <w:color w:val="auto"/>
              </w:rPr>
            </w:pPr>
            <w:r>
              <w:rPr>
                <w:rFonts w:ascii="Times New Roman" w:cs="Times New Roman" w:eastAsia="Times New Roman" w:hAnsi="Times New Roman"/>
                <w:sz w:val="16"/>
                <w:szCs w:val="16"/>
                <w:b w:val="1"/>
                <w:bCs w:val="1"/>
                <w:color w:val="231F20"/>
                <w:w w:val="93"/>
              </w:rPr>
              <w:t>2025</w:t>
            </w:r>
          </w:p>
        </w:tc>
        <w:tc>
          <w:tcPr>
            <w:tcW w:w="32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3"/>
        </w:trPr>
        <w:tc>
          <w:tcPr>
            <w:tcW w:w="9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101.3</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78.1</w:t>
            </w:r>
          </w:p>
        </w:tc>
      </w:tr>
      <w:tr>
        <w:trPr>
          <w:trHeight w:val="294"/>
        </w:trPr>
        <w:tc>
          <w:tcPr>
            <w:tcW w:w="9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24.1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42.4</w:t>
            </w:r>
          </w:p>
        </w:tc>
      </w:tr>
      <w:tr>
        <w:trPr>
          <w:trHeight w:val="294"/>
        </w:trPr>
        <w:tc>
          <w:tcPr>
            <w:tcW w:w="9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22.9</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r>
      <w:tr>
        <w:trPr>
          <w:trHeight w:val="294"/>
        </w:trPr>
        <w:tc>
          <w:tcPr>
            <w:tcW w:w="9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10.2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r>
      <w:tr>
        <w:trPr>
          <w:trHeight w:val="294"/>
        </w:trPr>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(13.7)</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r>
      <w:tr>
        <w:trPr>
          <w:trHeight w:val="295"/>
        </w:trPr>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(16.2)</w:t>
            </w: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8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55"/>
        </w:trPr>
        <w:tc>
          <w:tcPr>
            <w:tcW w:w="92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231F20"/>
              </w:rPr>
              <w:t>128.6</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116.9</w:t>
            </w: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r>
    </w:tbl>
    <w:p>
      <w:pPr>
        <w:spacing w:after="0" w:line="196" w:lineRule="exact"/>
        <w:rPr>
          <w:sz w:val="20"/>
          <w:szCs w:val="20"/>
          <w:color w:val="auto"/>
        </w:rPr>
      </w:pPr>
    </w:p>
    <w:p>
      <w:pPr>
        <w:sectPr>
          <w:pgSz w:w="11880" w:h="15480" w:orient="portrait"/>
          <w:cols w:equalWidth="0" w:num="2">
            <w:col w:w="5920" w:space="380"/>
            <w:col w:w="3720"/>
          </w:cols>
          <w:pgMar w:left="920" w:top="418" w:right="940" w:bottom="0" w:gutter="0" w:footer="0" w:header="0"/>
          <w:type w:val="continuous"/>
        </w:sectPr>
      </w:pPr>
    </w:p>
    <w:p>
      <w:pPr>
        <w:spacing w:after="0" w:line="249" w:lineRule="auto"/>
        <w:rPr>
          <w:sz w:val="20"/>
          <w:szCs w:val="20"/>
          <w:color w:val="auto"/>
        </w:rPr>
      </w:pPr>
      <w:r>
        <w:rPr>
          <w:rFonts w:ascii="Times New Roman" w:cs="Times New Roman" w:eastAsia="Times New Roman" w:hAnsi="Times New Roman"/>
          <w:sz w:val="20"/>
          <w:szCs w:val="20"/>
          <w:color w:val="231F20"/>
        </w:rPr>
        <w:t>During the year ended December 31, 2025, the statute of limitations on certain unrecognized tax benefits lapsed and certain positions were effectively settled, including effective settlements and revisions of prior year positions, which resulted in a decrease of $27.8 million in the liability for unrecognized tax benefits. During the year ended December 31, 2024, the statute of limitations on certain unrecognized tax benefits lapsed and certain positions were effectively settled, including effective settlements and revisions of prior year positions, which resulted in a decrease of $12.8 million in the liability for unrecognized tax benefits. During the year ended December 31, 2023, the statute of limitations on certain unrecognized tax benefits lapsed and certain positions were effectively settled, including effective settlements and revisions of prior year positions, which resulted in a decrease of $15.5 million in the liability for unrecognized tax benefits.</w:t>
      </w:r>
    </w:p>
    <w:p>
      <w:pPr>
        <w:spacing w:after="0" w:line="13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The Company recorded penalties and tax-related interest expense to the tax provision of $29.3 million, $28.6 million and $21.8 million for the years ended December 31, 2025, 2024 and 2023, respectively. During the years ended December 31, 2025, 2024 and 2023, the Company reduced its liability for penalties and income tax-related interest expense related to uncertain tax positions by $8.3 million, $10.4 million and $9.7 million, respectively, due to the expiration of the statute of limitations in certain jurisdictions and certain positions that were effectively settled.</w:t>
      </w:r>
    </w:p>
    <w:p>
      <w:pPr>
        <w:spacing w:after="0" w:line="125"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20"/>
          <w:szCs w:val="20"/>
          <w:color w:val="231F20"/>
        </w:rPr>
        <w:t>As of December 31, 2025 and 2024, the total amount of accrued income tax-related interest and penalties included in the consolidated balance sheets were $86.8 million and $58.5 million, respectively.</w:t>
      </w:r>
    </w:p>
    <w:p>
      <w:pPr>
        <w:spacing w:after="0" w:line="10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9"/>
          <w:szCs w:val="19"/>
          <w:color w:val="231F20"/>
        </w:rPr>
        <w:t>The Company has filed for prior taxable years, and for its taxable year ended December 31, 2025 will file, numerous consolidated and separate income tax returns, including U.S. federal and state tax returns and foreign tax returns. The Company is subject to examination in the United States and various state and foreign jurisdictions for certain tax years. As a result of the</w:t>
      </w:r>
    </w:p>
    <w:p>
      <w:pPr>
        <w:sectPr>
          <w:pgSz w:w="11880" w:h="15480" w:orient="portrait"/>
          <w:cols w:equalWidth="0" w:num="1">
            <w:col w:w="10020"/>
          </w:cols>
          <w:pgMar w:left="920" w:top="418" w:right="940" w:bottom="0" w:gutter="0" w:footer="0" w:header="0"/>
          <w:type w:val="continuous"/>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F-40</w:t>
      </w:r>
    </w:p>
    <w:p>
      <w:pPr>
        <w:sectPr>
          <w:pgSz w:w="11880" w:h="15480" w:orient="portrait"/>
          <w:cols w:equalWidth="0" w:num="1">
            <w:col w:w="10020"/>
          </w:cols>
          <w:pgMar w:left="920" w:top="418" w:right="940" w:bottom="0" w:gutter="0" w:footer="0" w:header="0"/>
          <w:type w:val="continuous"/>
        </w:sectPr>
      </w:pPr>
    </w:p>
    <w:bookmarkStart w:id="130" w:name="page131"/>
    <w:bookmarkEnd w:id="130"/>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480"/>
        <w:spacing w:after="0" w:line="279" w:lineRule="auto"/>
        <w:rPr>
          <w:sz w:val="20"/>
          <w:szCs w:val="20"/>
          <w:color w:val="auto"/>
        </w:rPr>
      </w:pPr>
      <w:r>
        <w:rPr>
          <w:rFonts w:ascii="Times New Roman" w:cs="Times New Roman" w:eastAsia="Times New Roman" w:hAnsi="Times New Roman"/>
          <w:sz w:val="19"/>
          <w:szCs w:val="19"/>
          <w:color w:val="231F20"/>
        </w:rPr>
        <w:t>Company’s ability to carryforward federal, state and foreign NOLs, the applicable tax years generally remain open to examination several years after the applicable loss carryforwards have been used or have expired. The Company regularly assesses the likelihood of additional assessments in each of the tax jurisdictions resulting from these examinations.</w:t>
      </w:r>
    </w:p>
    <w:p>
      <w:pPr>
        <w:spacing w:after="0" w:line="133"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12.</w:t>
      </w:r>
      <w:r>
        <w:rPr>
          <w:sz w:val="20"/>
          <w:szCs w:val="20"/>
          <w:color w:val="auto"/>
        </w:rPr>
        <w:tab/>
      </w:r>
      <w:r>
        <w:rPr>
          <w:rFonts w:ascii="Times New Roman" w:cs="Times New Roman" w:eastAsia="Times New Roman" w:hAnsi="Times New Roman"/>
          <w:sz w:val="19"/>
          <w:szCs w:val="19"/>
          <w:b w:val="1"/>
          <w:bCs w:val="1"/>
          <w:color w:val="231F20"/>
        </w:rPr>
        <w:t>STOCK-BASED COMPENSATION</w:t>
      </w:r>
    </w:p>
    <w:p>
      <w:pPr>
        <w:spacing w:after="0" w:line="207" w:lineRule="exact"/>
        <w:rPr>
          <w:sz w:val="20"/>
          <w:szCs w:val="20"/>
          <w:color w:val="auto"/>
        </w:rPr>
      </w:pPr>
    </w:p>
    <w:p>
      <w:pPr>
        <w:ind w:left="7"/>
        <w:spacing w:after="0" w:line="247" w:lineRule="auto"/>
        <w:rPr>
          <w:sz w:val="20"/>
          <w:szCs w:val="20"/>
          <w:color w:val="auto"/>
        </w:rPr>
      </w:pPr>
      <w:r>
        <w:rPr>
          <w:rFonts w:ascii="Times New Roman" w:cs="Times New Roman" w:eastAsia="Times New Roman" w:hAnsi="Times New Roman"/>
          <w:sz w:val="20"/>
          <w:szCs w:val="20"/>
          <w:i w:val="1"/>
          <w:iCs w:val="1"/>
          <w:color w:val="231F20"/>
        </w:rPr>
        <w:t>Summary of Stock-Based Compensation Plans</w:t>
      </w:r>
      <w:r>
        <w:rPr>
          <w:rFonts w:ascii="Times New Roman" w:cs="Times New Roman" w:eastAsia="Times New Roman" w:hAnsi="Times New Roman"/>
          <w:sz w:val="20"/>
          <w:szCs w:val="20"/>
          <w:color w:val="231F20"/>
        </w:rPr>
        <w:t>—The Company maintains equity incentive plans that provide for the grant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stock-based awards to its directors, officers and employees. The Company’s 2007 Equity Incentive Plan, as amended (the “2007 Plan”), provides for the grant of non-qualified and incentive stock options, as well as restricted stock units, restricted stock and other stock-based awards. Exercise prices for non-qualified and incentive stock options are not less than the fair value of the underlying common stock on the date of grant. Equity awards typically vest ratably. Awards granted prior to March 10, 2023 generally vest over four years for RSUs and stock options. In December 2022, the Compensation Committee changed the terms of its awards to generally vest over three years. The change in vesting terms is applicable for new awards granted beginning on March 10, 2023 and does not change the vesting terms applicable to grants awarded prior to March 10, 2023. PSUs generally vest over three years. Stock options generally expire ten years from the date of grant. As of December 31, 2025, the Company had the ability to grant stock-based awards with respect to an aggregate of 2.7 million shares of common stock under the 2007 Plan. In addition, the Company maintains an employee stock purchase plan (the “ESPP”) pursuant to which eligible employees may purchase shares of the Company’s common stock on the last day of each bi-annual offering period at a 15% discount from the lower of the closing market value on the first or last day of such offering period. The offering periods run from June 1 through November 30 and from December 1 through May 31 of each year.</w:t>
      </w:r>
    </w:p>
    <w:p>
      <w:pPr>
        <w:spacing w:after="0" w:line="216" w:lineRule="exact"/>
        <w:rPr>
          <w:sz w:val="20"/>
          <w:szCs w:val="20"/>
          <w:color w:val="auto"/>
        </w:rPr>
      </w:pPr>
    </w:p>
    <w:p>
      <w:pPr>
        <w:ind w:left="7" w:right="280"/>
        <w:spacing w:after="0" w:line="273" w:lineRule="auto"/>
        <w:rPr>
          <w:sz w:val="20"/>
          <w:szCs w:val="20"/>
          <w:color w:val="auto"/>
        </w:rPr>
      </w:pPr>
      <w:r>
        <w:rPr>
          <w:rFonts w:ascii="Times New Roman" w:cs="Times New Roman" w:eastAsia="Times New Roman" w:hAnsi="Times New Roman"/>
          <w:sz w:val="20"/>
          <w:szCs w:val="20"/>
          <w:color w:val="231F20"/>
        </w:rPr>
        <w:t>During the years ended December 31, 2025, 2024 and 2023, the Company recorded the following stock-based compensation expenses in selling, general, administrative and development expense:</w:t>
      </w:r>
    </w:p>
    <w:p>
      <w:pPr>
        <w:spacing w:after="0" w:line="3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36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231F20"/>
              </w:rPr>
              <w:t>2025 (2)</w:t>
            </w:r>
          </w:p>
        </w:tc>
        <w:tc>
          <w:tcPr>
            <w:tcW w:w="6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231F20"/>
              </w:rPr>
              <w:t>2024 (2)</w:t>
            </w:r>
          </w:p>
        </w:tc>
        <w:tc>
          <w:tcPr>
            <w:tcW w:w="8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940" w:type="dxa"/>
            <w:vAlign w:val="bottom"/>
            <w:tcBorders>
              <w:bottom w:val="single" w:sz="8" w:color="231F20"/>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231F20"/>
              </w:rPr>
              <w:t>2023 (3)</w:t>
            </w:r>
          </w:p>
        </w:tc>
      </w:tr>
      <w:tr>
        <w:trPr>
          <w:trHeight w:val="284"/>
        </w:trPr>
        <w:tc>
          <w:tcPr>
            <w:tcW w:w="63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Stock-based compensation expense (1) </w:t>
            </w:r>
            <w:r>
              <w:rPr>
                <w:rFonts w:ascii="Times New Roman" w:cs="Times New Roman" w:eastAsia="Times New Roman" w:hAnsi="Times New Roman"/>
                <w:sz w:val="20"/>
                <w:szCs w:val="20"/>
                <w:color w:val="BABCBE"/>
                <w:w w:val="98"/>
              </w:rPr>
              <w:t>.................................................................</w:t>
            </w:r>
          </w:p>
        </w:tc>
        <w:tc>
          <w:tcPr>
            <w:tcW w:w="24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174.2</w:t>
            </w:r>
          </w:p>
        </w:tc>
        <w:tc>
          <w:tcPr>
            <w:tcW w:w="30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32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-198755</wp:posOffset>
            </wp:positionV>
            <wp:extent cx="235902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67">
                      <a:extLst>
                        <a:ext uri="{28A0092B-C50C-407E-A947-70E740481C1C}"/>
                      </a:extLst>
                    </a:blip>
                    <a:srcRect/>
                    <a:stretch>
                      <a:fillRect/>
                    </a:stretch>
                  </pic:blipFill>
                  <pic:spPr bwMode="auto">
                    <a:xfrm>
                      <a:off x="0" y="0"/>
                      <a:ext cx="2359025" cy="25400"/>
                    </a:xfrm>
                    <a:prstGeom prst="rect">
                      <a:avLst/>
                    </a:prstGeom>
                    <a:noFill/>
                  </pic:spPr>
                </pic:pic>
              </a:graphicData>
            </a:graphic>
          </wp:anchor>
        </w:drawing>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right="80" w:hanging="347"/>
        <w:spacing w:after="0" w:line="245" w:lineRule="auto"/>
        <w:tabs>
          <w:tab w:leader="none" w:pos="347" w:val="left"/>
        </w:tabs>
        <w:numPr>
          <w:ilvl w:val="0"/>
          <w:numId w:val="10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the reversal of $7.1 million of previously recognized stock-based compensation expense associated with awards forfeited in connection with the departure of the Company’s former Executive Vice President and President, APAC due to such role being eliminated. For the years ended December 31, 2024 and 2023, excludes $10.9 million and $12.4 million, respectively, of stock-based compensation expense related to ATC TIPL (as defined in note 21), which is included in Loss from discontinued operations, net of taxes in the accompanying consolidated statements of operations.</w:t>
      </w:r>
    </w:p>
    <w:p>
      <w:pPr>
        <w:spacing w:after="0" w:line="1" w:lineRule="exact"/>
        <w:rPr>
          <w:rFonts w:ascii="Times New Roman" w:cs="Times New Roman" w:eastAsia="Times New Roman" w:hAnsi="Times New Roman"/>
          <w:sz w:val="16"/>
          <w:szCs w:val="16"/>
          <w:color w:val="231F20"/>
        </w:rPr>
      </w:pPr>
    </w:p>
    <w:p>
      <w:pPr>
        <w:ind w:left="347" w:hanging="347"/>
        <w:spacing w:after="0" w:line="261" w:lineRule="auto"/>
        <w:tabs>
          <w:tab w:leader="none" w:pos="347" w:val="left"/>
        </w:tabs>
        <w:numPr>
          <w:ilvl w:val="0"/>
          <w:numId w:val="10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For the years ended December 31, 2025 and 2024, includes $4.7 million and $11.5 million, respectively, of accelerated stock-based compensation expense related to unvested and outstanding awards for certain former employees that vested upon termination in accordance with the Company’s severance plan.</w:t>
      </w:r>
    </w:p>
    <w:p>
      <w:pPr>
        <w:spacing w:after="0" w:line="1" w:lineRule="exact"/>
        <w:rPr>
          <w:rFonts w:ascii="Times New Roman" w:cs="Times New Roman" w:eastAsia="Times New Roman" w:hAnsi="Times New Roman"/>
          <w:sz w:val="15"/>
          <w:szCs w:val="15"/>
          <w:color w:val="231F20"/>
        </w:rPr>
      </w:pPr>
    </w:p>
    <w:p>
      <w:pPr>
        <w:ind w:left="347" w:right="240" w:hanging="347"/>
        <w:spacing w:after="0" w:line="283" w:lineRule="auto"/>
        <w:tabs>
          <w:tab w:leader="none" w:pos="347" w:val="left"/>
        </w:tabs>
        <w:numPr>
          <w:ilvl w:val="0"/>
          <w:numId w:val="10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For the year ended December 31, 2023, excludes $7.6 million of stock-based compensation expense related to severance incurred as part of the Company’s restructuring plan as discussed in note 15 recorded in Other operating expense in the accompanying consolidated statements of operations.</w:t>
      </w:r>
    </w:p>
    <w:p>
      <w:pPr>
        <w:spacing w:after="0" w:line="95" w:lineRule="exact"/>
        <w:rPr>
          <w:sz w:val="20"/>
          <w:szCs w:val="20"/>
          <w:color w:val="auto"/>
        </w:rPr>
      </w:pPr>
    </w:p>
    <w:p>
      <w:pPr>
        <w:ind w:left="7" w:right="40"/>
        <w:spacing w:after="0" w:line="260" w:lineRule="auto"/>
        <w:rPr>
          <w:sz w:val="20"/>
          <w:szCs w:val="20"/>
          <w:color w:val="auto"/>
        </w:rPr>
      </w:pPr>
      <w:r>
        <w:rPr>
          <w:rFonts w:ascii="Times New Roman" w:cs="Times New Roman" w:eastAsia="Times New Roman" w:hAnsi="Times New Roman"/>
          <w:sz w:val="20"/>
          <w:szCs w:val="20"/>
          <w:i w:val="1"/>
          <w:iCs w:val="1"/>
          <w:color w:val="231F20"/>
        </w:rPr>
        <w:t>Stock Options</w:t>
      </w:r>
      <w:r>
        <w:rPr>
          <w:rFonts w:ascii="Times New Roman" w:cs="Times New Roman" w:eastAsia="Times New Roman" w:hAnsi="Times New Roman"/>
          <w:sz w:val="20"/>
          <w:szCs w:val="20"/>
          <w:color w:val="231F20"/>
        </w:rPr>
        <w:t>—There were no options granted during the years ended December 31, 2025, 2024 and 2023. The fair values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previously granted stock options were estimated on the date of grant using the Black-Scholes option pricing model based on the assumptions at the date of grant.</w:t>
      </w:r>
    </w:p>
    <w:p>
      <w:pPr>
        <w:spacing w:after="0" w:line="117" w:lineRule="exact"/>
        <w:rPr>
          <w:sz w:val="20"/>
          <w:szCs w:val="20"/>
          <w:color w:val="auto"/>
        </w:rPr>
      </w:pPr>
    </w:p>
    <w:p>
      <w:pPr>
        <w:ind w:left="7" w:right="100"/>
        <w:spacing w:after="0" w:line="254" w:lineRule="auto"/>
        <w:rPr>
          <w:sz w:val="20"/>
          <w:szCs w:val="20"/>
          <w:color w:val="auto"/>
        </w:rPr>
      </w:pPr>
      <w:r>
        <w:rPr>
          <w:rFonts w:ascii="Times New Roman" w:cs="Times New Roman" w:eastAsia="Times New Roman" w:hAnsi="Times New Roman"/>
          <w:sz w:val="20"/>
          <w:szCs w:val="20"/>
          <w:color w:val="231F20"/>
        </w:rPr>
        <w:t>The intrinsic value of stock options exercised during the years ended December 31, 2025, 2024 and 2023 was $31.0 million, $43.3 million and $9.3 million, respectively. As of December 31, 2025, there was no unrecognized compensation expense related to unvested stock options. The amount of cash received from the exercise of stock options was $26.8 million during the year ended December 31, 2025.</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F-41</w:t>
      </w:r>
    </w:p>
    <w:p>
      <w:pPr>
        <w:sectPr>
          <w:pgSz w:w="11880" w:h="15480" w:orient="portrait"/>
          <w:cols w:equalWidth="0" w:num="1">
            <w:col w:w="10047"/>
          </w:cols>
          <w:pgMar w:left="913" w:top="418" w:right="920" w:bottom="0" w:gutter="0" w:footer="0" w:header="0"/>
          <w:type w:val="continuous"/>
        </w:sectPr>
      </w:pPr>
    </w:p>
    <w:bookmarkStart w:id="131" w:name="page132"/>
    <w:bookmarkEnd w:id="131"/>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40"/>
        <w:spacing w:after="0" w:line="273" w:lineRule="auto"/>
        <w:rPr>
          <w:sz w:val="20"/>
          <w:szCs w:val="20"/>
          <w:color w:val="auto"/>
        </w:rPr>
      </w:pPr>
      <w:r>
        <w:rPr>
          <w:rFonts w:ascii="Times New Roman" w:cs="Times New Roman" w:eastAsia="Times New Roman" w:hAnsi="Times New Roman"/>
          <w:sz w:val="20"/>
          <w:szCs w:val="20"/>
          <w:color w:val="231F20"/>
        </w:rPr>
        <w:t>The Company’s option activity for the year ended December 31, 2025 was as follows (share and per share data disclosed in full amounts):</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231F20"/>
                <w:w w:val="97"/>
              </w:rPr>
              <w:t>Weighted</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Weighted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6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Average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rPr>
              <w:t>Aggregate</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400" w:type="dxa"/>
            <w:vAlign w:val="bottom"/>
            <w:vMerge w:val="restart"/>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6"/>
                <w:szCs w:val="16"/>
                <w:b w:val="1"/>
                <w:bCs w:val="1"/>
                <w:color w:val="231F20"/>
                <w:w w:val="98"/>
              </w:rPr>
              <w:t>Exercise Price</w:t>
            </w:r>
          </w:p>
        </w:tc>
        <w:tc>
          <w:tcPr>
            <w:tcW w:w="6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9"/>
              </w:rPr>
              <w:t>Remaining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E3E4E5"/>
            </w:tcBorders>
          </w:tcPr>
          <w:p>
            <w:pPr>
              <w:spacing w:after="0"/>
              <w:rPr>
                <w:sz w:val="18"/>
                <w:szCs w:val="18"/>
                <w:color w:val="auto"/>
              </w:rPr>
            </w:pPr>
          </w:p>
        </w:tc>
        <w:tc>
          <w:tcPr>
            <w:tcW w:w="140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7"/>
              </w:rPr>
              <w:t>Per Share</w:t>
            </w:r>
          </w:p>
        </w:tc>
        <w:tc>
          <w:tcPr>
            <w:tcW w:w="60" w:type="dxa"/>
            <w:vAlign w:val="bottom"/>
            <w:tcBorders>
              <w:bottom w:val="single" w:sz="8" w:color="E3E4E5"/>
            </w:tcBorders>
          </w:tcPr>
          <w:p>
            <w:pPr>
              <w:spacing w:after="0"/>
              <w:rPr>
                <w:sz w:val="18"/>
                <w:szCs w:val="18"/>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Life (Years)</w:t>
            </w:r>
          </w:p>
        </w:tc>
        <w:tc>
          <w:tcPr>
            <w:tcW w:w="80" w:type="dxa"/>
            <w:vAlign w:val="bottom"/>
            <w:tcBorders>
              <w:bottom w:val="single" w:sz="8" w:color="E3E4E5"/>
            </w:tcBorders>
          </w:tcPr>
          <w:p>
            <w:pPr>
              <w:spacing w:after="0"/>
              <w:rPr>
                <w:sz w:val="18"/>
                <w:szCs w:val="18"/>
                <w:color w:val="auto"/>
              </w:rPr>
            </w:pPr>
          </w:p>
        </w:tc>
        <w:tc>
          <w:tcPr>
            <w:tcW w:w="11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Intrinsic Value</w:t>
            </w:r>
          </w:p>
        </w:tc>
        <w:tc>
          <w:tcPr>
            <w:tcW w:w="0" w:type="dxa"/>
            <w:vAlign w:val="bottom"/>
          </w:tcPr>
          <w:p>
            <w:pPr>
              <w:spacing w:after="0"/>
              <w:rPr>
                <w:sz w:val="1"/>
                <w:szCs w:val="1"/>
                <w:color w:val="auto"/>
              </w:rPr>
            </w:pPr>
          </w:p>
        </w:tc>
      </w:tr>
      <w:tr>
        <w:trPr>
          <w:trHeight w:val="284"/>
        </w:trPr>
        <w:tc>
          <w:tcPr>
            <w:tcW w:w="482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w w:val="98"/>
              </w:rPr>
              <w:t>Outstanding as of January 1, 2025</w:t>
            </w:r>
            <w:r>
              <w:rPr>
                <w:rFonts w:ascii="Times New Roman" w:cs="Times New Roman" w:eastAsia="Times New Roman" w:hAnsi="Times New Roman"/>
                <w:sz w:val="20"/>
                <w:szCs w:val="20"/>
                <w:color w:val="BABCBE"/>
                <w:w w:val="98"/>
              </w:rPr>
              <w:t>........................................</w:t>
            </w: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416,672</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94.79</w:t>
            </w:r>
          </w:p>
        </w:tc>
        <w:tc>
          <w:tcPr>
            <w:tcW w:w="6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w w:val="98"/>
              </w:rPr>
              <w:t xml:space="preserve">Granted </w:t>
            </w:r>
            <w:r>
              <w:rPr>
                <w:rFonts w:ascii="Times New Roman" w:cs="Times New Roman" w:eastAsia="Times New Roman" w:hAnsi="Times New Roman"/>
                <w:sz w:val="20"/>
                <w:szCs w:val="20"/>
                <w:color w:val="BABCBE"/>
                <w:w w:val="9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20" w:type="dxa"/>
            <w:vAlign w:val="bottom"/>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w w:val="98"/>
              </w:rPr>
              <w:t>Exercised</w:t>
            </w:r>
            <w:r>
              <w:rPr>
                <w:rFonts w:ascii="Times New Roman" w:cs="Times New Roman" w:eastAsia="Times New Roman" w:hAnsi="Times New Roman"/>
                <w:sz w:val="20"/>
                <w:szCs w:val="20"/>
                <w:color w:val="BABCBE"/>
                <w:w w:val="98"/>
              </w:rPr>
              <w:t>...............................................................................</w:t>
            </w:r>
          </w:p>
        </w:tc>
        <w:tc>
          <w:tcPr>
            <w:tcW w:w="1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(283,049)</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94.77</w:t>
            </w:r>
          </w:p>
        </w:tc>
        <w:tc>
          <w:tcPr>
            <w:tcW w:w="60" w:type="dxa"/>
            <w:vAlign w:val="bottom"/>
            <w:shd w:val="clear" w:color="auto" w:fill="E3E4E5"/>
          </w:tcPr>
          <w:p>
            <w:pPr>
              <w:spacing w:after="0"/>
              <w:rPr>
                <w:sz w:val="24"/>
                <w:szCs w:val="24"/>
                <w:color w:val="auto"/>
              </w:rPr>
            </w:pPr>
          </w:p>
        </w:tc>
        <w:tc>
          <w:tcPr>
            <w:tcW w:w="10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00" w:type="dxa"/>
            <w:vAlign w:val="bottom"/>
            <w:shd w:val="clear" w:color="auto" w:fill="E3E4E5"/>
          </w:tcPr>
          <w:p>
            <w:pPr>
              <w:spacing w:after="0"/>
              <w:rPr>
                <w:sz w:val="24"/>
                <w:szCs w:val="24"/>
                <w:color w:val="auto"/>
              </w:rPr>
            </w:pPr>
          </w:p>
        </w:tc>
        <w:tc>
          <w:tcPr>
            <w:tcW w:w="98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w w:val="98"/>
              </w:rPr>
              <w:t>Forfeited</w:t>
            </w:r>
            <w:r>
              <w:rPr>
                <w:rFonts w:ascii="Times New Roman" w:cs="Times New Roman" w:eastAsia="Times New Roman" w:hAnsi="Times New Roman"/>
                <w:sz w:val="20"/>
                <w:szCs w:val="20"/>
                <w:color w:val="BABCBE"/>
                <w:w w:val="9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20" w:type="dxa"/>
            <w:vAlign w:val="bottom"/>
            <w:tcBorders>
              <w:bottom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w w:val="98"/>
              </w:rPr>
              <w:t>Expired</w:t>
            </w:r>
            <w:r>
              <w:rPr>
                <w:rFonts w:ascii="Times New Roman" w:cs="Times New Roman" w:eastAsia="Times New Roman" w:hAnsi="Times New Roman"/>
                <w:sz w:val="20"/>
                <w:szCs w:val="20"/>
                <w:color w:val="BABCBE"/>
                <w:w w:val="98"/>
              </w:rPr>
              <w:t>..................................................................................</w:t>
            </w:r>
          </w:p>
        </w:tc>
        <w:tc>
          <w:tcPr>
            <w:tcW w:w="14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3E4E5"/>
            </w:tcBorders>
            <w:shd w:val="clear" w:color="auto" w:fill="E3E4E5"/>
          </w:tcPr>
          <w:p>
            <w:pPr>
              <w:spacing w:after="0"/>
              <w:rPr>
                <w:sz w:val="24"/>
                <w:szCs w:val="24"/>
                <w:color w:val="auto"/>
              </w:rPr>
            </w:pPr>
          </w:p>
        </w:tc>
        <w:tc>
          <w:tcPr>
            <w:tcW w:w="160" w:type="dxa"/>
            <w:vAlign w:val="bottom"/>
            <w:tcBorders>
              <w:bottom w:val="single" w:sz="8" w:color="E3E4E5"/>
            </w:tcBorders>
            <w:shd w:val="clear" w:color="auto" w:fill="E3E4E5"/>
          </w:tcPr>
          <w:p>
            <w:pPr>
              <w:spacing w:after="0"/>
              <w:rPr>
                <w:sz w:val="24"/>
                <w:szCs w:val="24"/>
                <w:color w:val="auto"/>
              </w:rPr>
            </w:pPr>
          </w:p>
        </w:tc>
        <w:tc>
          <w:tcPr>
            <w:tcW w:w="11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shd w:val="clear" w:color="auto" w:fill="E3E4E5"/>
          </w:tcPr>
          <w:p>
            <w:pPr>
              <w:spacing w:after="0"/>
              <w:rPr>
                <w:sz w:val="24"/>
                <w:szCs w:val="24"/>
                <w:color w:val="auto"/>
              </w:rPr>
            </w:pPr>
          </w:p>
        </w:tc>
        <w:tc>
          <w:tcPr>
            <w:tcW w:w="1000" w:type="dxa"/>
            <w:vAlign w:val="bottom"/>
            <w:tcBorders>
              <w:bottom w:val="single" w:sz="8" w:color="E3E4E5"/>
            </w:tcBorders>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00" w:type="dxa"/>
            <w:vAlign w:val="bottom"/>
            <w:tcBorders>
              <w:bottom w:val="single" w:sz="8" w:color="E3E4E5"/>
            </w:tcBorders>
            <w:shd w:val="clear" w:color="auto" w:fill="E3E4E5"/>
          </w:tcPr>
          <w:p>
            <w:pPr>
              <w:spacing w:after="0"/>
              <w:rPr>
                <w:sz w:val="24"/>
                <w:szCs w:val="24"/>
                <w:color w:val="auto"/>
              </w:rPr>
            </w:pPr>
          </w:p>
        </w:tc>
        <w:tc>
          <w:tcPr>
            <w:tcW w:w="980" w:type="dxa"/>
            <w:vAlign w:val="bottom"/>
            <w:tcBorders>
              <w:bottom w:val="single" w:sz="8" w:color="E3E4E5"/>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w w:val="98"/>
              </w:rPr>
              <w:t>Outstanding as of December 31, 2025</w:t>
            </w:r>
            <w:r>
              <w:rPr>
                <w:rFonts w:ascii="Times New Roman" w:cs="Times New Roman" w:eastAsia="Times New Roman" w:hAnsi="Times New Roman"/>
                <w:sz w:val="20"/>
                <w:szCs w:val="20"/>
                <w:color w:val="BABCBE"/>
                <w:w w:val="9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65"/>
        </w:trPr>
        <w:tc>
          <w:tcPr>
            <w:tcW w:w="4820" w:type="dxa"/>
            <w:vAlign w:val="bottom"/>
            <w:tcBorders>
              <w:top w:val="single" w:sz="8" w:color="E3E4E5"/>
            </w:tcBorders>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ExercisableasofDecember31,2025</w:t>
            </w:r>
          </w:p>
        </w:tc>
        <w:tc>
          <w:tcPr>
            <w:tcW w:w="14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80" w:type="dxa"/>
            <w:vAlign w:val="bottom"/>
            <w:tcBorders>
              <w:top w:val="single" w:sz="8" w:color="E3E4E5"/>
            </w:tcBorders>
            <w:shd w:val="clear" w:color="auto" w:fill="E3E4E5"/>
          </w:tcPr>
          <w:p>
            <w:pPr>
              <w:spacing w:after="0"/>
              <w:rPr>
                <w:sz w:val="23"/>
                <w:szCs w:val="23"/>
                <w:color w:val="auto"/>
              </w:rPr>
            </w:pPr>
          </w:p>
        </w:tc>
        <w:tc>
          <w:tcPr>
            <w:tcW w:w="1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60" w:type="dxa"/>
            <w:vAlign w:val="bottom"/>
            <w:tcBorders>
              <w:top w:val="single" w:sz="8" w:color="E3E4E5"/>
            </w:tcBorders>
            <w:shd w:val="clear" w:color="auto" w:fill="E3E4E5"/>
          </w:tcPr>
          <w:p>
            <w:pPr>
              <w:spacing w:after="0"/>
              <w:rPr>
                <w:sz w:val="23"/>
                <w:szCs w:val="23"/>
                <w:color w:val="auto"/>
              </w:rPr>
            </w:pPr>
          </w:p>
        </w:tc>
        <w:tc>
          <w:tcPr>
            <w:tcW w:w="10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tcBorders>
              <w:top w:val="single" w:sz="8" w:color="E3E4E5"/>
            </w:tcBorders>
            <w:shd w:val="clear" w:color="auto" w:fill="E3E4E5"/>
          </w:tcPr>
          <w:p>
            <w:pPr>
              <w:spacing w:after="0"/>
              <w:rPr>
                <w:sz w:val="23"/>
                <w:szCs w:val="23"/>
                <w:color w:val="auto"/>
              </w:rPr>
            </w:pPr>
          </w:p>
        </w:tc>
        <w:tc>
          <w:tcPr>
            <w:tcW w:w="2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82"/>
        </w:trPr>
        <w:tc>
          <w:tcPr>
            <w:tcW w:w="4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w w:val="97"/>
              </w:rPr>
              <w:t xml:space="preserve">Vested as of December 31, 2025 </w:t>
            </w:r>
            <w:r>
              <w:rPr>
                <w:rFonts w:ascii="Times New Roman" w:cs="Times New Roman" w:eastAsia="Times New Roman" w:hAnsi="Times New Roman"/>
                <w:sz w:val="20"/>
                <w:szCs w:val="20"/>
                <w:color w:val="BABCBE"/>
                <w:w w:val="97"/>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-1497965</wp:posOffset>
            </wp:positionV>
            <wp:extent cx="32645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68">
                      <a:extLst>
                        <a:ext uri="{28A0092B-C50C-407E-A947-70E740481C1C}"/>
                      </a:extLst>
                    </a:blip>
                    <a:srcRect/>
                    <a:stretch>
                      <a:fillRect/>
                    </a:stretch>
                  </pic:blipFill>
                  <pic:spPr bwMode="auto">
                    <a:xfrm>
                      <a:off x="0" y="0"/>
                      <a:ext cx="3264535" cy="2540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-564515</wp:posOffset>
            </wp:positionV>
            <wp:extent cx="92138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69">
                      <a:extLst>
                        <a:ext uri="{28A0092B-C50C-407E-A947-70E740481C1C}"/>
                      </a:extLst>
                    </a:blip>
                    <a:srcRect/>
                    <a:stretch>
                      <a:fillRect/>
                    </a:stretch>
                  </pic:blipFill>
                  <pic:spPr bwMode="auto">
                    <a:xfrm>
                      <a:off x="0" y="0"/>
                      <a:ext cx="921385" cy="2540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-390525</wp:posOffset>
            </wp:positionV>
            <wp:extent cx="3264535" cy="501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70">
                      <a:extLst>
                        <a:ext uri="{28A0092B-C50C-407E-A947-70E740481C1C}"/>
                      </a:extLst>
                    </a:blip>
                    <a:srcRect/>
                    <a:stretch>
                      <a:fillRect/>
                    </a:stretch>
                  </pic:blipFill>
                  <pic:spPr bwMode="auto">
                    <a:xfrm>
                      <a:off x="0" y="0"/>
                      <a:ext cx="3264535" cy="50165"/>
                    </a:xfrm>
                    <a:prstGeom prst="rect">
                      <a:avLst/>
                    </a:prstGeom>
                    <a:noFill/>
                  </pic:spPr>
                </pic:pic>
              </a:graphicData>
            </a:graphic>
          </wp:anchor>
        </w:drawing>
      </w:r>
    </w:p>
    <w:p>
      <w:pPr>
        <w:spacing w:after="0" w:line="186" w:lineRule="exact"/>
        <w:rPr>
          <w:sz w:val="20"/>
          <w:szCs w:val="20"/>
          <w:color w:val="auto"/>
        </w:rPr>
      </w:pPr>
    </w:p>
    <w:p>
      <w:pPr>
        <w:ind w:left="7" w:right="600"/>
        <w:spacing w:after="0" w:line="273" w:lineRule="auto"/>
        <w:rPr>
          <w:sz w:val="20"/>
          <w:szCs w:val="20"/>
          <w:color w:val="auto"/>
        </w:rPr>
      </w:pPr>
      <w:r>
        <w:rPr>
          <w:rFonts w:ascii="Times New Roman" w:cs="Times New Roman" w:eastAsia="Times New Roman" w:hAnsi="Times New Roman"/>
          <w:sz w:val="20"/>
          <w:szCs w:val="20"/>
          <w:color w:val="231F20"/>
        </w:rPr>
        <w:t>The following table sets forth information regarding options outstanding at December 31, 2025 (share and per share data disclosed in full amounts):</w:t>
      </w:r>
    </w:p>
    <w:p>
      <w:pPr>
        <w:spacing w:after="0" w:line="3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1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3280" w:type="dxa"/>
            <w:vAlign w:val="bottom"/>
            <w:tcBorders>
              <w:bottom w:val="single" w:sz="8" w:color="231F20"/>
            </w:tcBorders>
            <w:gridSpan w:val="4"/>
          </w:tcPr>
          <w:p>
            <w:pPr>
              <w:jc w:val="right"/>
              <w:ind w:right="834"/>
              <w:spacing w:after="0"/>
              <w:rPr>
                <w:sz w:val="20"/>
                <w:szCs w:val="20"/>
                <w:color w:val="auto"/>
              </w:rPr>
            </w:pPr>
            <w:r>
              <w:rPr>
                <w:rFonts w:ascii="Times New Roman" w:cs="Times New Roman" w:eastAsia="Times New Roman" w:hAnsi="Times New Roman"/>
                <w:sz w:val="16"/>
                <w:szCs w:val="16"/>
                <w:b w:val="1"/>
                <w:bCs w:val="1"/>
                <w:color w:val="231F20"/>
              </w:rPr>
              <w:t>Options Outstanding</w:t>
            </w:r>
          </w:p>
        </w:tc>
        <w:tc>
          <w:tcPr>
            <w:tcW w:w="80" w:type="dxa"/>
            <w:vAlign w:val="bottom"/>
            <w:tcBorders>
              <w:bottom w:val="single" w:sz="8" w:color="231F20"/>
            </w:tcBorders>
          </w:tcPr>
          <w:p>
            <w:pPr>
              <w:spacing w:after="0"/>
              <w:rPr>
                <w:sz w:val="18"/>
                <w:szCs w:val="18"/>
                <w:color w:val="auto"/>
              </w:rPr>
            </w:pPr>
          </w:p>
        </w:tc>
        <w:tc>
          <w:tcPr>
            <w:tcW w:w="1600" w:type="dxa"/>
            <w:vAlign w:val="bottom"/>
            <w:tcBorders>
              <w:bottom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Borders>
              <w:bottom w:val="single" w:sz="8" w:color="231F20"/>
            </w:tcBorders>
            <w:gridSpan w:val="4"/>
          </w:tcPr>
          <w:p>
            <w:pPr>
              <w:jc w:val="right"/>
              <w:ind w:right="894"/>
              <w:spacing w:after="0"/>
              <w:rPr>
                <w:sz w:val="20"/>
                <w:szCs w:val="20"/>
                <w:color w:val="auto"/>
              </w:rPr>
            </w:pPr>
            <w:r>
              <w:rPr>
                <w:rFonts w:ascii="Times New Roman" w:cs="Times New Roman" w:eastAsia="Times New Roman" w:hAnsi="Times New Roman"/>
                <w:sz w:val="16"/>
                <w:szCs w:val="16"/>
                <w:b w:val="1"/>
                <w:bCs w:val="1"/>
                <w:color w:val="231F20"/>
              </w:rPr>
              <w:t>Options Exercisable</w:t>
            </w:r>
          </w:p>
        </w:tc>
        <w:tc>
          <w:tcPr>
            <w:tcW w:w="0" w:type="dxa"/>
            <w:vAlign w:val="bottom"/>
          </w:tcPr>
          <w:p>
            <w:pPr>
              <w:spacing w:after="0"/>
              <w:rPr>
                <w:sz w:val="1"/>
                <w:szCs w:val="1"/>
                <w:color w:val="auto"/>
              </w:rPr>
            </w:pPr>
          </w:p>
        </w:tc>
      </w:tr>
      <w:tr>
        <w:trPr>
          <w:trHeight w:val="187"/>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Range of Exercise</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Outstanding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231F20"/>
                <w:w w:val="97"/>
              </w:rPr>
              <w:t>Weighted</w:t>
            </w: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Weighted Average</w:t>
            </w:r>
          </w:p>
        </w:tc>
        <w:tc>
          <w:tcPr>
            <w:tcW w:w="80" w:type="dxa"/>
            <w:vAlign w:val="bottom"/>
          </w:tcPr>
          <w:p>
            <w:pPr>
              <w:spacing w:after="0"/>
              <w:rPr>
                <w:sz w:val="16"/>
                <w:szCs w:val="16"/>
                <w:color w:val="auto"/>
              </w:rPr>
            </w:pPr>
          </w:p>
        </w:tc>
        <w:tc>
          <w:tcPr>
            <w:tcW w:w="1600" w:type="dxa"/>
            <w:vAlign w:val="bottom"/>
            <w:vMerge w:val="restart"/>
          </w:tcPr>
          <w:p>
            <w:pPr>
              <w:jc w:val="right"/>
              <w:ind w:right="457"/>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231F20"/>
                <w:w w:val="97"/>
              </w:rPr>
              <w:t>Weighted</w:t>
            </w:r>
          </w:p>
        </w:tc>
        <w:tc>
          <w:tcPr>
            <w:tcW w:w="0" w:type="dxa"/>
            <w:vAlign w:val="bottom"/>
          </w:tcPr>
          <w:p>
            <w:pPr>
              <w:spacing w:after="0"/>
              <w:rPr>
                <w:sz w:val="1"/>
                <w:szCs w:val="1"/>
                <w:color w:val="auto"/>
              </w:rPr>
            </w:pPr>
          </w:p>
        </w:tc>
      </w:tr>
      <w:tr>
        <w:trPr>
          <w:trHeight w:val="157"/>
        </w:trPr>
        <w:tc>
          <w:tcPr>
            <w:tcW w:w="1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9"/>
              </w:rPr>
              <w:t>Number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line="157" w:lineRule="exact"/>
              <w:rPr>
                <w:sz w:val="20"/>
                <w:szCs w:val="20"/>
                <w:color w:val="auto"/>
              </w:rPr>
            </w:pPr>
            <w:r>
              <w:rPr>
                <w:rFonts w:ascii="Times New Roman" w:cs="Times New Roman" w:eastAsia="Times New Roman" w:hAnsi="Times New Roman"/>
                <w:sz w:val="16"/>
                <w:szCs w:val="16"/>
                <w:b w:val="1"/>
                <w:bCs w:val="1"/>
                <w:color w:val="231F20"/>
                <w:w w:val="97"/>
              </w:rPr>
              <w:t>Average Exercise</w:t>
            </w:r>
          </w:p>
        </w:tc>
        <w:tc>
          <w:tcPr>
            <w:tcW w:w="8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7"/>
              </w:rPr>
              <w:t>Remaining Life</w:t>
            </w:r>
          </w:p>
        </w:tc>
        <w:tc>
          <w:tcPr>
            <w:tcW w:w="8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line="157" w:lineRule="exact"/>
              <w:rPr>
                <w:sz w:val="20"/>
                <w:szCs w:val="20"/>
                <w:color w:val="auto"/>
              </w:rPr>
            </w:pPr>
            <w:r>
              <w:rPr>
                <w:rFonts w:ascii="Times New Roman" w:cs="Times New Roman" w:eastAsia="Times New Roman" w:hAnsi="Times New Roman"/>
                <w:sz w:val="16"/>
                <w:szCs w:val="16"/>
                <w:b w:val="1"/>
                <w:bCs w:val="1"/>
                <w:color w:val="231F20"/>
                <w:w w:val="97"/>
              </w:rPr>
              <w:t>Average Exercise</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Price Per Share</w:t>
            </w:r>
          </w:p>
        </w:tc>
        <w:tc>
          <w:tcPr>
            <w:tcW w:w="60" w:type="dxa"/>
            <w:vAlign w:val="bottom"/>
            <w:tcBorders>
              <w:bottom w:val="single" w:sz="8" w:color="E3E4E5"/>
            </w:tcBorders>
          </w:tcPr>
          <w:p>
            <w:pPr>
              <w:spacing w:after="0"/>
              <w:rPr>
                <w:sz w:val="18"/>
                <w:szCs w:val="18"/>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Options</w:t>
            </w:r>
          </w:p>
        </w:tc>
        <w:tc>
          <w:tcPr>
            <w:tcW w:w="60" w:type="dxa"/>
            <w:vAlign w:val="bottom"/>
            <w:tcBorders>
              <w:bottom w:val="single" w:sz="8" w:color="E3E4E5"/>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231F20"/>
                <w:w w:val="98"/>
              </w:rPr>
              <w:t>Price Per Share</w:t>
            </w:r>
          </w:p>
        </w:tc>
        <w:tc>
          <w:tcPr>
            <w:tcW w:w="80" w:type="dxa"/>
            <w:vAlign w:val="bottom"/>
            <w:tcBorders>
              <w:bottom w:val="single" w:sz="8" w:color="E3E4E5"/>
            </w:tcBorders>
          </w:tcPr>
          <w:p>
            <w:pPr>
              <w:spacing w:after="0"/>
              <w:rPr>
                <w:sz w:val="18"/>
                <w:szCs w:val="18"/>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4"/>
              </w:rPr>
              <w:t>(Years)</w:t>
            </w:r>
          </w:p>
        </w:tc>
        <w:tc>
          <w:tcPr>
            <w:tcW w:w="80" w:type="dxa"/>
            <w:vAlign w:val="bottom"/>
            <w:tcBorders>
              <w:bottom w:val="single" w:sz="8" w:color="E3E4E5"/>
            </w:tcBorders>
          </w:tcPr>
          <w:p>
            <w:pPr>
              <w:spacing w:after="0"/>
              <w:rPr>
                <w:sz w:val="18"/>
                <w:szCs w:val="18"/>
                <w:color w:val="auto"/>
              </w:rPr>
            </w:pPr>
          </w:p>
        </w:tc>
        <w:tc>
          <w:tcPr>
            <w:tcW w:w="1600" w:type="dxa"/>
            <w:vAlign w:val="bottom"/>
            <w:tcBorders>
              <w:bottom w:val="single" w:sz="8" w:color="231F20"/>
            </w:tcBorders>
          </w:tcPr>
          <w:p>
            <w:pPr>
              <w:jc w:val="right"/>
              <w:ind w:right="337"/>
              <w:spacing w:after="0"/>
              <w:rPr>
                <w:sz w:val="20"/>
                <w:szCs w:val="20"/>
                <w:color w:val="auto"/>
              </w:rPr>
            </w:pPr>
            <w:r>
              <w:rPr>
                <w:rFonts w:ascii="Times New Roman" w:cs="Times New Roman" w:eastAsia="Times New Roman" w:hAnsi="Times New Roman"/>
                <w:sz w:val="16"/>
                <w:szCs w:val="16"/>
                <w:b w:val="1"/>
                <w:bCs w:val="1"/>
                <w:color w:val="231F20"/>
              </w:rPr>
              <w:t>Exercisable</w:t>
            </w:r>
          </w:p>
        </w:tc>
        <w:tc>
          <w:tcPr>
            <w:tcW w:w="80" w:type="dxa"/>
            <w:vAlign w:val="bottom"/>
            <w:tcBorders>
              <w:bottom w:val="single" w:sz="8" w:color="E3E4E5"/>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420" w:type="dxa"/>
            <w:vAlign w:val="bottom"/>
            <w:tcBorders>
              <w:bottom w:val="single" w:sz="8" w:color="231F20"/>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231F20"/>
                <w:w w:val="98"/>
              </w:rPr>
              <w:t>Price Per Share</w:t>
            </w:r>
          </w:p>
        </w:tc>
        <w:tc>
          <w:tcPr>
            <w:tcW w:w="0" w:type="dxa"/>
            <w:vAlign w:val="bottom"/>
          </w:tcPr>
          <w:p>
            <w:pPr>
              <w:spacing w:after="0"/>
              <w:rPr>
                <w:sz w:val="1"/>
                <w:szCs w:val="1"/>
                <w:color w:val="auto"/>
              </w:rPr>
            </w:pPr>
          </w:p>
        </w:tc>
      </w:tr>
      <w:tr>
        <w:trPr>
          <w:trHeight w:val="274"/>
        </w:trPr>
        <w:tc>
          <w:tcPr>
            <w:tcW w:w="1600" w:type="dxa"/>
            <w:vAlign w:val="bottom"/>
            <w:tcBorders>
              <w:bottom w:val="single" w:sz="8" w:color="E3E4E5"/>
            </w:tcBorders>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w w:val="98"/>
              </w:rPr>
              <w:t>$94.71 - $106.15</w:t>
            </w:r>
          </w:p>
        </w:tc>
        <w:tc>
          <w:tcPr>
            <w:tcW w:w="60" w:type="dxa"/>
            <w:vAlign w:val="bottom"/>
            <w:tcBorders>
              <w:bottom w:val="single" w:sz="8" w:color="E3E4E5"/>
            </w:tcBorders>
            <w:shd w:val="clear" w:color="auto" w:fill="E3E4E5"/>
          </w:tcPr>
          <w:p>
            <w:pPr>
              <w:spacing w:after="0"/>
              <w:rPr>
                <w:sz w:val="23"/>
                <w:szCs w:val="23"/>
                <w:color w:val="auto"/>
              </w:rPr>
            </w:pP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240" w:type="dxa"/>
            <w:vAlign w:val="bottom"/>
            <w:tcBorders>
              <w:bottom w:val="single" w:sz="8" w:color="E3E4E5"/>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80" w:type="dxa"/>
            <w:vAlign w:val="bottom"/>
            <w:tcBorders>
              <w:bottom w:val="single" w:sz="8" w:color="E3E4E5"/>
            </w:tcBorders>
            <w:shd w:val="clear" w:color="auto" w:fill="E3E4E5"/>
          </w:tcPr>
          <w:p>
            <w:pPr>
              <w:spacing w:after="0"/>
              <w:rPr>
                <w:sz w:val="23"/>
                <w:szCs w:val="23"/>
                <w:color w:val="auto"/>
              </w:rPr>
            </w:pPr>
          </w:p>
        </w:tc>
        <w:tc>
          <w:tcPr>
            <w:tcW w:w="16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80" w:type="dxa"/>
            <w:vAlign w:val="bottom"/>
            <w:tcBorders>
              <w:bottom w:val="single" w:sz="8" w:color="E3E4E5"/>
            </w:tcBorders>
            <w:shd w:val="clear" w:color="auto" w:fill="E3E4E5"/>
          </w:tcPr>
          <w:p>
            <w:pPr>
              <w:spacing w:after="0"/>
              <w:rPr>
                <w:sz w:val="23"/>
                <w:szCs w:val="23"/>
                <w:color w:val="auto"/>
              </w:rPr>
            </w:pPr>
          </w:p>
        </w:tc>
        <w:tc>
          <w:tcPr>
            <w:tcW w:w="16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260" w:type="dxa"/>
            <w:vAlign w:val="bottom"/>
            <w:tcBorders>
              <w:bottom w:val="single" w:sz="8" w:color="E3E4E5"/>
            </w:tcBorders>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0" w:type="dxa"/>
            <w:vAlign w:val="bottom"/>
          </w:tcPr>
          <w:p>
            <w:pPr>
              <w:spacing w:after="0"/>
              <w:rPr>
                <w:sz w:val="1"/>
                <w:szCs w:val="1"/>
                <w:color w:val="auto"/>
              </w:rPr>
            </w:pPr>
          </w:p>
        </w:tc>
      </w:tr>
      <w:tr>
        <w:trPr>
          <w:trHeight w:val="255"/>
        </w:trPr>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$94.71 - $106.15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133,623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-403860</wp:posOffset>
            </wp:positionV>
            <wp:extent cx="63633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71">
                      <a:extLst>
                        <a:ext uri="{28A0092B-C50C-407E-A947-70E740481C1C}"/>
                      </a:extLst>
                    </a:blip>
                    <a:srcRect/>
                    <a:stretch>
                      <a:fillRect/>
                    </a:stretch>
                  </pic:blipFill>
                  <pic:spPr bwMode="auto">
                    <a:xfrm>
                      <a:off x="0" y="0"/>
                      <a:ext cx="6363335" cy="2540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-217170</wp:posOffset>
            </wp:positionV>
            <wp:extent cx="104267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72">
                      <a:extLst>
                        <a:ext uri="{28A0092B-C50C-407E-A947-70E740481C1C}"/>
                      </a:extLst>
                    </a:blip>
                    <a:srcRect/>
                    <a:stretch>
                      <a:fillRect/>
                    </a:stretch>
                  </pic:blipFill>
                  <pic:spPr bwMode="auto">
                    <a:xfrm>
                      <a:off x="0" y="0"/>
                      <a:ext cx="1042670" cy="2540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-217170</wp:posOffset>
            </wp:positionV>
            <wp:extent cx="210693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73">
                      <a:extLst>
                        <a:ext uri="{28A0092B-C50C-407E-A947-70E740481C1C}"/>
                      </a:extLst>
                    </a:blip>
                    <a:srcRect/>
                    <a:stretch>
                      <a:fillRect/>
                    </a:stretch>
                  </pic:blipFill>
                  <pic:spPr bwMode="auto">
                    <a:xfrm>
                      <a:off x="0" y="0"/>
                      <a:ext cx="2106930" cy="25400"/>
                    </a:xfrm>
                    <a:prstGeom prst="rect">
                      <a:avLst/>
                    </a:prstGeom>
                    <a:noFill/>
                  </pic:spPr>
                </pic:pic>
              </a:graphicData>
            </a:graphic>
          </wp:anchor>
        </w:drawing>
      </w:r>
    </w:p>
    <w:p>
      <w:pPr>
        <w:spacing w:after="0" w:line="143" w:lineRule="exact"/>
        <w:rPr>
          <w:sz w:val="20"/>
          <w:szCs w:val="20"/>
          <w:color w:val="auto"/>
        </w:rPr>
      </w:pPr>
    </w:p>
    <w:p>
      <w:pPr>
        <w:ind w:left="7" w:right="340"/>
        <w:spacing w:after="0" w:line="275" w:lineRule="auto"/>
        <w:rPr>
          <w:sz w:val="20"/>
          <w:szCs w:val="20"/>
          <w:color w:val="auto"/>
        </w:rPr>
      </w:pPr>
      <w:r>
        <w:rPr>
          <w:rFonts w:ascii="Times New Roman" w:cs="Times New Roman" w:eastAsia="Times New Roman" w:hAnsi="Times New Roman"/>
          <w:sz w:val="20"/>
          <w:szCs w:val="20"/>
          <w:i w:val="1"/>
          <w:iCs w:val="1"/>
          <w:color w:val="231F20"/>
        </w:rPr>
        <w:t>Restricted Stock Units and Performance-Based Restricted Stock Units</w:t>
      </w:r>
      <w:r>
        <w:rPr>
          <w:rFonts w:ascii="Times New Roman" w:cs="Times New Roman" w:eastAsia="Times New Roman" w:hAnsi="Times New Roman"/>
          <w:sz w:val="20"/>
          <w:szCs w:val="20"/>
          <w:color w:val="231F20"/>
        </w:rPr>
        <w:t>—The Company’s RSU and PSU activity for the year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ended December 31, 2025 was as follows (share and per share data disclosed in full amounts):</w:t>
      </w:r>
    </w:p>
    <w:p>
      <w:pPr>
        <w:spacing w:after="0" w:line="19"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231F20"/>
              </w:rPr>
              <w:t>Weighted Average</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Weighted Average</w:t>
            </w:r>
          </w:p>
        </w:tc>
        <w:tc>
          <w:tcPr>
            <w:tcW w:w="0" w:type="dxa"/>
            <w:vAlign w:val="bottom"/>
          </w:tcPr>
          <w:p>
            <w:pPr>
              <w:spacing w:after="0"/>
              <w:rPr>
                <w:sz w:val="1"/>
                <w:szCs w:val="1"/>
                <w:color w:val="auto"/>
              </w:rPr>
            </w:pPr>
          </w:p>
        </w:tc>
      </w:tr>
      <w:tr>
        <w:trPr>
          <w:trHeight w:val="157"/>
        </w:trPr>
        <w:tc>
          <w:tcPr>
            <w:tcW w:w="4300" w:type="dxa"/>
            <w:vAlign w:val="bottom"/>
          </w:tcPr>
          <w:p>
            <w:pPr>
              <w:spacing w:after="0"/>
              <w:rPr>
                <w:sz w:val="13"/>
                <w:szCs w:val="13"/>
                <w:color w:val="auto"/>
              </w:rPr>
            </w:pPr>
          </w:p>
        </w:tc>
        <w:tc>
          <w:tcPr>
            <w:tcW w:w="1360" w:type="dxa"/>
            <w:vAlign w:val="bottom"/>
            <w:vMerge w:val="restart"/>
          </w:tcPr>
          <w:p>
            <w:pPr>
              <w:jc w:val="right"/>
              <w:ind w:right="384"/>
              <w:spacing w:after="0"/>
              <w:rPr>
                <w:sz w:val="20"/>
                <w:szCs w:val="20"/>
                <w:color w:val="auto"/>
              </w:rPr>
            </w:pPr>
            <w:r>
              <w:rPr>
                <w:rFonts w:ascii="Times New Roman" w:cs="Times New Roman" w:eastAsia="Times New Roman" w:hAnsi="Times New Roman"/>
                <w:sz w:val="16"/>
                <w:szCs w:val="16"/>
                <w:b w:val="1"/>
                <w:bCs w:val="1"/>
                <w:color w:val="231F20"/>
              </w:rPr>
              <w:t>RSUs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6"/>
              <w:spacing w:after="0" w:line="157" w:lineRule="exact"/>
              <w:rPr>
                <w:sz w:val="20"/>
                <w:szCs w:val="20"/>
                <w:color w:val="auto"/>
              </w:rPr>
            </w:pPr>
            <w:r>
              <w:rPr>
                <w:rFonts w:ascii="Times New Roman" w:cs="Times New Roman" w:eastAsia="Times New Roman" w:hAnsi="Times New Roman"/>
                <w:sz w:val="16"/>
                <w:szCs w:val="16"/>
                <w:b w:val="1"/>
                <w:bCs w:val="1"/>
                <w:color w:val="231F20"/>
                <w:w w:val="95"/>
              </w:rPr>
              <w:t>Grant Date Fair</w:t>
            </w:r>
          </w:p>
        </w:tc>
        <w:tc>
          <w:tcPr>
            <w:tcW w:w="80" w:type="dxa"/>
            <w:vAlign w:val="bottom"/>
          </w:tcPr>
          <w:p>
            <w:pPr>
              <w:spacing w:after="0"/>
              <w:rPr>
                <w:sz w:val="13"/>
                <w:szCs w:val="13"/>
                <w:color w:val="auto"/>
              </w:rPr>
            </w:pPr>
          </w:p>
        </w:tc>
        <w:tc>
          <w:tcPr>
            <w:tcW w:w="1280" w:type="dxa"/>
            <w:vAlign w:val="bottom"/>
            <w:vMerge w:val="restart"/>
          </w:tcPr>
          <w:p>
            <w:pPr>
              <w:jc w:val="right"/>
              <w:ind w:right="367"/>
              <w:spacing w:after="0"/>
              <w:rPr>
                <w:sz w:val="20"/>
                <w:szCs w:val="20"/>
                <w:color w:val="auto"/>
              </w:rPr>
            </w:pPr>
            <w:r>
              <w:rPr>
                <w:rFonts w:ascii="Times New Roman" w:cs="Times New Roman" w:eastAsia="Times New Roman" w:hAnsi="Times New Roman"/>
                <w:sz w:val="16"/>
                <w:szCs w:val="16"/>
                <w:b w:val="1"/>
                <w:bCs w:val="1"/>
                <w:color w:val="231F20"/>
              </w:rPr>
              <w:t>PSUs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66"/>
              <w:spacing w:after="0" w:line="157" w:lineRule="exact"/>
              <w:rPr>
                <w:sz w:val="20"/>
                <w:szCs w:val="20"/>
                <w:color w:val="auto"/>
              </w:rPr>
            </w:pPr>
            <w:r>
              <w:rPr>
                <w:rFonts w:ascii="Times New Roman" w:cs="Times New Roman" w:eastAsia="Times New Roman" w:hAnsi="Times New Roman"/>
                <w:sz w:val="16"/>
                <w:szCs w:val="16"/>
                <w:b w:val="1"/>
                <w:bCs w:val="1"/>
                <w:color w:val="231F20"/>
                <w:w w:val="97"/>
              </w:rPr>
              <w:t>Grant Date Fair</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E3E4E5"/>
            </w:tcBorders>
          </w:tcPr>
          <w:p>
            <w:pPr>
              <w:spacing w:after="0"/>
              <w:rPr>
                <w:sz w:val="18"/>
                <w:szCs w:val="18"/>
                <w:color w:val="auto"/>
              </w:rPr>
            </w:pPr>
          </w:p>
        </w:tc>
        <w:tc>
          <w:tcPr>
            <w:tcW w:w="136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20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80" w:type="dxa"/>
            <w:vAlign w:val="bottom"/>
            <w:tcBorders>
              <w:bottom w:val="single" w:sz="8" w:color="E3E4E5"/>
            </w:tcBorders>
          </w:tcPr>
          <w:p>
            <w:pPr>
              <w:spacing w:after="0"/>
              <w:rPr>
                <w:sz w:val="18"/>
                <w:szCs w:val="18"/>
                <w:color w:val="auto"/>
              </w:rPr>
            </w:pPr>
          </w:p>
        </w:tc>
        <w:tc>
          <w:tcPr>
            <w:tcW w:w="1280" w:type="dxa"/>
            <w:vAlign w:val="bottom"/>
            <w:tcBorders>
              <w:bottom w:val="single" w:sz="8" w:color="231F20"/>
            </w:tcBorders>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231F20"/>
                <w:w w:val="99"/>
              </w:rPr>
              <w:t>Value</w:t>
            </w:r>
          </w:p>
        </w:tc>
        <w:tc>
          <w:tcPr>
            <w:tcW w:w="0" w:type="dxa"/>
            <w:vAlign w:val="bottom"/>
          </w:tcPr>
          <w:p>
            <w:pPr>
              <w:spacing w:after="0"/>
              <w:rPr>
                <w:sz w:val="1"/>
                <w:szCs w:val="1"/>
                <w:color w:val="auto"/>
              </w:rPr>
            </w:pPr>
          </w:p>
        </w:tc>
      </w:tr>
      <w:tr>
        <w:trPr>
          <w:trHeight w:val="284"/>
        </w:trPr>
        <w:tc>
          <w:tcPr>
            <w:tcW w:w="4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7"/>
              </w:rPr>
              <w:t xml:space="preserve">Outstanding as of January 1, 2025 (1) </w:t>
            </w:r>
            <w:r>
              <w:rPr>
                <w:rFonts w:ascii="Times New Roman" w:cs="Times New Roman" w:eastAsia="Times New Roman" w:hAnsi="Times New Roman"/>
                <w:sz w:val="20"/>
                <w:szCs w:val="20"/>
                <w:color w:val="BABCBE"/>
                <w:w w:val="97"/>
              </w:rPr>
              <w:t>.........................</w:t>
            </w:r>
          </w:p>
        </w:tc>
        <w:tc>
          <w:tcPr>
            <w:tcW w:w="1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1,460,702</w:t>
            </w:r>
          </w:p>
        </w:tc>
        <w:tc>
          <w:tcPr>
            <w:tcW w:w="24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208.09</w:t>
            </w:r>
          </w:p>
        </w:tc>
        <w:tc>
          <w:tcPr>
            <w:tcW w:w="13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339,268</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212.03</w:t>
            </w:r>
          </w:p>
        </w:tc>
        <w:tc>
          <w:tcPr>
            <w:tcW w:w="0" w:type="dxa"/>
            <w:vAlign w:val="bottom"/>
          </w:tcPr>
          <w:p>
            <w:pPr>
              <w:spacing w:after="0"/>
              <w:rPr>
                <w:sz w:val="1"/>
                <w:szCs w:val="1"/>
                <w:color w:val="auto"/>
              </w:rPr>
            </w:pPr>
          </w:p>
        </w:tc>
      </w:tr>
      <w:tr>
        <w:trPr>
          <w:trHeight w:val="288"/>
        </w:trPr>
        <w:tc>
          <w:tcPr>
            <w:tcW w:w="43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Granted (2)</w:t>
            </w:r>
            <w:r>
              <w:rPr>
                <w:rFonts w:ascii="Times New Roman" w:cs="Times New Roman" w:eastAsia="Times New Roman" w:hAnsi="Times New Roman"/>
                <w:sz w:val="20"/>
                <w:szCs w:val="20"/>
                <w:color w:val="BABCBE"/>
                <w:w w:val="9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625,616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148,305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212.40</w:t>
            </w:r>
          </w:p>
        </w:tc>
        <w:tc>
          <w:tcPr>
            <w:tcW w:w="0" w:type="dxa"/>
            <w:vAlign w:val="bottom"/>
          </w:tcPr>
          <w:p>
            <w:pPr>
              <w:spacing w:after="0"/>
              <w:rPr>
                <w:sz w:val="1"/>
                <w:szCs w:val="1"/>
                <w:color w:val="auto"/>
              </w:rPr>
            </w:pPr>
          </w:p>
        </w:tc>
      </w:tr>
      <w:tr>
        <w:trPr>
          <w:trHeight w:val="300"/>
        </w:trPr>
        <w:tc>
          <w:tcPr>
            <w:tcW w:w="4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Vested and Released (3) </w:t>
            </w:r>
            <w:r>
              <w:rPr>
                <w:rFonts w:ascii="Times New Roman" w:cs="Times New Roman" w:eastAsia="Times New Roman" w:hAnsi="Times New Roman"/>
                <w:sz w:val="20"/>
                <w:szCs w:val="20"/>
                <w:color w:val="BABCBE"/>
                <w:w w:val="98"/>
              </w:rPr>
              <w:t>..............................................</w:t>
            </w:r>
          </w:p>
        </w:tc>
        <w:tc>
          <w:tcPr>
            <w:tcW w:w="1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(740,247)</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208.27</w:t>
            </w:r>
          </w:p>
        </w:tc>
        <w:tc>
          <w:tcPr>
            <w:tcW w:w="13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(133,034)</w:t>
            </w:r>
          </w:p>
        </w:tc>
        <w:tc>
          <w:tcPr>
            <w:tcW w:w="8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232.80</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w w:val="97"/>
              </w:rPr>
              <w:t xml:space="preserve">Forfeited (4) </w:t>
            </w:r>
            <w:r>
              <w:rPr>
                <w:rFonts w:ascii="Times New Roman" w:cs="Times New Roman" w:eastAsia="Times New Roman" w:hAnsi="Times New Roman"/>
                <w:sz w:val="20"/>
                <w:szCs w:val="20"/>
                <w:color w:val="BABCBE"/>
                <w:w w:val="97"/>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(62,402)</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E3E4E5"/>
            </w:tcBorders>
          </w:tcPr>
          <w:p>
            <w:pPr>
              <w:spacing w:after="0"/>
              <w:rPr>
                <w:sz w:val="24"/>
                <w:szCs w:val="24"/>
                <w:color w:val="auto"/>
              </w:rPr>
            </w:pPr>
          </w:p>
        </w:tc>
        <w:tc>
          <w:tcPr>
            <w:tcW w:w="12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211.29</w:t>
            </w:r>
          </w:p>
        </w:tc>
        <w:tc>
          <w:tcPr>
            <w:tcW w:w="80" w:type="dxa"/>
            <w:vAlign w:val="bottom"/>
            <w:tcBorders>
              <w:bottom w:val="single" w:sz="8" w:color="E3E4E5"/>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(21,138)</w:t>
            </w:r>
          </w:p>
        </w:tc>
        <w:tc>
          <w:tcPr>
            <w:tcW w:w="80" w:type="dxa"/>
            <w:vAlign w:val="bottom"/>
            <w:tcBorders>
              <w:bottom w:val="single" w:sz="8" w:color="E3E4E5"/>
            </w:tcBorders>
          </w:tcPr>
          <w:p>
            <w:pPr>
              <w:spacing w:after="0"/>
              <w:rPr>
                <w:sz w:val="24"/>
                <w:szCs w:val="24"/>
                <w:color w:val="auto"/>
              </w:rPr>
            </w:pPr>
          </w:p>
        </w:tc>
        <w:tc>
          <w:tcPr>
            <w:tcW w:w="160" w:type="dxa"/>
            <w:vAlign w:val="bottom"/>
            <w:tcBorders>
              <w:bottom w:val="single" w:sz="8" w:color="E3E4E5"/>
            </w:tcBorders>
          </w:tcPr>
          <w:p>
            <w:pPr>
              <w:spacing w:after="0"/>
              <w:rPr>
                <w:sz w:val="24"/>
                <w:szCs w:val="24"/>
                <w:color w:val="auto"/>
              </w:rPr>
            </w:pPr>
          </w:p>
        </w:tc>
        <w:tc>
          <w:tcPr>
            <w:tcW w:w="13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199.61</w:t>
            </w:r>
          </w:p>
        </w:tc>
        <w:tc>
          <w:tcPr>
            <w:tcW w:w="0" w:type="dxa"/>
            <w:vAlign w:val="bottom"/>
          </w:tcPr>
          <w:p>
            <w:pPr>
              <w:spacing w:after="0"/>
              <w:rPr>
                <w:sz w:val="1"/>
                <w:szCs w:val="1"/>
                <w:color w:val="auto"/>
              </w:rPr>
            </w:pPr>
          </w:p>
        </w:tc>
      </w:tr>
      <w:tr>
        <w:trPr>
          <w:trHeight w:val="294"/>
        </w:trPr>
        <w:tc>
          <w:tcPr>
            <w:tcW w:w="4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Outstanding as of December 31, 2025</w:t>
            </w:r>
            <w:r>
              <w:rPr>
                <w:rFonts w:ascii="Times New Roman" w:cs="Times New Roman" w:eastAsia="Times New Roman" w:hAnsi="Times New Roman"/>
                <w:sz w:val="20"/>
                <w:szCs w:val="20"/>
                <w:color w:val="BABCBE"/>
                <w:w w:val="98"/>
              </w:rPr>
              <w:t>.........................</w:t>
            </w:r>
          </w:p>
        </w:tc>
        <w:tc>
          <w:tcPr>
            <w:tcW w:w="1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1,283,669</w:t>
            </w:r>
          </w:p>
        </w:tc>
        <w:tc>
          <w:tcPr>
            <w:tcW w:w="24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209.96</w:t>
            </w:r>
          </w:p>
        </w:tc>
        <w:tc>
          <w:tcPr>
            <w:tcW w:w="13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333,401</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204.70</w:t>
            </w:r>
          </w:p>
        </w:tc>
        <w:tc>
          <w:tcPr>
            <w:tcW w:w="0" w:type="dxa"/>
            <w:vAlign w:val="bottom"/>
          </w:tcPr>
          <w:p>
            <w:pPr>
              <w:spacing w:after="0"/>
              <w:rPr>
                <w:sz w:val="1"/>
                <w:szCs w:val="1"/>
                <w:color w:val="auto"/>
              </w:rPr>
            </w:pPr>
          </w:p>
        </w:tc>
      </w:tr>
      <w:tr>
        <w:trPr>
          <w:trHeight w:val="261"/>
        </w:trPr>
        <w:tc>
          <w:tcPr>
            <w:tcW w:w="4300" w:type="dxa"/>
            <w:vAlign w:val="bottom"/>
            <w:tcBorders>
              <w:top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ExpectedtovestasofDecember31,2025</w:t>
            </w:r>
          </w:p>
        </w:tc>
        <w:tc>
          <w:tcPr>
            <w:tcW w:w="13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1,283,669</w:t>
            </w:r>
          </w:p>
        </w:tc>
        <w:tc>
          <w:tcPr>
            <w:tcW w:w="80" w:type="dxa"/>
            <w:vAlign w:val="bottom"/>
            <w:tcBorders>
              <w:top w:val="single" w:sz="8" w:color="E3E4E5"/>
            </w:tcBorders>
          </w:tcPr>
          <w:p>
            <w:pPr>
              <w:spacing w:after="0"/>
              <w:rPr>
                <w:sz w:val="22"/>
                <w:szCs w:val="22"/>
                <w:color w:val="auto"/>
              </w:rPr>
            </w:pPr>
          </w:p>
        </w:tc>
        <w:tc>
          <w:tcPr>
            <w:tcW w:w="16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209.96</w:t>
            </w:r>
          </w:p>
        </w:tc>
        <w:tc>
          <w:tcPr>
            <w:tcW w:w="80" w:type="dxa"/>
            <w:vAlign w:val="bottom"/>
            <w:tcBorders>
              <w:top w:val="single" w:sz="8" w:color="E3E4E5"/>
            </w:tcBorders>
          </w:tcPr>
          <w:p>
            <w:pPr>
              <w:spacing w:after="0"/>
              <w:rPr>
                <w:sz w:val="22"/>
                <w:szCs w:val="22"/>
                <w:color w:val="auto"/>
              </w:rPr>
            </w:pPr>
          </w:p>
        </w:tc>
        <w:tc>
          <w:tcPr>
            <w:tcW w:w="12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333,401</w:t>
            </w:r>
          </w:p>
        </w:tc>
        <w:tc>
          <w:tcPr>
            <w:tcW w:w="80" w:type="dxa"/>
            <w:vAlign w:val="bottom"/>
            <w:tcBorders>
              <w:top w:val="single" w:sz="8" w:color="E3E4E5"/>
            </w:tcBorders>
          </w:tcPr>
          <w:p>
            <w:pPr>
              <w:spacing w:after="0"/>
              <w:rPr>
                <w:sz w:val="22"/>
                <w:szCs w:val="22"/>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204.70</w:t>
            </w:r>
          </w:p>
        </w:tc>
        <w:tc>
          <w:tcPr>
            <w:tcW w:w="0" w:type="dxa"/>
            <w:vAlign w:val="bottom"/>
          </w:tcPr>
          <w:p>
            <w:pPr>
              <w:spacing w:after="0"/>
              <w:rPr>
                <w:sz w:val="1"/>
                <w:szCs w:val="1"/>
                <w:color w:val="auto"/>
              </w:rPr>
            </w:pPr>
          </w:p>
        </w:tc>
      </w:tr>
      <w:tr>
        <w:trPr>
          <w:trHeight w:val="298"/>
        </w:trPr>
        <w:tc>
          <w:tcPr>
            <w:tcW w:w="4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w w:val="98"/>
              </w:rPr>
              <w:t xml:space="preserve">Vested and deferred as of December 31, 2025 (5) </w:t>
            </w:r>
            <w:r>
              <w:rPr>
                <w:rFonts w:ascii="Times New Roman" w:cs="Times New Roman" w:eastAsia="Times New Roman" w:hAnsi="Times New Roman"/>
                <w:sz w:val="20"/>
                <w:szCs w:val="20"/>
                <w:color w:val="BABCBE"/>
                <w:w w:val="98"/>
              </w:rPr>
              <w:t>......</w:t>
            </w:r>
          </w:p>
        </w:tc>
        <w:tc>
          <w:tcPr>
            <w:tcW w:w="13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21,664</w:t>
            </w:r>
          </w:p>
        </w:tc>
        <w:tc>
          <w:tcPr>
            <w:tcW w:w="24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208.04</w:t>
            </w:r>
          </w:p>
        </w:tc>
        <w:tc>
          <w:tcPr>
            <w:tcW w:w="80" w:type="dxa"/>
            <w:vAlign w:val="bottom"/>
            <w:shd w:val="clear" w:color="auto" w:fill="E3E4E5"/>
          </w:tcPr>
          <w:p>
            <w:pPr>
              <w:spacing w:after="0"/>
              <w:rPr>
                <w:sz w:val="24"/>
                <w:szCs w:val="24"/>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-1318895</wp:posOffset>
            </wp:positionV>
            <wp:extent cx="365633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74">
                      <a:extLst>
                        <a:ext uri="{28A0092B-C50C-407E-A947-70E740481C1C}"/>
                      </a:extLst>
                    </a:blip>
                    <a:srcRect/>
                    <a:stretch>
                      <a:fillRect/>
                    </a:stretch>
                  </pic:blipFill>
                  <pic:spPr bwMode="auto">
                    <a:xfrm>
                      <a:off x="0" y="0"/>
                      <a:ext cx="3656330" cy="2540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-572135</wp:posOffset>
            </wp:positionV>
            <wp:extent cx="89344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75">
                      <a:extLst>
                        <a:ext uri="{28A0092B-C50C-407E-A947-70E740481C1C}"/>
                      </a:extLst>
                    </a:blip>
                    <a:srcRect/>
                    <a:stretch>
                      <a:fillRect/>
                    </a:stretch>
                  </pic:blipFill>
                  <pic:spPr bwMode="auto">
                    <a:xfrm>
                      <a:off x="0" y="0"/>
                      <a:ext cx="893445" cy="2540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-572135</wp:posOffset>
            </wp:positionV>
            <wp:extent cx="8375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76">
                      <a:extLst>
                        <a:ext uri="{28A0092B-C50C-407E-A947-70E740481C1C}"/>
                      </a:extLst>
                    </a:blip>
                    <a:srcRect/>
                    <a:stretch>
                      <a:fillRect/>
                    </a:stretch>
                  </pic:blipFill>
                  <pic:spPr bwMode="auto">
                    <a:xfrm>
                      <a:off x="0" y="0"/>
                      <a:ext cx="837565" cy="2540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-398145</wp:posOffset>
            </wp:positionV>
            <wp:extent cx="3656330" cy="501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77">
                      <a:extLst>
                        <a:ext uri="{28A0092B-C50C-407E-A947-70E740481C1C}"/>
                      </a:extLst>
                    </a:blip>
                    <a:srcRect/>
                    <a:stretch>
                      <a:fillRect/>
                    </a:stretch>
                  </pic:blipFill>
                  <pic:spPr bwMode="auto">
                    <a:xfrm>
                      <a:off x="0" y="0"/>
                      <a:ext cx="3656330" cy="50165"/>
                    </a:xfrm>
                    <a:prstGeom prst="rect">
                      <a:avLst/>
                    </a:prstGeom>
                    <a:noFill/>
                  </pic:spPr>
                </pic:pic>
              </a:graphicData>
            </a:graphic>
          </wp:anchor>
        </w:drawing>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right="400" w:hanging="347"/>
        <w:spacing w:after="0" w:line="261" w:lineRule="auto"/>
        <w:tabs>
          <w:tab w:leader="none" w:pos="347" w:val="left"/>
        </w:tabs>
        <w:numPr>
          <w:ilvl w:val="0"/>
          <w:numId w:val="10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PSUs consist of the target number of shares issuable at the end of the three-year performance period for the 2024 PSUs and the 2023 PSUs (each as defined below), or 87,550 shares and 118,684 shares, respectively, the shares issuable at the end of the three-year performance period for the PSUs granted in 2022 (the “2022 PSUs”) based on achievement against the performance metrics for the three-year performance period, or 133,034 shares.</w:t>
      </w:r>
    </w:p>
    <w:p>
      <w:pPr>
        <w:spacing w:after="0" w:line="1" w:lineRule="exact"/>
        <w:rPr>
          <w:rFonts w:ascii="Times New Roman" w:cs="Times New Roman" w:eastAsia="Times New Roman" w:hAnsi="Times New Roman"/>
          <w:sz w:val="15"/>
          <w:szCs w:val="15"/>
          <w:color w:val="231F20"/>
        </w:rPr>
      </w:pPr>
    </w:p>
    <w:p>
      <w:pPr>
        <w:ind w:left="347" w:right="180" w:hanging="347"/>
        <w:spacing w:after="0" w:line="245" w:lineRule="auto"/>
        <w:tabs>
          <w:tab w:leader="none" w:pos="347" w:val="left"/>
        </w:tabs>
        <w:numPr>
          <w:ilvl w:val="0"/>
          <w:numId w:val="1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PSUs consist of the target number of shares issuable at the end of the three-year performance period for the 2025 PSUs (as defined below), or 86,911 shares. PSUs also include the shares above target that are issuable for the 2023 PSUs at the end of the three-year performance cycle based on exceeding the performance metric for the three-year performance period, or 61,394 shares.</w:t>
      </w:r>
    </w:p>
    <w:p>
      <w:pPr>
        <w:spacing w:after="0" w:line="1"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PSUs consist of shares vested pursuant to the 2022 PSUs. There are no additional shares to be earned related to the 2022 PSUs.</w:t>
      </w:r>
    </w:p>
    <w:p>
      <w:pPr>
        <w:spacing w:after="0" w:line="4" w:lineRule="exact"/>
        <w:rPr>
          <w:rFonts w:ascii="Times New Roman" w:cs="Times New Roman" w:eastAsia="Times New Roman" w:hAnsi="Times New Roman"/>
          <w:sz w:val="16"/>
          <w:szCs w:val="16"/>
          <w:color w:val="231F20"/>
        </w:rPr>
      </w:pPr>
    </w:p>
    <w:p>
      <w:pPr>
        <w:ind w:left="347" w:right="20" w:hanging="347"/>
        <w:spacing w:after="0" w:line="245" w:lineRule="auto"/>
        <w:tabs>
          <w:tab w:leader="none" w:pos="347" w:val="left"/>
        </w:tabs>
        <w:numPr>
          <w:ilvl w:val="0"/>
          <w:numId w:val="1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PSUs consist of shares forfeited in connection with the departure of the Company’s former Executive Vice President and President, APAC due to such role being eliminated, which includes the target number of shares issuable at the end of the three-year performance period for the 2024 PSUs and the 2023 PSUs pursuant to the terms of the award agreements.</w:t>
      </w:r>
    </w:p>
    <w:p>
      <w:pPr>
        <w:spacing w:after="0" w:line="1"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0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Vested and deferred RSUs are related to deferred compensation for certain former employees.</w:t>
      </w:r>
    </w:p>
    <w:p>
      <w:pPr>
        <w:spacing w:after="0" w:line="1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total fair value of RSUs and PSUs that vested during the year ended December 31, 2025 was $183.6 million.</w:t>
      </w:r>
    </w:p>
    <w:p>
      <w:pPr>
        <w:spacing w:after="0" w:line="160" w:lineRule="exact"/>
        <w:rPr>
          <w:sz w:val="20"/>
          <w:szCs w:val="20"/>
          <w:color w:val="auto"/>
        </w:rPr>
      </w:pPr>
    </w:p>
    <w:p>
      <w:pPr>
        <w:ind w:left="7"/>
        <w:spacing w:after="0" w:line="252" w:lineRule="auto"/>
        <w:rPr>
          <w:sz w:val="20"/>
          <w:szCs w:val="20"/>
          <w:color w:val="auto"/>
        </w:rPr>
      </w:pPr>
      <w:r>
        <w:rPr>
          <w:rFonts w:ascii="Times New Roman" w:cs="Times New Roman" w:eastAsia="Times New Roman" w:hAnsi="Times New Roman"/>
          <w:sz w:val="20"/>
          <w:szCs w:val="20"/>
          <w:i w:val="1"/>
          <w:iCs w:val="1"/>
          <w:color w:val="231F20"/>
        </w:rPr>
        <w:t>Restricted Stock Units—</w:t>
      </w:r>
      <w:r>
        <w:rPr>
          <w:rFonts w:ascii="Times New Roman" w:cs="Times New Roman" w:eastAsia="Times New Roman" w:hAnsi="Times New Roman"/>
          <w:sz w:val="20"/>
          <w:szCs w:val="20"/>
          <w:color w:val="231F20"/>
        </w:rPr>
        <w:t>As of December 31, 2025, total unrecognized compensation expense related to unvested RSUs granted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under the 2007 Plan was $106.7 million and is expected to be recognized over a weighted average period of approximately one year. Vesting of RSUs is subject generally to the employee’s continued employment or death, disability or qualified retirement (each as defined in the applicable RSU award agreement). RSUs will accrue dividend equivalents prior to vesting, which will be paid out only in respect of shares that actually vest.</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F-42</w:t>
      </w:r>
    </w:p>
    <w:p>
      <w:pPr>
        <w:sectPr>
          <w:pgSz w:w="11880" w:h="15480" w:orient="portrait"/>
          <w:cols w:equalWidth="0" w:num="1">
            <w:col w:w="10047"/>
          </w:cols>
          <w:pgMar w:left="913" w:top="418" w:right="920" w:bottom="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i w:val="1"/>
          <w:iCs w:val="1"/>
          <w:color w:val="231F20"/>
        </w:rPr>
        <w:t>Performance-Based Restricted Stock Units—</w:t>
      </w:r>
      <w:r>
        <w:rPr>
          <w:rFonts w:ascii="Times New Roman" w:cs="Times New Roman" w:eastAsia="Times New Roman" w:hAnsi="Times New Roman"/>
          <w:sz w:val="20"/>
          <w:szCs w:val="20"/>
          <w:color w:val="231F20"/>
        </w:rPr>
        <w:t>During the year ended December 31, 2025, the Compensation Committee granted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 aggregate of 86,911 PSUs (the “2025 PSUs”) to its executive officers and established the performance and market metrics for these awards. During the years ended December 31, 2024 and 2023, the Compensation Committee granted an aggregate of 87,550 PSUs (the “2024 PSUs”) and 118,684 PSUs (the “2023 PSUs”), respectively, to its executive officers and established the performance metrics for these awards.</w:t>
      </w:r>
    </w:p>
    <w:p>
      <w:pPr>
        <w:spacing w:after="0" w:line="12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231F20"/>
        </w:rPr>
        <w:t>Threshold, target and maximum parameters were established for the metrics for a three-year performance period with respect to each of the 2025 PSUs, the 2024 PSUs and the 2023 PSUs and will be used to calculate the number of shares that will be issuable when each award vests, which may range from zero to 200% of the target amounts. At the end of each three-year performance period, the number of shares that vest will depend on the degree of achievement against the pre-established goals. PSUs will be paid out in common stock at the end of each performance period, subject generally to the executive’s continued employment or death, disability or qualified retirement (each as defined in the applicable PSU award agreement). PSUs will accrue dividend equivalents prior to vesting, which will be paid out only in respect of shares that actually vest.</w:t>
      </w:r>
    </w:p>
    <w:p>
      <w:pPr>
        <w:spacing w:after="0" w:line="115"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20"/>
          <w:szCs w:val="20"/>
          <w:color w:val="231F20"/>
        </w:rPr>
        <w:t>Certain of the 2025 PSUs and the 2024 PSUs include a market condition component based on relative total shareholder return as measured against the REIT constituents included in the S&amp;P 500 Index. For the component of the 2025 PSUs and the 2024 PSUs subject to a market condition, fair value is determined using a Monte Carlo simulation model, which uses multiple input variables to determine the probability of satisfying the market condition requirements. The grant date fair value of the market condition component of the 2025 PSUs and the 2024 PSUs is $286.21 and $216.11,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Key assumptions used to apply this pricing model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Borders>
              <w:bottom w:val="single" w:sz="8" w:color="E3E4E5"/>
            </w:tcBorders>
          </w:tcPr>
          <w:p>
            <w:pPr>
              <w:spacing w:after="0"/>
              <w:rPr>
                <w:sz w:val="18"/>
                <w:szCs w:val="18"/>
                <w:color w:val="auto"/>
              </w:rPr>
            </w:pPr>
          </w:p>
        </w:tc>
        <w:tc>
          <w:tcPr>
            <w:tcW w:w="1520" w:type="dxa"/>
            <w:vAlign w:val="bottom"/>
            <w:tcBorders>
              <w:bottom w:val="single" w:sz="8" w:color="231F20"/>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3E4E5"/>
            </w:tcBorders>
          </w:tcPr>
          <w:p>
            <w:pPr>
              <w:spacing w:after="0"/>
              <w:rPr>
                <w:sz w:val="18"/>
                <w:szCs w:val="18"/>
                <w:color w:val="auto"/>
              </w:rPr>
            </w:pPr>
          </w:p>
        </w:tc>
        <w:tc>
          <w:tcPr>
            <w:tcW w:w="1500" w:type="dxa"/>
            <w:vAlign w:val="bottom"/>
            <w:tcBorders>
              <w:bottom w:val="single" w:sz="8" w:color="231F20"/>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99"/>
        </w:trPr>
        <w:tc>
          <w:tcPr>
            <w:tcW w:w="69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Expected term (years) </w:t>
            </w:r>
            <w:r>
              <w:rPr>
                <w:rFonts w:ascii="Times New Roman" w:cs="Times New Roman" w:eastAsia="Times New Roman" w:hAnsi="Times New Roman"/>
                <w:sz w:val="20"/>
                <w:szCs w:val="20"/>
                <w:color w:val="BABCBE"/>
                <w:w w:val="98"/>
              </w:rPr>
              <w:t>........................................................................................................</w:t>
            </w:r>
          </w:p>
        </w:tc>
        <w:tc>
          <w:tcPr>
            <w:tcW w:w="1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15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2.81</w:t>
            </w:r>
          </w:p>
        </w:tc>
      </w:tr>
      <w:tr>
        <w:trPr>
          <w:trHeight w:val="303"/>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Risk-free interest rate </w:t>
            </w:r>
            <w:r>
              <w:rPr>
                <w:rFonts w:ascii="Times New Roman" w:cs="Times New Roman" w:eastAsia="Times New Roman" w:hAnsi="Times New Roman"/>
                <w:sz w:val="20"/>
                <w:szCs w:val="20"/>
                <w:color w:val="BABCBE"/>
                <w:w w:val="9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4.31 %</w:t>
            </w:r>
          </w:p>
        </w:tc>
      </w:tr>
      <w:tr>
        <w:trPr>
          <w:trHeight w:val="314"/>
        </w:trPr>
        <w:tc>
          <w:tcPr>
            <w:tcW w:w="69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Annualized volatility</w:t>
            </w:r>
            <w:r>
              <w:rPr>
                <w:rFonts w:ascii="Times New Roman" w:cs="Times New Roman" w:eastAsia="Times New Roman" w:hAnsi="Times New Roman"/>
                <w:sz w:val="20"/>
                <w:szCs w:val="20"/>
                <w:color w:val="BABCBE"/>
                <w:w w:val="98"/>
              </w:rPr>
              <w:t>..........................................................................................................</w:t>
            </w:r>
          </w:p>
        </w:tc>
        <w:tc>
          <w:tcPr>
            <w:tcW w:w="15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27.91 %</w:t>
            </w:r>
          </w:p>
        </w:tc>
        <w:tc>
          <w:tcPr>
            <w:tcW w:w="156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-600075</wp:posOffset>
            </wp:positionV>
            <wp:extent cx="198564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78">
                      <a:extLst>
                        <a:ext uri="{28A0092B-C50C-407E-A947-70E740481C1C}"/>
                      </a:extLst>
                    </a:blip>
                    <a:srcRect/>
                    <a:stretch>
                      <a:fillRect/>
                    </a:stretch>
                  </pic:blipFill>
                  <pic:spPr bwMode="auto">
                    <a:xfrm>
                      <a:off x="0" y="0"/>
                      <a:ext cx="1985645" cy="25400"/>
                    </a:xfrm>
                    <a:prstGeom prst="rect">
                      <a:avLst/>
                    </a:prstGeom>
                    <a:noFill/>
                  </pic:spPr>
                </pic:pic>
              </a:graphicData>
            </a:graphic>
          </wp:anchor>
        </w:drawing>
      </w:r>
    </w:p>
    <w:p>
      <w:pPr>
        <w:spacing w:after="0" w:line="174"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231F20"/>
        </w:rPr>
        <w:t>During the year ended December 31, 2025, the Company’s Executive Vice President and President, APAC departed the Company due to such role being eliminated. As the conditions for vesting pursuant to the terms of the award agreements for such executive’s 2024 PSUs and 2023 PSUs were not met, the awards were forfeited. Accordingly, the Company reversed $5.3 million of previously recognized stock-based compensation expense associated with these awards.</w:t>
      </w:r>
    </w:p>
    <w:p>
      <w:pPr>
        <w:spacing w:after="0" w:line="1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2025, the Company recorded $23.9 million in stock-based compensation expense for equity awards in which the performance goals have been established and were probable of being achieved. The remaining unrecognized compensation expense related to these awards at December 31, 2025 was $1.3 million based on the Company’s current assessment of the probability of achieving the performance goals. The weighted-average period over which the cost will be recognized is approximately one year.</w:t>
      </w:r>
    </w:p>
    <w:p>
      <w:pPr>
        <w:spacing w:after="0" w:line="1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i w:val="1"/>
          <w:iCs w:val="1"/>
          <w:color w:val="231F20"/>
        </w:rPr>
        <w:t>ATC TIPL Transaction</w:t>
      </w:r>
      <w:r>
        <w:rPr>
          <w:rFonts w:ascii="Times New Roman" w:cs="Times New Roman" w:eastAsia="Times New Roman" w:hAnsi="Times New Roman"/>
          <w:sz w:val="20"/>
          <w:szCs w:val="20"/>
          <w:color w:val="231F20"/>
        </w:rPr>
        <w:t>—Upon completion of the ATC TIPL Transaction (as defined in note 21), RSUs granted to certain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employees in India that were unvested and outstanding immediately vested. The Company recognized $5.3 million of accelerated stock-based compensation expense for these awards during the year ended December 31, 2024, which is included in Loss from discontinued operations, net of taxes.</w:t>
      </w:r>
    </w:p>
    <w:p>
      <w:pPr>
        <w:spacing w:after="0" w:line="15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231F20"/>
        </w:rPr>
        <w:t>13.</w:t>
      </w:r>
      <w:r>
        <w:rPr>
          <w:sz w:val="20"/>
          <w:szCs w:val="20"/>
          <w:color w:val="auto"/>
        </w:rPr>
        <w:tab/>
      </w:r>
      <w:r>
        <w:rPr>
          <w:rFonts w:ascii="Times New Roman" w:cs="Times New Roman" w:eastAsia="Times New Roman" w:hAnsi="Times New Roman"/>
          <w:sz w:val="19"/>
          <w:szCs w:val="19"/>
          <w:b w:val="1"/>
          <w:bCs w:val="1"/>
          <w:color w:val="231F20"/>
        </w:rPr>
        <w:t>EQUITY</w:t>
      </w:r>
    </w:p>
    <w:p>
      <w:pPr>
        <w:spacing w:after="0" w:line="207"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20"/>
          <w:szCs w:val="20"/>
          <w:i w:val="1"/>
          <w:iCs w:val="1"/>
          <w:color w:val="231F20"/>
        </w:rPr>
        <w:t>Dividends</w:t>
      </w:r>
      <w:r>
        <w:rPr>
          <w:rFonts w:ascii="Times New Roman" w:cs="Times New Roman" w:eastAsia="Times New Roman" w:hAnsi="Times New Roman"/>
          <w:sz w:val="20"/>
          <w:szCs w:val="20"/>
          <w:color w:val="231F20"/>
        </w:rPr>
        <w:t>—The Company may pay dividends in cash or, subject to certain limitations, in shares of common stock or any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combination of cash and shares of common stock.</w:t>
      </w:r>
    </w:p>
    <w:p>
      <w:pPr>
        <w:spacing w:after="0" w:line="10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i w:val="1"/>
          <w:iCs w:val="1"/>
          <w:color w:val="231F20"/>
        </w:rPr>
        <w:t>Sales of Equity Securities</w:t>
      </w:r>
      <w:r>
        <w:rPr>
          <w:rFonts w:ascii="Times New Roman" w:cs="Times New Roman" w:eastAsia="Times New Roman" w:hAnsi="Times New Roman"/>
          <w:sz w:val="20"/>
          <w:szCs w:val="20"/>
          <w:color w:val="231F20"/>
        </w:rPr>
        <w:t>—The Company receives proceeds from sales of its equity securities pursuant to the ESPP and upon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exercise of stock options granted under the 2007 Plan. During the year ended December 31, 2025, the Company received an aggregate of $41.7 million in proceeds upon exercises of stock options and sales pursuant to the ESPP.</w:t>
      </w:r>
    </w:p>
    <w:p>
      <w:pPr>
        <w:spacing w:after="0" w:line="11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i w:val="1"/>
          <w:iCs w:val="1"/>
          <w:color w:val="231F20"/>
        </w:rPr>
        <w:t>Stock Repurchase Programs</w:t>
      </w:r>
      <w:r>
        <w:rPr>
          <w:rFonts w:ascii="Times New Roman" w:cs="Times New Roman" w:eastAsia="Times New Roman" w:hAnsi="Times New Roman"/>
          <w:sz w:val="20"/>
          <w:szCs w:val="20"/>
          <w:color w:val="231F20"/>
        </w:rPr>
        <w:t>—In March 2011, the Company’s Board of Directors approved a stock repurchase program,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pursuant to which the Company is authorized to repurchase up to $1.5 billion of its common stock (the “2011 Buyback”). In December 2017, the Board of Directors approved an additional stock repurchase program, pursuant to which the Company is authorized to repurchase up to $2.0 billion of its common stock (the “2017 Buyback”).</w:t>
      </w:r>
    </w:p>
    <w:p>
      <w:pPr>
        <w:spacing w:after="0" w:line="122"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color w:val="231F20"/>
        </w:rPr>
        <w:t>During the year ended December 31, 2025, the Company repurchased 2,036,100 shares of its common stock for an aggregate of $364.6 million, including commissions and fees, under both the 2011 Buyback and the 2017 Buyback. As of December 31,</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F-43</w:t>
      </w:r>
    </w:p>
    <w:p>
      <w:pPr>
        <w:sectPr>
          <w:pgSz w:w="11880" w:h="15480" w:orient="portrait"/>
          <w:cols w:equalWidth="0" w:num="1">
            <w:col w:w="10040"/>
          </w:cols>
          <w:pgMar w:left="920" w:top="418" w:right="920" w:bottom="0" w:gutter="0" w:footer="0" w:header="0"/>
          <w:type w:val="continuous"/>
        </w:sectPr>
      </w:pPr>
    </w:p>
    <w:bookmarkStart w:id="133" w:name="page134"/>
    <w:bookmarkEnd w:id="133"/>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560"/>
        <w:spacing w:after="0" w:line="259" w:lineRule="auto"/>
        <w:rPr>
          <w:sz w:val="20"/>
          <w:szCs w:val="20"/>
          <w:color w:val="auto"/>
        </w:rPr>
      </w:pPr>
      <w:r>
        <w:rPr>
          <w:rFonts w:ascii="Times New Roman" w:cs="Times New Roman" w:eastAsia="Times New Roman" w:hAnsi="Times New Roman"/>
          <w:sz w:val="20"/>
          <w:szCs w:val="20"/>
          <w:color w:val="231F20"/>
        </w:rPr>
        <w:t>2025, the Company has no amounts remaining under the 2011 Buyback. As of December 31, 2025, the Company has repurchased a total of 1,941,312 shares of its common stock under the 2017 Buyback for an aggregate of $347.0 million, including commissions and fees.</w:t>
      </w:r>
    </w:p>
    <w:p>
      <w:pPr>
        <w:spacing w:after="0" w:line="118" w:lineRule="exact"/>
        <w:rPr>
          <w:sz w:val="20"/>
          <w:szCs w:val="20"/>
          <w:color w:val="auto"/>
        </w:rPr>
      </w:pPr>
    </w:p>
    <w:p>
      <w:pPr>
        <w:ind w:left="7" w:right="20"/>
        <w:spacing w:after="0" w:line="251" w:lineRule="auto"/>
        <w:rPr>
          <w:sz w:val="20"/>
          <w:szCs w:val="20"/>
          <w:color w:val="auto"/>
        </w:rPr>
      </w:pPr>
      <w:r>
        <w:rPr>
          <w:rFonts w:ascii="Times New Roman" w:cs="Times New Roman" w:eastAsia="Times New Roman" w:hAnsi="Times New Roman"/>
          <w:sz w:val="20"/>
          <w:szCs w:val="20"/>
          <w:color w:val="231F20"/>
        </w:rPr>
        <w:t>Under the 2017 Buyback, the Company is authorized to purchase shares from time to time through open market purchases or in privately negotiated transactions not to exceed market prices and subject to market conditions and other factors. With respect to open market purchases, the Company may use plans adopted in accordance with Rule 10b5-1 under the Exchange Act in accordance with securities laws and other legal requirements, which allows the Company to repurchase shares during periods when it may otherwise be prevented from doing so under insider trading laws or because of self-imposed trading blackout periods.</w:t>
      </w:r>
    </w:p>
    <w:p>
      <w:pPr>
        <w:spacing w:after="0" w:line="125" w:lineRule="exact"/>
        <w:rPr>
          <w:sz w:val="20"/>
          <w:szCs w:val="20"/>
          <w:color w:val="auto"/>
        </w:rPr>
      </w:pPr>
    </w:p>
    <w:p>
      <w:pPr>
        <w:ind w:left="7" w:right="380"/>
        <w:spacing w:after="0" w:line="259" w:lineRule="auto"/>
        <w:rPr>
          <w:sz w:val="20"/>
          <w:szCs w:val="20"/>
          <w:color w:val="auto"/>
        </w:rPr>
      </w:pPr>
      <w:r>
        <w:rPr>
          <w:rFonts w:ascii="Times New Roman" w:cs="Times New Roman" w:eastAsia="Times New Roman" w:hAnsi="Times New Roman"/>
          <w:sz w:val="20"/>
          <w:szCs w:val="20"/>
          <w:color w:val="231F20"/>
        </w:rPr>
        <w:t>The Company expects to fund any further repurchases of its common stock through a combination of cash on hand, cash generated by operations and borrowings under its credit facilities. Repurchases under the Buyback Programs are subject to, among other things, the Company having available cash to fund the repurchases.</w:t>
      </w:r>
    </w:p>
    <w:p>
      <w:pPr>
        <w:spacing w:after="0" w:line="116" w:lineRule="exact"/>
        <w:rPr>
          <w:sz w:val="20"/>
          <w:szCs w:val="20"/>
          <w:color w:val="auto"/>
        </w:rPr>
      </w:pPr>
    </w:p>
    <w:p>
      <w:pPr>
        <w:ind w:left="7" w:right="760"/>
        <w:spacing w:after="0" w:line="275" w:lineRule="auto"/>
        <w:rPr>
          <w:sz w:val="20"/>
          <w:szCs w:val="20"/>
          <w:color w:val="auto"/>
        </w:rPr>
      </w:pPr>
      <w:r>
        <w:rPr>
          <w:rFonts w:ascii="Times New Roman" w:cs="Times New Roman" w:eastAsia="Times New Roman" w:hAnsi="Times New Roman"/>
          <w:sz w:val="20"/>
          <w:szCs w:val="20"/>
          <w:i w:val="1"/>
          <w:iCs w:val="1"/>
          <w:color w:val="231F20"/>
        </w:rPr>
        <w:t>Distributions</w:t>
      </w:r>
      <w:r>
        <w:rPr>
          <w:rFonts w:ascii="Times New Roman" w:cs="Times New Roman" w:eastAsia="Times New Roman" w:hAnsi="Times New Roman"/>
          <w:sz w:val="20"/>
          <w:szCs w:val="20"/>
          <w:color w:val="231F20"/>
        </w:rPr>
        <w:t>—During the years ended December 31, 2025, 2024 and 2023, the Company declared the following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distributions (per share data reflects actual amounts):</w:t>
      </w:r>
    </w:p>
    <w:p>
      <w:pPr>
        <w:spacing w:after="0" w:line="7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254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For the year ended December 31,</w:t>
            </w:r>
          </w:p>
        </w:tc>
        <w:tc>
          <w:tcPr>
            <w:tcW w:w="16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500" w:type="dxa"/>
            <w:vAlign w:val="bottom"/>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840" w:type="dxa"/>
            <w:vAlign w:val="bottom"/>
            <w:tcBorders>
              <w:bottom w:val="single" w:sz="8" w:color="231F20"/>
            </w:tcBorders>
            <w:gridSpan w:val="3"/>
          </w:tcPr>
          <w:p>
            <w:pPr>
              <w:jc w:val="right"/>
              <w:ind w:right="76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1820" w:type="dxa"/>
            <w:vAlign w:val="bottom"/>
            <w:tcBorders>
              <w:bottom w:val="single" w:sz="8" w:color="231F20"/>
            </w:tcBorders>
            <w:gridSpan w:val="3"/>
          </w:tcPr>
          <w:p>
            <w:pPr>
              <w:jc w:val="right"/>
              <w:ind w:right="76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80" w:type="dxa"/>
            <w:vAlign w:val="bottom"/>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1820" w:type="dxa"/>
            <w:vAlign w:val="bottom"/>
            <w:tcBorders>
              <w:bottom w:val="single" w:sz="8" w:color="231F20"/>
            </w:tcBorders>
            <w:gridSpan w:val="3"/>
          </w:tcPr>
          <w:p>
            <w:pPr>
              <w:jc w:val="right"/>
              <w:ind w:right="76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Distribution</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Aggregate</w:t>
            </w:r>
          </w:p>
        </w:tc>
        <w:tc>
          <w:tcPr>
            <w:tcW w:w="28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Distribution</w:t>
            </w:r>
          </w:p>
        </w:tc>
        <w:tc>
          <w:tcPr>
            <w:tcW w:w="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6"/>
              </w:rPr>
              <w:t>Aggregate</w:t>
            </w: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Distribution</w:t>
            </w:r>
          </w:p>
        </w:tc>
        <w:tc>
          <w:tcPr>
            <w:tcW w:w="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Aggregate</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9"/>
              </w:rPr>
              <w:t>Payment</w:t>
            </w:r>
          </w:p>
        </w:tc>
        <w:tc>
          <w:tcPr>
            <w:tcW w:w="2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6"/>
                <w:szCs w:val="16"/>
                <w:b w:val="1"/>
                <w:bCs w:val="1"/>
                <w:color w:val="231F20"/>
                <w:w w:val="99"/>
              </w:rPr>
              <w:t>Payment</w:t>
            </w: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231F20"/>
                <w:w w:val="95"/>
              </w:rPr>
              <w:t>Payment</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E3E4E5"/>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231F20"/>
                <w:w w:val="96"/>
              </w:rPr>
              <w:t>per share</w:t>
            </w:r>
          </w:p>
        </w:tc>
        <w:tc>
          <w:tcPr>
            <w:tcW w:w="80" w:type="dxa"/>
            <w:vAlign w:val="bottom"/>
            <w:tcBorders>
              <w:bottom w:val="single" w:sz="8" w:color="E3E4E5"/>
            </w:tcBorders>
          </w:tcPr>
          <w:p>
            <w:pPr>
              <w:spacing w:after="0"/>
              <w:rPr>
                <w:sz w:val="18"/>
                <w:szCs w:val="18"/>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231F20"/>
                <w:w w:val="93"/>
              </w:rPr>
              <w:t>per share</w:t>
            </w:r>
          </w:p>
        </w:tc>
        <w:tc>
          <w:tcPr>
            <w:tcW w:w="60" w:type="dxa"/>
            <w:vAlign w:val="bottom"/>
            <w:tcBorders>
              <w:bottom w:val="single" w:sz="8" w:color="E3E4E5"/>
            </w:tcBorders>
          </w:tcPr>
          <w:p>
            <w:pPr>
              <w:spacing w:after="0"/>
              <w:rPr>
                <w:sz w:val="18"/>
                <w:szCs w:val="18"/>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231F20"/>
                <w:w w:val="96"/>
              </w:rPr>
              <w:t>per share</w:t>
            </w:r>
          </w:p>
        </w:tc>
        <w:tc>
          <w:tcPr>
            <w:tcW w:w="60" w:type="dxa"/>
            <w:vAlign w:val="bottom"/>
            <w:tcBorders>
              <w:bottom w:val="single" w:sz="8" w:color="E3E4E5"/>
            </w:tcBorders>
          </w:tcPr>
          <w:p>
            <w:pPr>
              <w:spacing w:after="0"/>
              <w:rPr>
                <w:sz w:val="18"/>
                <w:szCs w:val="18"/>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6"/>
              </w:rPr>
              <w:t>Amount</w:t>
            </w:r>
          </w:p>
        </w:tc>
        <w:tc>
          <w:tcPr>
            <w:tcW w:w="0" w:type="dxa"/>
            <w:vAlign w:val="bottom"/>
          </w:tcPr>
          <w:p>
            <w:pPr>
              <w:spacing w:after="0"/>
              <w:rPr>
                <w:sz w:val="1"/>
                <w:szCs w:val="1"/>
                <w:color w:val="auto"/>
              </w:rPr>
            </w:pPr>
          </w:p>
        </w:tc>
      </w:tr>
      <w:tr>
        <w:trPr>
          <w:trHeight w:val="270"/>
        </w:trPr>
        <w:tc>
          <w:tcPr>
            <w:tcW w:w="3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Common Stock</w:t>
            </w:r>
          </w:p>
        </w:tc>
        <w:tc>
          <w:tcPr>
            <w:tcW w:w="14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6.80</w:t>
            </w:r>
          </w:p>
        </w:tc>
        <w:tc>
          <w:tcPr>
            <w:tcW w:w="104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  3,180.8</w:t>
            </w:r>
          </w:p>
        </w:tc>
        <w:tc>
          <w:tcPr>
            <w:tcW w:w="440" w:type="dxa"/>
            <w:vAlign w:val="bottom"/>
            <w:gridSpan w:val="2"/>
            <w:shd w:val="clear" w:color="auto" w:fill="E3E4E5"/>
          </w:tcPr>
          <w:p>
            <w:pPr>
              <w:ind w:left="320"/>
              <w:spacing w:after="0"/>
              <w:rPr>
                <w:sz w:val="20"/>
                <w:szCs w:val="20"/>
                <w:color w:val="auto"/>
              </w:rPr>
            </w:pPr>
            <w:r>
              <w:rPr>
                <w:rFonts w:ascii="Times New Roman" w:cs="Times New Roman" w:eastAsia="Times New Roman" w:hAnsi="Times New Roman"/>
                <w:sz w:val="20"/>
                <w:szCs w:val="20"/>
                <w:color w:val="231F20"/>
                <w:w w:val="99"/>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6.48</w:t>
            </w:r>
          </w:p>
        </w:tc>
        <w:tc>
          <w:tcPr>
            <w:tcW w:w="102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  3,027.3</w:t>
            </w:r>
          </w:p>
        </w:tc>
        <w:tc>
          <w:tcPr>
            <w:tcW w:w="280" w:type="dxa"/>
            <w:vAlign w:val="bottom"/>
            <w:shd w:val="clear" w:color="auto" w:fill="E3E4E5"/>
          </w:tcPr>
          <w:p>
            <w:pPr>
              <w:spacing w:after="0"/>
              <w:rPr>
                <w:sz w:val="23"/>
                <w:szCs w:val="23"/>
                <w:color w:val="auto"/>
              </w:rPr>
            </w:pPr>
          </w:p>
        </w:tc>
        <w:tc>
          <w:tcPr>
            <w:tcW w:w="1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6.45</w:t>
            </w:r>
          </w:p>
        </w:tc>
        <w:tc>
          <w:tcPr>
            <w:tcW w:w="102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20"/>
                <w:szCs w:val="20"/>
                <w:color w:val="231F20"/>
              </w:rPr>
              <w:t>$  3,006.7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-189230</wp:posOffset>
            </wp:positionV>
            <wp:extent cx="416052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79">
                      <a:extLst>
                        <a:ext uri="{28A0092B-C50C-407E-A947-70E740481C1C}"/>
                      </a:extLst>
                    </a:blip>
                    <a:srcRect/>
                    <a:stretch>
                      <a:fillRect/>
                    </a:stretch>
                  </pic:blipFill>
                  <pic:spPr bwMode="auto">
                    <a:xfrm>
                      <a:off x="0" y="0"/>
                      <a:ext cx="4160520" cy="25400"/>
                    </a:xfrm>
                    <a:prstGeom prst="rect">
                      <a:avLst/>
                    </a:prstGeom>
                    <a:noFill/>
                  </pic:spPr>
                </pic:pic>
              </a:graphicData>
            </a:graphic>
          </wp:anchor>
        </w:drawing>
      </w:r>
    </w:p>
    <w:p>
      <w:pPr>
        <w:spacing w:after="0" w:line="1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following table characterizes the tax treatment of distributions declared per share of common stock.</w:t>
      </w:r>
    </w:p>
    <w:p>
      <w:pPr>
        <w:spacing w:after="0" w:line="137" w:lineRule="exact"/>
        <w:rPr>
          <w:sz w:val="20"/>
          <w:szCs w:val="20"/>
          <w:color w:val="auto"/>
        </w:rPr>
      </w:pPr>
    </w:p>
    <w:p>
      <w:pPr>
        <w:ind w:left="5407"/>
        <w:spacing w:after="0"/>
        <w:rPr>
          <w:sz w:val="20"/>
          <w:szCs w:val="20"/>
          <w:color w:val="auto"/>
        </w:rPr>
      </w:pPr>
      <w:r>
        <w:rPr>
          <w:rFonts w:ascii="Times New Roman" w:cs="Times New Roman" w:eastAsia="Times New Roman" w:hAnsi="Times New Roman"/>
          <w:sz w:val="16"/>
          <w:szCs w:val="16"/>
          <w:b w:val="1"/>
          <w:bCs w:val="1"/>
          <w:color w:val="231F20"/>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18415</wp:posOffset>
            </wp:positionV>
            <wp:extent cx="4396740" cy="12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80">
                      <a:extLst>
                        <a:ext uri="{28A0092B-C50C-407E-A947-70E740481C1C}"/>
                      </a:extLst>
                    </a:blip>
                    <a:srcRect/>
                    <a:stretch>
                      <a:fillRect/>
                    </a:stretch>
                  </pic:blipFill>
                  <pic:spPr bwMode="auto">
                    <a:xfrm>
                      <a:off x="0" y="0"/>
                      <a:ext cx="4396740" cy="12700"/>
                    </a:xfrm>
                    <a:prstGeom prst="rect">
                      <a:avLst/>
                    </a:prstGeom>
                    <a:noFill/>
                  </pic:spPr>
                </pic:pic>
              </a:graphicData>
            </a:graphic>
          </wp:anchor>
        </w:drawing>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46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60" w:type="dxa"/>
            <w:vAlign w:val="bottom"/>
            <w:tcBorders>
              <w:bottom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700" w:type="dxa"/>
            <w:vAlign w:val="bottom"/>
            <w:tcBorders>
              <w:bottom w:val="single" w:sz="8" w:color="231F20"/>
            </w:tcBorders>
          </w:tcPr>
          <w:p>
            <w:pPr>
              <w:spacing w:after="0"/>
              <w:rPr>
                <w:sz w:val="18"/>
                <w:szCs w:val="18"/>
                <w:color w:val="auto"/>
              </w:rPr>
            </w:pPr>
          </w:p>
        </w:tc>
        <w:tc>
          <w:tcPr>
            <w:tcW w:w="40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w w:val="93"/>
              </w:rPr>
              <w:t>2024</w:t>
            </w:r>
          </w:p>
        </w:tc>
        <w:tc>
          <w:tcPr>
            <w:tcW w:w="860" w:type="dxa"/>
            <w:vAlign w:val="bottom"/>
            <w:tcBorders>
              <w:bottom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720" w:type="dxa"/>
            <w:vAlign w:val="bottom"/>
            <w:tcBorders>
              <w:bottom w:val="single" w:sz="8" w:color="231F20"/>
            </w:tcBorders>
          </w:tcPr>
          <w:p>
            <w:pPr>
              <w:spacing w:after="0"/>
              <w:rPr>
                <w:sz w:val="18"/>
                <w:szCs w:val="18"/>
                <w:color w:val="auto"/>
              </w:rPr>
            </w:pPr>
          </w:p>
        </w:tc>
        <w:tc>
          <w:tcPr>
            <w:tcW w:w="3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w w:val="81"/>
              </w:rPr>
              <w:t>2023</w:t>
            </w:r>
          </w:p>
        </w:tc>
        <w:tc>
          <w:tcPr>
            <w:tcW w:w="880" w:type="dxa"/>
            <w:vAlign w:val="bottom"/>
            <w:tcBorders>
              <w:bottom w:val="single" w:sz="8" w:color="231F20"/>
            </w:tcBorders>
          </w:tcPr>
          <w:p>
            <w:pPr>
              <w:spacing w:after="0"/>
              <w:rPr>
                <w:sz w:val="18"/>
                <w:szCs w:val="18"/>
                <w:color w:val="auto"/>
              </w:rPr>
            </w:pPr>
          </w:p>
        </w:tc>
      </w:tr>
      <w:tr>
        <w:trPr>
          <w:trHeight w:val="274"/>
        </w:trPr>
        <w:tc>
          <w:tcPr>
            <w:tcW w:w="30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Per Share</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231F20"/>
              </w:rPr>
              <w:t>%</w:t>
            </w:r>
          </w:p>
        </w:tc>
        <w:tc>
          <w:tcPr>
            <w:tcW w:w="180" w:type="dxa"/>
            <w:vAlign w:val="bottom"/>
          </w:tcPr>
          <w:p>
            <w:pPr>
              <w:spacing w:after="0"/>
              <w:rPr>
                <w:sz w:val="23"/>
                <w:szCs w:val="23"/>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Per Share</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231F20"/>
              </w:rPr>
              <w:t>%</w:t>
            </w:r>
          </w:p>
        </w:tc>
        <w:tc>
          <w:tcPr>
            <w:tcW w:w="200" w:type="dxa"/>
            <w:vAlign w:val="bottom"/>
          </w:tcPr>
          <w:p>
            <w:pPr>
              <w:spacing w:after="0"/>
              <w:rPr>
                <w:sz w:val="23"/>
                <w:szCs w:val="23"/>
                <w:color w:val="auto"/>
              </w:rPr>
            </w:pPr>
          </w:p>
        </w:tc>
        <w:tc>
          <w:tcPr>
            <w:tcW w:w="9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Per Share</w:t>
            </w:r>
          </w:p>
        </w:tc>
        <w:tc>
          <w:tcPr>
            <w:tcW w:w="1220" w:type="dxa"/>
            <w:vAlign w:val="bottom"/>
            <w:gridSpan w:val="2"/>
          </w:tcPr>
          <w:p>
            <w:pPr>
              <w:jc w:val="right"/>
              <w:ind w:right="262"/>
              <w:spacing w:after="0"/>
              <w:rPr>
                <w:sz w:val="20"/>
                <w:szCs w:val="20"/>
                <w:color w:val="auto"/>
              </w:rPr>
            </w:pPr>
            <w:r>
              <w:rPr>
                <w:rFonts w:ascii="Times New Roman" w:cs="Times New Roman" w:eastAsia="Times New Roman" w:hAnsi="Times New Roman"/>
                <w:sz w:val="16"/>
                <w:szCs w:val="16"/>
                <w:b w:val="1"/>
                <w:bCs w:val="1"/>
                <w:color w:val="231F20"/>
              </w:rPr>
              <w:t>%</w:t>
            </w:r>
          </w:p>
        </w:tc>
      </w:tr>
      <w:tr>
        <w:trPr>
          <w:trHeight w:val="263"/>
        </w:trPr>
        <w:tc>
          <w:tcPr>
            <w:tcW w:w="3060" w:type="dxa"/>
            <w:vAlign w:val="bottom"/>
          </w:tcPr>
          <w:p>
            <w:pPr>
              <w:jc w:val="right"/>
              <w:ind w:right="1622"/>
              <w:spacing w:after="0"/>
              <w:rPr>
                <w:sz w:val="20"/>
                <w:szCs w:val="20"/>
                <w:color w:val="auto"/>
              </w:rPr>
            </w:pPr>
            <w:r>
              <w:rPr>
                <w:rFonts w:ascii="Times New Roman" w:cs="Times New Roman" w:eastAsia="Times New Roman" w:hAnsi="Times New Roman"/>
                <w:sz w:val="20"/>
                <w:szCs w:val="20"/>
                <w:b w:val="1"/>
                <w:bCs w:val="1"/>
                <w:color w:val="231F20"/>
              </w:rPr>
              <w:t>Common Stock</w:t>
            </w:r>
          </w:p>
        </w:tc>
        <w:tc>
          <w:tcPr>
            <w:tcW w:w="820" w:type="dxa"/>
            <w:vAlign w:val="bottom"/>
            <w:tcBorders>
              <w:top w:val="single" w:sz="8" w:color="231F20"/>
            </w:tcBorders>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Borders>
              <w:top w:val="single" w:sz="8" w:color="231F20"/>
            </w:tcBorders>
          </w:tcPr>
          <w:p>
            <w:pPr>
              <w:spacing w:after="0"/>
              <w:rPr>
                <w:sz w:val="22"/>
                <w:szCs w:val="22"/>
                <w:color w:val="auto"/>
              </w:rPr>
            </w:pPr>
          </w:p>
        </w:tc>
        <w:tc>
          <w:tcPr>
            <w:tcW w:w="860" w:type="dxa"/>
            <w:vAlign w:val="bottom"/>
            <w:tcBorders>
              <w:top w:val="single" w:sz="8" w:color="231F20"/>
            </w:tcBorders>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Borders>
              <w:top w:val="single" w:sz="8" w:color="231F20"/>
            </w:tcBorders>
          </w:tcPr>
          <w:p>
            <w:pPr>
              <w:spacing w:after="0"/>
              <w:rPr>
                <w:sz w:val="22"/>
                <w:szCs w:val="22"/>
                <w:color w:val="auto"/>
              </w:rPr>
            </w:pPr>
          </w:p>
        </w:tc>
        <w:tc>
          <w:tcPr>
            <w:tcW w:w="700" w:type="dxa"/>
            <w:vAlign w:val="bottom"/>
            <w:tcBorders>
              <w:top w:val="single" w:sz="8" w:color="231F20"/>
            </w:tcBorders>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231F20"/>
            </w:tcBorders>
          </w:tcPr>
          <w:p>
            <w:pPr>
              <w:spacing w:after="0"/>
              <w:rPr>
                <w:sz w:val="22"/>
                <w:szCs w:val="22"/>
                <w:color w:val="auto"/>
              </w:rPr>
            </w:pPr>
          </w:p>
        </w:tc>
        <w:tc>
          <w:tcPr>
            <w:tcW w:w="860" w:type="dxa"/>
            <w:vAlign w:val="bottom"/>
            <w:tcBorders>
              <w:top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231F20"/>
            </w:tcBorders>
          </w:tcPr>
          <w:p>
            <w:pPr>
              <w:spacing w:after="0"/>
              <w:rPr>
                <w:sz w:val="22"/>
                <w:szCs w:val="22"/>
                <w:color w:val="auto"/>
              </w:rPr>
            </w:pPr>
          </w:p>
        </w:tc>
        <w:tc>
          <w:tcPr>
            <w:tcW w:w="720" w:type="dxa"/>
            <w:vAlign w:val="bottom"/>
            <w:tcBorders>
              <w:top w:val="single" w:sz="8" w:color="231F20"/>
            </w:tcBorders>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Borders>
              <w:top w:val="single" w:sz="8" w:color="231F20"/>
            </w:tcBorders>
          </w:tcPr>
          <w:p>
            <w:pPr>
              <w:spacing w:after="0"/>
              <w:rPr>
                <w:sz w:val="22"/>
                <w:szCs w:val="22"/>
                <w:color w:val="auto"/>
              </w:rPr>
            </w:pPr>
          </w:p>
        </w:tc>
      </w:tr>
      <w:tr>
        <w:trPr>
          <w:trHeight w:val="301"/>
        </w:trPr>
        <w:tc>
          <w:tcPr>
            <w:tcW w:w="3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Ordinary dividend </w:t>
            </w:r>
            <w:r>
              <w:rPr>
                <w:rFonts w:ascii="Times New Roman" w:cs="Times New Roman" w:eastAsia="Times New Roman" w:hAnsi="Times New Roman"/>
                <w:sz w:val="20"/>
                <w:szCs w:val="20"/>
                <w:color w:val="BABCBE"/>
              </w:rPr>
              <w:t>.....................</w:t>
            </w: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$ 6.7200</w:t>
            </w:r>
          </w:p>
        </w:tc>
        <w:tc>
          <w:tcPr>
            <w:tcW w:w="36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100.00 %</w:t>
            </w:r>
          </w:p>
        </w:tc>
        <w:tc>
          <w:tcPr>
            <w:tcW w:w="440" w:type="dxa"/>
            <w:vAlign w:val="bottom"/>
            <w:gridSpan w:val="2"/>
            <w:shd w:val="clear" w:color="auto" w:fill="E3E4E5"/>
          </w:tcPr>
          <w:p>
            <w:pPr>
              <w:jc w:val="right"/>
              <w:ind w:right="12"/>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Borders>
              <w:right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6.5600</w:t>
            </w:r>
          </w:p>
        </w:tc>
        <w:tc>
          <w:tcPr>
            <w:tcW w:w="32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100.00 %</w:t>
            </w:r>
          </w:p>
        </w:tc>
        <w:tc>
          <w:tcPr>
            <w:tcW w:w="440" w:type="dxa"/>
            <w:vAlign w:val="bottom"/>
            <w:gridSpan w:val="2"/>
            <w:shd w:val="clear" w:color="auto" w:fill="E3E4E5"/>
          </w:tcPr>
          <w:p>
            <w:pPr>
              <w:jc w:val="right"/>
              <w:ind w:right="12"/>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right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6.3100</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100.00 %</w:t>
            </w:r>
          </w:p>
        </w:tc>
      </w:tr>
      <w:tr>
        <w:trPr>
          <w:trHeight w:val="284"/>
        </w:trPr>
        <w:tc>
          <w:tcPr>
            <w:tcW w:w="306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Capital gains distribution </w:t>
            </w:r>
            <w:r>
              <w:rPr>
                <w:rFonts w:ascii="Times New Roman" w:cs="Times New Roman" w:eastAsia="Times New Roman" w:hAnsi="Times New Roman"/>
                <w:sz w:val="20"/>
                <w:szCs w:val="20"/>
                <w:color w:val="BABCBE"/>
              </w:rPr>
              <w:t>..........</w:t>
            </w: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Borders>
              <w:bottom w:val="single" w:sz="8" w:color="E3E4E5"/>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147"/>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Borders>
              <w:bottom w:val="single" w:sz="8" w:color="E3E4E5"/>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Borders>
              <w:bottom w:val="single" w:sz="8" w:color="E3E4E5"/>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147"/>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E3E4E5"/>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Borders>
              <w:bottom w:val="single" w:sz="8" w:color="E3E4E5"/>
            </w:tcBorders>
          </w:tcPr>
          <w:p>
            <w:pPr>
              <w:spacing w:after="0"/>
              <w:rPr>
                <w:sz w:val="24"/>
                <w:szCs w:val="24"/>
                <w:color w:val="auto"/>
              </w:rPr>
            </w:pPr>
          </w:p>
        </w:tc>
        <w:tc>
          <w:tcPr>
            <w:tcW w:w="880" w:type="dxa"/>
            <w:vAlign w:val="bottom"/>
            <w:tcBorders>
              <w:bottom w:val="single" w:sz="8" w:color="231F20"/>
            </w:tcBorders>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r>
      <w:tr>
        <w:trPr>
          <w:trHeight w:val="269"/>
        </w:trPr>
        <w:tc>
          <w:tcPr>
            <w:tcW w:w="30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ABCBE"/>
              </w:rPr>
              <w:t>.......................................</w:t>
            </w: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$ 6.7200</w:t>
            </w:r>
          </w:p>
        </w:tc>
        <w:tc>
          <w:tcPr>
            <w:tcW w:w="360" w:type="dxa"/>
            <w:vAlign w:val="bottom"/>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shd w:val="clear" w:color="auto" w:fill="E3E4E5"/>
          </w:tcPr>
          <w:p>
            <w:pPr>
              <w:spacing w:after="0"/>
              <w:rPr>
                <w:sz w:val="23"/>
                <w:szCs w:val="23"/>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100.00 %</w:t>
            </w:r>
          </w:p>
        </w:tc>
        <w:tc>
          <w:tcPr>
            <w:tcW w:w="180" w:type="dxa"/>
            <w:vAlign w:val="bottom"/>
            <w:shd w:val="clear" w:color="auto" w:fill="E3E4E5"/>
          </w:tcPr>
          <w:p>
            <w:pPr>
              <w:spacing w:after="0"/>
              <w:rPr>
                <w:sz w:val="23"/>
                <w:szCs w:val="23"/>
                <w:color w:val="auto"/>
              </w:rPr>
            </w:pPr>
          </w:p>
        </w:tc>
        <w:tc>
          <w:tcPr>
            <w:tcW w:w="260" w:type="dxa"/>
            <w:vAlign w:val="bottom"/>
            <w:shd w:val="clear" w:color="auto" w:fill="E3E4E5"/>
          </w:tcPr>
          <w:p>
            <w:pPr>
              <w:jc w:val="right"/>
              <w:ind w:right="12"/>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Borders>
              <w:right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6.5600</w:t>
            </w:r>
          </w:p>
        </w:tc>
        <w:tc>
          <w:tcPr>
            <w:tcW w:w="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80" w:type="dxa"/>
            <w:vAlign w:val="bottom"/>
            <w:shd w:val="clear" w:color="auto" w:fill="E3E4E5"/>
          </w:tcPr>
          <w:p>
            <w:pPr>
              <w:spacing w:after="0"/>
              <w:rPr>
                <w:sz w:val="23"/>
                <w:szCs w:val="23"/>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100.00 %</w:t>
            </w:r>
          </w:p>
        </w:tc>
        <w:tc>
          <w:tcPr>
            <w:tcW w:w="200" w:type="dxa"/>
            <w:vAlign w:val="bottom"/>
            <w:shd w:val="clear" w:color="auto" w:fill="E3E4E5"/>
          </w:tcPr>
          <w:p>
            <w:pPr>
              <w:spacing w:after="0"/>
              <w:rPr>
                <w:sz w:val="23"/>
                <w:szCs w:val="23"/>
                <w:color w:val="auto"/>
              </w:rPr>
            </w:pPr>
          </w:p>
        </w:tc>
        <w:tc>
          <w:tcPr>
            <w:tcW w:w="240" w:type="dxa"/>
            <w:vAlign w:val="bottom"/>
            <w:shd w:val="clear" w:color="auto" w:fill="E3E4E5"/>
          </w:tcPr>
          <w:p>
            <w:pPr>
              <w:jc w:val="right"/>
              <w:ind w:right="12"/>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right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6.3100</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  100.00 %</w:t>
            </w:r>
          </w:p>
        </w:tc>
      </w:tr>
      <w:tr>
        <w:trPr>
          <w:trHeight w:val="25"/>
        </w:trPr>
        <w:tc>
          <w:tcPr>
            <w:tcW w:w="3060" w:type="dxa"/>
            <w:vAlign w:val="bottom"/>
            <w:tcBorders>
              <w:top w:val="single" w:sz="8" w:color="E3E4E5"/>
            </w:tcBorders>
          </w:tcPr>
          <w:p>
            <w:pPr>
              <w:spacing w:after="0"/>
              <w:rPr>
                <w:sz w:val="2"/>
                <w:szCs w:val="2"/>
                <w:color w:val="auto"/>
              </w:rPr>
            </w:pPr>
          </w:p>
        </w:tc>
        <w:tc>
          <w:tcPr>
            <w:tcW w:w="820" w:type="dxa"/>
            <w:vAlign w:val="bottom"/>
            <w:tcBorders>
              <w:top w:val="single" w:sz="8" w:color="231F20"/>
            </w:tcBorders>
            <w:shd w:val="clear" w:color="auto" w:fill="231F20"/>
          </w:tcPr>
          <w:p>
            <w:pPr>
              <w:spacing w:after="0"/>
              <w:rPr>
                <w:sz w:val="2"/>
                <w:szCs w:val="2"/>
                <w:color w:val="auto"/>
              </w:rPr>
            </w:pPr>
          </w:p>
        </w:tc>
        <w:tc>
          <w:tcPr>
            <w:tcW w:w="360" w:type="dxa"/>
            <w:vAlign w:val="bottom"/>
            <w:tcBorders>
              <w:top w:val="single" w:sz="8" w:color="E3E4E5"/>
            </w:tcBorders>
          </w:tcPr>
          <w:p>
            <w:pPr>
              <w:spacing w:after="0"/>
              <w:rPr>
                <w:sz w:val="2"/>
                <w:szCs w:val="2"/>
                <w:color w:val="auto"/>
              </w:rPr>
            </w:pPr>
          </w:p>
        </w:tc>
        <w:tc>
          <w:tcPr>
            <w:tcW w:w="100" w:type="dxa"/>
            <w:vAlign w:val="bottom"/>
            <w:tcBorders>
              <w:top w:val="single" w:sz="8" w:color="231F20"/>
            </w:tcBorders>
            <w:shd w:val="clear" w:color="auto" w:fill="231F20"/>
          </w:tcPr>
          <w:p>
            <w:pPr>
              <w:spacing w:after="0"/>
              <w:rPr>
                <w:sz w:val="2"/>
                <w:szCs w:val="2"/>
                <w:color w:val="auto"/>
              </w:rPr>
            </w:pPr>
          </w:p>
        </w:tc>
        <w:tc>
          <w:tcPr>
            <w:tcW w:w="860" w:type="dxa"/>
            <w:vAlign w:val="bottom"/>
            <w:tcBorders>
              <w:top w:val="single" w:sz="8" w:color="231F20"/>
            </w:tcBorders>
            <w:shd w:val="clear" w:color="auto" w:fill="231F20"/>
          </w:tcPr>
          <w:p>
            <w:pPr>
              <w:spacing w:after="0"/>
              <w:rPr>
                <w:sz w:val="2"/>
                <w:szCs w:val="2"/>
                <w:color w:val="auto"/>
              </w:rPr>
            </w:pPr>
          </w:p>
        </w:tc>
        <w:tc>
          <w:tcPr>
            <w:tcW w:w="180" w:type="dxa"/>
            <w:vAlign w:val="bottom"/>
            <w:tcBorders>
              <w:top w:val="single" w:sz="8" w:color="E3E4E5"/>
            </w:tcBorders>
          </w:tcPr>
          <w:p>
            <w:pPr>
              <w:spacing w:after="0"/>
              <w:rPr>
                <w:sz w:val="2"/>
                <w:szCs w:val="2"/>
                <w:color w:val="auto"/>
              </w:rPr>
            </w:pPr>
          </w:p>
        </w:tc>
        <w:tc>
          <w:tcPr>
            <w:tcW w:w="260" w:type="dxa"/>
            <w:vAlign w:val="bottom"/>
            <w:tcBorders>
              <w:top w:val="single" w:sz="8" w:color="231F20"/>
            </w:tcBorders>
            <w:shd w:val="clear" w:color="auto" w:fill="231F20"/>
          </w:tcPr>
          <w:p>
            <w:pPr>
              <w:spacing w:after="0"/>
              <w:rPr>
                <w:sz w:val="2"/>
                <w:szCs w:val="2"/>
                <w:color w:val="auto"/>
              </w:rPr>
            </w:pPr>
          </w:p>
        </w:tc>
        <w:tc>
          <w:tcPr>
            <w:tcW w:w="700" w:type="dxa"/>
            <w:vAlign w:val="bottom"/>
            <w:tcBorders>
              <w:top w:val="single" w:sz="8" w:color="231F20"/>
              <w:right w:val="single" w:sz="8" w:color="231F20"/>
            </w:tcBorders>
            <w:shd w:val="clear" w:color="auto" w:fill="231F20"/>
          </w:tcPr>
          <w:p>
            <w:pPr>
              <w:spacing w:after="0"/>
              <w:rPr>
                <w:sz w:val="2"/>
                <w:szCs w:val="2"/>
                <w:color w:val="auto"/>
              </w:rPr>
            </w:pPr>
          </w:p>
        </w:tc>
        <w:tc>
          <w:tcPr>
            <w:tcW w:w="320" w:type="dxa"/>
            <w:vAlign w:val="bottom"/>
            <w:tcBorders>
              <w:top w:val="single" w:sz="8" w:color="E3E4E5"/>
            </w:tcBorders>
          </w:tcPr>
          <w:p>
            <w:pPr>
              <w:spacing w:after="0"/>
              <w:rPr>
                <w:sz w:val="2"/>
                <w:szCs w:val="2"/>
                <w:color w:val="auto"/>
              </w:rPr>
            </w:pPr>
          </w:p>
        </w:tc>
        <w:tc>
          <w:tcPr>
            <w:tcW w:w="80" w:type="dxa"/>
            <w:vAlign w:val="bottom"/>
            <w:tcBorders>
              <w:top w:val="single" w:sz="8" w:color="231F20"/>
            </w:tcBorders>
            <w:shd w:val="clear" w:color="auto" w:fill="231F20"/>
          </w:tcPr>
          <w:p>
            <w:pPr>
              <w:spacing w:after="0"/>
              <w:rPr>
                <w:sz w:val="2"/>
                <w:szCs w:val="2"/>
                <w:color w:val="auto"/>
              </w:rPr>
            </w:pPr>
          </w:p>
        </w:tc>
        <w:tc>
          <w:tcPr>
            <w:tcW w:w="860" w:type="dxa"/>
            <w:vAlign w:val="bottom"/>
            <w:tcBorders>
              <w:top w:val="single" w:sz="8" w:color="231F20"/>
            </w:tcBorders>
            <w:shd w:val="clear" w:color="auto" w:fill="231F20"/>
          </w:tcPr>
          <w:p>
            <w:pPr>
              <w:spacing w:after="0"/>
              <w:rPr>
                <w:sz w:val="2"/>
                <w:szCs w:val="2"/>
                <w:color w:val="auto"/>
              </w:rPr>
            </w:pPr>
          </w:p>
        </w:tc>
        <w:tc>
          <w:tcPr>
            <w:tcW w:w="200" w:type="dxa"/>
            <w:vAlign w:val="bottom"/>
            <w:tcBorders>
              <w:top w:val="single" w:sz="8" w:color="E3E4E5"/>
            </w:tcBorders>
          </w:tcPr>
          <w:p>
            <w:pPr>
              <w:spacing w:after="0"/>
              <w:rPr>
                <w:sz w:val="2"/>
                <w:szCs w:val="2"/>
                <w:color w:val="auto"/>
              </w:rPr>
            </w:pPr>
          </w:p>
        </w:tc>
        <w:tc>
          <w:tcPr>
            <w:tcW w:w="240" w:type="dxa"/>
            <w:vAlign w:val="bottom"/>
            <w:tcBorders>
              <w:top w:val="single" w:sz="8" w:color="231F20"/>
            </w:tcBorders>
            <w:shd w:val="clear" w:color="auto" w:fill="231F20"/>
          </w:tcPr>
          <w:p>
            <w:pPr>
              <w:spacing w:after="0"/>
              <w:rPr>
                <w:sz w:val="2"/>
                <w:szCs w:val="2"/>
                <w:color w:val="auto"/>
              </w:rPr>
            </w:pPr>
          </w:p>
        </w:tc>
        <w:tc>
          <w:tcPr>
            <w:tcW w:w="720" w:type="dxa"/>
            <w:vAlign w:val="bottom"/>
            <w:tcBorders>
              <w:top w:val="single" w:sz="8" w:color="231F20"/>
              <w:right w:val="single" w:sz="8" w:color="231F20"/>
            </w:tcBorders>
            <w:shd w:val="clear" w:color="auto" w:fill="231F20"/>
          </w:tcPr>
          <w:p>
            <w:pPr>
              <w:spacing w:after="0"/>
              <w:rPr>
                <w:sz w:val="2"/>
                <w:szCs w:val="2"/>
                <w:color w:val="auto"/>
              </w:rPr>
            </w:pPr>
          </w:p>
        </w:tc>
        <w:tc>
          <w:tcPr>
            <w:tcW w:w="340" w:type="dxa"/>
            <w:vAlign w:val="bottom"/>
            <w:tcBorders>
              <w:top w:val="single" w:sz="8" w:color="E3E4E5"/>
            </w:tcBorders>
          </w:tcPr>
          <w:p>
            <w:pPr>
              <w:spacing w:after="0"/>
              <w:rPr>
                <w:sz w:val="2"/>
                <w:szCs w:val="2"/>
                <w:color w:val="auto"/>
              </w:rPr>
            </w:pPr>
          </w:p>
        </w:tc>
        <w:tc>
          <w:tcPr>
            <w:tcW w:w="880" w:type="dxa"/>
            <w:vAlign w:val="bottom"/>
            <w:tcBorders>
              <w:top w:val="single" w:sz="8" w:color="231F20"/>
            </w:tcBorders>
            <w:shd w:val="clear" w:color="auto" w:fill="231F2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-217170</wp:posOffset>
            </wp:positionV>
            <wp:extent cx="442214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81">
                      <a:extLst>
                        <a:ext uri="{28A0092B-C50C-407E-A947-70E740481C1C}"/>
                      </a:extLst>
                    </a:blip>
                    <a:srcRect/>
                    <a:stretch>
                      <a:fillRect/>
                    </a:stretch>
                  </pic:blipFill>
                  <pic:spPr bwMode="auto">
                    <a:xfrm>
                      <a:off x="0" y="0"/>
                      <a:ext cx="4422140" cy="25400"/>
                    </a:xfrm>
                    <a:prstGeom prst="rect">
                      <a:avLst/>
                    </a:prstGeom>
                    <a:noFill/>
                  </pic:spPr>
                </pic:pic>
              </a:graphicData>
            </a:graphic>
          </wp:anchor>
        </w:drawing>
        <w:drawing>
          <wp:anchor simplePos="0" relativeHeight="251657728" behindDoc="1" locked="0" layoutInCell="0" allowOverlap="1">
            <wp:simplePos x="0" y="0"/>
            <wp:positionH relativeFrom="column">
              <wp:posOffset>1929130</wp:posOffset>
            </wp:positionH>
            <wp:positionV relativeFrom="paragraph">
              <wp:posOffset>-43180</wp:posOffset>
            </wp:positionV>
            <wp:extent cx="4422140" cy="501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82">
                      <a:extLst>
                        <a:ext uri="{28A0092B-C50C-407E-A947-70E740481C1C}"/>
                      </a:extLst>
                    </a:blip>
                    <a:srcRect/>
                    <a:stretch>
                      <a:fillRect/>
                    </a:stretch>
                  </pic:blipFill>
                  <pic:spPr bwMode="auto">
                    <a:xfrm>
                      <a:off x="0" y="0"/>
                      <a:ext cx="4422140"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jc w:val="both"/>
        <w:ind w:left="347" w:right="80" w:hanging="347"/>
        <w:spacing w:after="0" w:line="261" w:lineRule="auto"/>
        <w:tabs>
          <w:tab w:leader="none" w:pos="348" w:val="left"/>
        </w:tabs>
        <w:numPr>
          <w:ilvl w:val="0"/>
          <w:numId w:val="1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Excludes dividend declared on December 4, 2025 of $1.70 per share, which was paid on February 2, 2026 to common stockholders of record at the close of business on December 29, 2025 and which will apply to the 2026 tax year. Includes dividend declared on December 5, 2024 of $1.62 per share, which was paid on February 3, 2025 to common stockholders of record at the close of business on December 27, 2024 and which applied to the 2025 tax year.</w:t>
      </w:r>
    </w:p>
    <w:p>
      <w:pPr>
        <w:spacing w:after="0" w:line="1" w:lineRule="exact"/>
        <w:rPr>
          <w:rFonts w:ascii="Times New Roman" w:cs="Times New Roman" w:eastAsia="Times New Roman" w:hAnsi="Times New Roman"/>
          <w:sz w:val="15"/>
          <w:szCs w:val="15"/>
          <w:color w:val="231F20"/>
        </w:rPr>
      </w:pPr>
    </w:p>
    <w:p>
      <w:pPr>
        <w:ind w:left="347" w:right="80" w:hanging="347"/>
        <w:spacing w:after="0" w:line="261" w:lineRule="auto"/>
        <w:tabs>
          <w:tab w:leader="none" w:pos="348" w:val="left"/>
        </w:tabs>
        <w:numPr>
          <w:ilvl w:val="0"/>
          <w:numId w:val="1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Excludes dividend declared on December 5, 2024 of $1.62 per share, which was paid on February 3, 2025 to common stockholders of record at the close of business on December 27, 2024 and which applied to the 2025 tax year. Includes dividend declared on December 13, 2023 of $1.70 per share, which was paid on February 1, 2024 to common stockholders of record at the close of business on December 28, 2023 and which applied to the 2024 tax year.</w:t>
      </w:r>
    </w:p>
    <w:p>
      <w:pPr>
        <w:spacing w:after="0" w:line="1" w:lineRule="exact"/>
        <w:rPr>
          <w:rFonts w:ascii="Times New Roman" w:cs="Times New Roman" w:eastAsia="Times New Roman" w:hAnsi="Times New Roman"/>
          <w:sz w:val="15"/>
          <w:szCs w:val="15"/>
          <w:color w:val="231F20"/>
        </w:rPr>
      </w:pPr>
    </w:p>
    <w:p>
      <w:pPr>
        <w:ind w:left="347" w:hanging="347"/>
        <w:spacing w:after="0" w:line="272" w:lineRule="auto"/>
        <w:tabs>
          <w:tab w:leader="none" w:pos="348" w:val="left"/>
        </w:tabs>
        <w:numPr>
          <w:ilvl w:val="0"/>
          <w:numId w:val="11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Excludes dividend declared on December 13, 2023 of $1.70 per share, which was paid on February 1, 2024 to common stockholders of record at the close of business on December 28, 2023 and which applied to the 2024 tax year. Includes dividend declared on December 7, 2022 of $1.56 per share, which was paid on February 2, 2023 to common stockholders of record at the close of business on December 28, 2022 and which applied to the 2023 tax year.</w:t>
      </w:r>
    </w:p>
    <w:p>
      <w:pPr>
        <w:spacing w:after="0" w:line="106" w:lineRule="exact"/>
        <w:rPr>
          <w:sz w:val="20"/>
          <w:szCs w:val="20"/>
          <w:color w:val="auto"/>
        </w:rPr>
      </w:pPr>
    </w:p>
    <w:p>
      <w:pPr>
        <w:ind w:left="7" w:right="40"/>
        <w:spacing w:after="0" w:line="251" w:lineRule="auto"/>
        <w:rPr>
          <w:sz w:val="20"/>
          <w:szCs w:val="20"/>
          <w:color w:val="auto"/>
        </w:rPr>
      </w:pPr>
      <w:r>
        <w:rPr>
          <w:rFonts w:ascii="Times New Roman" w:cs="Times New Roman" w:eastAsia="Times New Roman" w:hAnsi="Times New Roman"/>
          <w:sz w:val="20"/>
          <w:szCs w:val="20"/>
          <w:color w:val="231F20"/>
        </w:rPr>
        <w:t>The Company accrues distributions on unvested restricted stock units, which are payable upon vesting. The amount accrued for distributions payable related to unvested restricted stock units was $20.8 million and $22.5 million as of December 31, 2025 and 2024, respectively. During the year ended December 31, 2025, the Company paid $12.2 million of distributions upon the vesting of restricted stock units. To maintain its qualification for taxation as a REIT, the Company expects to continue paying distributions, the amount, timing and frequency of which will be determined, and subject to adjustment, by the Company’s Board of Directors.</w:t>
      </w:r>
    </w:p>
    <w:p>
      <w:pPr>
        <w:spacing w:after="0" w:line="160"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14.</w:t>
      </w:r>
      <w:r>
        <w:rPr>
          <w:sz w:val="20"/>
          <w:szCs w:val="20"/>
          <w:color w:val="auto"/>
        </w:rPr>
        <w:tab/>
      </w:r>
      <w:r>
        <w:rPr>
          <w:rFonts w:ascii="Times New Roman" w:cs="Times New Roman" w:eastAsia="Times New Roman" w:hAnsi="Times New Roman"/>
          <w:sz w:val="19"/>
          <w:szCs w:val="19"/>
          <w:b w:val="1"/>
          <w:bCs w:val="1"/>
          <w:color w:val="231F20"/>
        </w:rPr>
        <w:t>NONCONTROLLING INTERESTS</w:t>
      </w:r>
    </w:p>
    <w:p>
      <w:pPr>
        <w:spacing w:after="0" w:line="203" w:lineRule="exact"/>
        <w:rPr>
          <w:sz w:val="20"/>
          <w:szCs w:val="20"/>
          <w:color w:val="auto"/>
        </w:rPr>
      </w:pPr>
    </w:p>
    <w:p>
      <w:pPr>
        <w:ind w:left="7" w:right="140"/>
        <w:spacing w:after="0" w:line="269" w:lineRule="auto"/>
        <w:rPr>
          <w:sz w:val="20"/>
          <w:szCs w:val="20"/>
          <w:color w:val="auto"/>
        </w:rPr>
      </w:pPr>
      <w:r>
        <w:rPr>
          <w:rFonts w:ascii="Times New Roman" w:cs="Times New Roman" w:eastAsia="Times New Roman" w:hAnsi="Times New Roman"/>
          <w:sz w:val="19"/>
          <w:szCs w:val="19"/>
          <w:i w:val="1"/>
          <w:iCs w:val="1"/>
          <w:color w:val="231F20"/>
        </w:rPr>
        <w:t>European Interests—</w:t>
      </w:r>
      <w:r>
        <w:rPr>
          <w:rFonts w:ascii="Times New Roman" w:cs="Times New Roman" w:eastAsia="Times New Roman" w:hAnsi="Times New Roman"/>
          <w:sz w:val="19"/>
          <w:szCs w:val="19"/>
          <w:color w:val="231F20"/>
        </w:rPr>
        <w:t>As of December 31, 2025, ATC Europe consists of the Company’s operations in France, Germany and</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Spain. The Company currently holds a 52% controlling interest in ATC Europe, with Caisse de dépôt et placement du Québec (“La Caisse”) and Allianz insurance companies and funds managed by Allianz Capital Partners GmbH, including the Allianz European Infrastructure Fund (collectively, “Allianz”) holding 30% and 18% noncontrolling interests, respectively. ATC Europe holds a 100% interest in the subsidiaries that consist of the Company’s operations in France and an 87% and an 83%</w:t>
      </w:r>
    </w:p>
    <w:p>
      <w:pPr>
        <w:sectPr>
          <w:pgSz w:w="11880" w:h="15480" w:orient="portrait"/>
          <w:cols w:equalWidth="0" w:num="1">
            <w:col w:w="10027"/>
          </w:cols>
          <w:pgMar w:left="913" w:top="41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231F20"/>
        </w:rPr>
        <w:t>F-44</w:t>
      </w:r>
    </w:p>
    <w:p>
      <w:pPr>
        <w:sectPr>
          <w:pgSz w:w="11880" w:h="15480" w:orient="portrait"/>
          <w:cols w:equalWidth="0" w:num="1">
            <w:col w:w="10027"/>
          </w:cols>
          <w:pgMar w:left="913" w:top="418" w:right="940" w:bottom="0" w:gutter="0" w:footer="0" w:header="0"/>
          <w:type w:val="continuous"/>
        </w:sectPr>
      </w:pPr>
    </w:p>
    <w:bookmarkStart w:id="134" w:name="page135"/>
    <w:bookmarkEnd w:id="134"/>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560"/>
        <w:spacing w:after="0" w:line="273" w:lineRule="auto"/>
        <w:rPr>
          <w:sz w:val="20"/>
          <w:szCs w:val="20"/>
          <w:color w:val="auto"/>
        </w:rPr>
      </w:pPr>
      <w:r>
        <w:rPr>
          <w:rFonts w:ascii="Times New Roman" w:cs="Times New Roman" w:eastAsia="Times New Roman" w:hAnsi="Times New Roman"/>
          <w:sz w:val="20"/>
          <w:szCs w:val="20"/>
          <w:color w:val="231F20"/>
        </w:rPr>
        <w:t>controlling interest in the subsidiaries that consist of the Company’s operations in Germany and Spain, respectively, with PGGM holding a 13% and a 17% noncontrolling interest in each respective subsidiary.</w:t>
      </w:r>
    </w:p>
    <w:p>
      <w:pPr>
        <w:spacing w:after="0" w:line="141" w:lineRule="exact"/>
        <w:rPr>
          <w:sz w:val="20"/>
          <w:szCs w:val="20"/>
          <w:color w:val="auto"/>
        </w:rPr>
      </w:pPr>
    </w:p>
    <w:p>
      <w:pPr>
        <w:ind w:left="7" w:right="60"/>
        <w:spacing w:after="0" w:line="275" w:lineRule="auto"/>
        <w:rPr>
          <w:sz w:val="20"/>
          <w:szCs w:val="20"/>
          <w:color w:val="auto"/>
        </w:rPr>
      </w:pPr>
      <w:r>
        <w:rPr>
          <w:rFonts w:ascii="Times New Roman" w:cs="Times New Roman" w:eastAsia="Times New Roman" w:hAnsi="Times New Roman"/>
          <w:sz w:val="20"/>
          <w:szCs w:val="20"/>
          <w:i w:val="1"/>
          <w:iCs w:val="1"/>
          <w:color w:val="231F20"/>
        </w:rPr>
        <w:t>Bangladesh Partnership</w:t>
      </w:r>
      <w:r>
        <w:rPr>
          <w:rFonts w:ascii="Times New Roman" w:cs="Times New Roman" w:eastAsia="Times New Roman" w:hAnsi="Times New Roman"/>
          <w:sz w:val="20"/>
          <w:szCs w:val="20"/>
          <w:color w:val="231F20"/>
        </w:rPr>
        <w:t>—In August 2021, the Company acquired a 51% controlling interest in Kirtonkhola Tower Bangladesh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Limited (“KTBL”). Confidence Group holds a 49% noncontrolling interest in KTBL.</w:t>
      </w:r>
    </w:p>
    <w:p>
      <w:pPr>
        <w:spacing w:after="0" w:line="100" w:lineRule="exact"/>
        <w:rPr>
          <w:sz w:val="20"/>
          <w:szCs w:val="20"/>
          <w:color w:val="auto"/>
        </w:rPr>
      </w:pPr>
    </w:p>
    <w:p>
      <w:pPr>
        <w:ind w:left="7" w:right="500"/>
        <w:spacing w:after="0" w:line="245" w:lineRule="auto"/>
        <w:rPr>
          <w:sz w:val="20"/>
          <w:szCs w:val="20"/>
          <w:color w:val="auto"/>
        </w:rPr>
      </w:pPr>
      <w:r>
        <w:rPr>
          <w:rFonts w:ascii="Times New Roman" w:cs="Times New Roman" w:eastAsia="Times New Roman" w:hAnsi="Times New Roman"/>
          <w:sz w:val="20"/>
          <w:szCs w:val="20"/>
          <w:i w:val="1"/>
          <w:iCs w:val="1"/>
          <w:color w:val="231F20"/>
        </w:rPr>
        <w:t>Stonepeak Transaction</w:t>
      </w:r>
      <w:r>
        <w:rPr>
          <w:rFonts w:ascii="Times New Roman" w:cs="Times New Roman" w:eastAsia="Times New Roman" w:hAnsi="Times New Roman"/>
          <w:sz w:val="20"/>
          <w:szCs w:val="20"/>
          <w:color w:val="231F20"/>
        </w:rPr>
        <w:t>—In 2022, the Company entered into agreements pursuant to which certain investment vehicles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affiliated with Stonepeak Partners LP (such investment vehicles, collectively, “Stonepeak”) acquired a noncontrolling ownership interest in the Company’s U.S. data center business, through an investment in common equity and mandatorily convertible preferred equity.</w:t>
      </w:r>
    </w:p>
    <w:p>
      <w:pPr>
        <w:spacing w:after="0" w:line="121" w:lineRule="exact"/>
        <w:rPr>
          <w:sz w:val="20"/>
          <w:szCs w:val="20"/>
          <w:color w:val="auto"/>
        </w:rPr>
      </w:pPr>
    </w:p>
    <w:p>
      <w:pPr>
        <w:ind w:left="7" w:right="80"/>
        <w:spacing w:after="0" w:line="266" w:lineRule="auto"/>
        <w:rPr>
          <w:sz w:val="20"/>
          <w:szCs w:val="20"/>
          <w:color w:val="auto"/>
        </w:rPr>
      </w:pPr>
      <w:r>
        <w:rPr>
          <w:rFonts w:ascii="Times New Roman" w:cs="Times New Roman" w:eastAsia="Times New Roman" w:hAnsi="Times New Roman"/>
          <w:sz w:val="19"/>
          <w:szCs w:val="19"/>
          <w:color w:val="231F20"/>
        </w:rPr>
        <w:t>As of December 31, 2025, the Company holds a common equity interest of approximately 71% in its U.S. data center business, with Stonepeak holding approximately 29% of the outstanding common equity and 100% of the outstanding mandatorily convertible preferred equity. On a fully converted basis, which is expected to occur four years from August 2022, and on the basis of the currently outstanding equity, the Company will hold a controlling ownership interest of approximately 64%, with Stonepeak holding approximately 36%. The mandatorily convertible preferred equity, which accrues dividends at 5.0%, will convert into common equity on a one for one basis, subject to adjustment that will be measured upon conversion.</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Dividends to noncontrolling interests—</w:t>
      </w:r>
      <w:r>
        <w:rPr>
          <w:rFonts w:ascii="Times New Roman" w:cs="Times New Roman" w:eastAsia="Times New Roman" w:hAnsi="Times New Roman"/>
          <w:sz w:val="20"/>
          <w:szCs w:val="20"/>
          <w:color w:val="231F20"/>
        </w:rPr>
        <w:t>Certain of the Company’s subsidiaries may, from time to time, declare dividends.</w:t>
      </w:r>
    </w:p>
    <w:p>
      <w:pPr>
        <w:spacing w:after="0" w:line="154" w:lineRule="exact"/>
        <w:rPr>
          <w:sz w:val="20"/>
          <w:szCs w:val="20"/>
          <w:color w:val="auto"/>
        </w:rPr>
      </w:pPr>
    </w:p>
    <w:p>
      <w:pPr>
        <w:ind w:left="7" w:right="140"/>
        <w:spacing w:after="0" w:line="249" w:lineRule="auto"/>
        <w:rPr>
          <w:sz w:val="20"/>
          <w:szCs w:val="20"/>
          <w:color w:val="auto"/>
        </w:rPr>
      </w:pPr>
      <w:r>
        <w:rPr>
          <w:rFonts w:ascii="Times New Roman" w:cs="Times New Roman" w:eastAsia="Times New Roman" w:hAnsi="Times New Roman"/>
          <w:sz w:val="20"/>
          <w:szCs w:val="20"/>
          <w:color w:val="231F20"/>
        </w:rPr>
        <w:t>During the year ended December 31, 2025, the Company’s U.S. data center business declared distributions of $46.1 million related to the outstanding Stonepeak mandatorily convertible preferred equity (the “Stonepeak Preferred Distributions”). As of December 31, 2025, the amount accrued for Stonepeak Preferred Distributions was $11.6 million.</w:t>
      </w:r>
    </w:p>
    <w:p>
      <w:pPr>
        <w:spacing w:after="0" w:line="117" w:lineRule="exact"/>
        <w:rPr>
          <w:sz w:val="20"/>
          <w:szCs w:val="20"/>
          <w:color w:val="auto"/>
        </w:rPr>
      </w:pPr>
    </w:p>
    <w:p>
      <w:pPr>
        <w:ind w:left="7" w:right="60"/>
        <w:spacing w:after="0" w:line="242" w:lineRule="auto"/>
        <w:rPr>
          <w:sz w:val="20"/>
          <w:szCs w:val="20"/>
          <w:color w:val="auto"/>
        </w:rPr>
      </w:pPr>
      <w:r>
        <w:rPr>
          <w:rFonts w:ascii="Times New Roman" w:cs="Times New Roman" w:eastAsia="Times New Roman" w:hAnsi="Times New Roman"/>
          <w:sz w:val="20"/>
          <w:szCs w:val="20"/>
          <w:color w:val="231F20"/>
        </w:rPr>
        <w:t>Beginning in January 2024, pursuant to the terms of the ownership agreement with Stonepeak, on a quarterly basis, the Company’s U.S. data center business will distribute common dividends to the Company and to Stonepeak in proportion to their respective equity interests in the Company’s U.S. data center business (the “Stonepeak Common Dividend”). During the year ended December 31, 2025, the Company’s U.S. data center business made distributions of $69.6 million related to the Stonepeak Common Dividend.</w:t>
      </w:r>
    </w:p>
    <w:p>
      <w:pPr>
        <w:spacing w:after="0" w:line="1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During the year ended December 31, 2025, pursuant to the terms of the ownership agreements, ATC Europe C.V., one of the</w:t>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Company’s subsidiaries in the Netherlands, declared and paid aggregate dividends of 248.9 million EUR (approximately</w:t>
      </w:r>
    </w:p>
    <w:p>
      <w:pPr>
        <w:ind w:left="7"/>
        <w:spacing w:after="0"/>
        <w:rPr>
          <w:sz w:val="20"/>
          <w:szCs w:val="20"/>
          <w:color w:val="auto"/>
        </w:rPr>
      </w:pPr>
      <w:r>
        <w:rPr>
          <w:rFonts w:ascii="Times New Roman" w:cs="Times New Roman" w:eastAsia="Times New Roman" w:hAnsi="Times New Roman"/>
          <w:sz w:val="19"/>
          <w:szCs w:val="19"/>
          <w:color w:val="231F20"/>
        </w:rPr>
        <w:t>$291.2 million at the dates of payment) to the Company, La Caisse and Allianz in proportion to their respective equity interests</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in ATC Europe C.V.</w:t>
      </w:r>
    </w:p>
    <w:p>
      <w:pPr>
        <w:spacing w:after="0" w:line="130" w:lineRule="exact"/>
        <w:rPr>
          <w:sz w:val="20"/>
          <w:szCs w:val="20"/>
          <w:color w:val="auto"/>
        </w:rPr>
      </w:pPr>
    </w:p>
    <w:p>
      <w:pPr>
        <w:ind w:left="7" w:right="80"/>
        <w:spacing w:after="0" w:line="279" w:lineRule="auto"/>
        <w:rPr>
          <w:sz w:val="20"/>
          <w:szCs w:val="20"/>
          <w:color w:val="auto"/>
        </w:rPr>
      </w:pPr>
      <w:r>
        <w:rPr>
          <w:rFonts w:ascii="Times New Roman" w:cs="Times New Roman" w:eastAsia="Times New Roman" w:hAnsi="Times New Roman"/>
          <w:sz w:val="19"/>
          <w:szCs w:val="19"/>
          <w:color w:val="231F20"/>
        </w:rPr>
        <w:t>During the year ended December 31, 2025, pursuant to the terms of the ownership agreements, AT Iberia C.V., one of the Company’s subsidiaries in Spain, declared and paid aggregate dividends of 87.3 million EUR (approximately $101.1 million at the dates of payment) to ATC Europe and PGGM in proportion to their respective equity interests in AT Iberia C.V.</w:t>
      </w:r>
    </w:p>
    <w:p>
      <w:pPr>
        <w:spacing w:after="0" w:line="1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changes in noncontrolling interests were as follows:</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3060" w:type="dxa"/>
            <w:vAlign w:val="bottom"/>
            <w:gridSpan w:val="4"/>
          </w:tcPr>
          <w:p>
            <w:pPr>
              <w:jc w:val="right"/>
              <w:ind w:right="20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Borders>
              <w:bottom w:val="single" w:sz="8" w:color="E3E4E5"/>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720" w:type="dxa"/>
            <w:vAlign w:val="bottom"/>
            <w:tcBorders>
              <w:top w:val="single" w:sz="8" w:color="231F20"/>
              <w:bottom w:val="single" w:sz="8" w:color="231F20"/>
            </w:tcBorders>
          </w:tcPr>
          <w:p>
            <w:pPr>
              <w:spacing w:after="0"/>
              <w:rPr>
                <w:sz w:val="19"/>
                <w:szCs w:val="19"/>
                <w:color w:val="auto"/>
              </w:rPr>
            </w:pPr>
          </w:p>
        </w:tc>
        <w:tc>
          <w:tcPr>
            <w:tcW w:w="60" w:type="dxa"/>
            <w:vAlign w:val="bottom"/>
            <w:tcBorders>
              <w:bottom w:val="single" w:sz="8" w:color="E3E4E5"/>
            </w:tcBorders>
          </w:tcPr>
          <w:p>
            <w:pPr>
              <w:spacing w:after="0"/>
              <w:rPr>
                <w:sz w:val="19"/>
                <w:szCs w:val="19"/>
                <w:color w:val="auto"/>
              </w:rPr>
            </w:pPr>
          </w:p>
        </w:tc>
        <w:tc>
          <w:tcPr>
            <w:tcW w:w="1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720" w:type="dxa"/>
            <w:vAlign w:val="bottom"/>
            <w:tcBorders>
              <w:top w:val="single" w:sz="8" w:color="231F20"/>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Balance as of January 1, </w:t>
            </w:r>
            <w:r>
              <w:rPr>
                <w:rFonts w:ascii="Times New Roman" w:cs="Times New Roman" w:eastAsia="Times New Roman" w:hAnsi="Times New Roman"/>
                <w:sz w:val="20"/>
                <w:szCs w:val="20"/>
                <w:color w:val="BABCBE"/>
                <w:w w:val="99"/>
              </w:rPr>
              <w:t>.....................................................................................</w:t>
            </w:r>
          </w:p>
        </w:tc>
        <w:tc>
          <w:tcPr>
            <w:tcW w:w="1140" w:type="dxa"/>
            <w:vAlign w:val="bottom"/>
            <w:shd w:val="clear" w:color="auto" w:fill="E3E4E5"/>
          </w:tcPr>
          <w:p>
            <w:pPr>
              <w:jc w:val="right"/>
              <w:ind w:right="912"/>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6,266.5</w:t>
            </w:r>
          </w:p>
        </w:tc>
        <w:tc>
          <w:tcPr>
            <w:tcW w:w="1200" w:type="dxa"/>
            <w:vAlign w:val="bottom"/>
            <w:gridSpan w:val="2"/>
            <w:shd w:val="clear" w:color="auto" w:fill="E3E4E5"/>
          </w:tcPr>
          <w:p>
            <w:pPr>
              <w:jc w:val="right"/>
              <w:ind w:right="902"/>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6,667.2</w:t>
            </w:r>
          </w:p>
        </w:tc>
        <w:tc>
          <w:tcPr>
            <w:tcW w:w="0" w:type="dxa"/>
            <w:vAlign w:val="bottom"/>
          </w:tcPr>
          <w:p>
            <w:pPr>
              <w:spacing w:after="0"/>
              <w:rPr>
                <w:sz w:val="1"/>
                <w:szCs w:val="1"/>
                <w:color w:val="auto"/>
              </w:rPr>
            </w:pPr>
          </w:p>
        </w:tc>
      </w:tr>
      <w:tr>
        <w:trPr>
          <w:trHeight w:val="288"/>
        </w:trPr>
        <w:tc>
          <w:tcPr>
            <w:tcW w:w="62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Net income attributable to noncontrolling interests </w:t>
            </w:r>
            <w:r>
              <w:rPr>
                <w:rFonts w:ascii="Times New Roman" w:cs="Times New Roman" w:eastAsia="Times New Roman" w:hAnsi="Times New Roman"/>
                <w:sz w:val="20"/>
                <w:szCs w:val="20"/>
                <w:color w:val="BABCBE"/>
                <w:w w:val="99"/>
              </w:rPr>
              <w:t>...........................................</w:t>
            </w:r>
          </w:p>
        </w:tc>
        <w:tc>
          <w:tcPr>
            <w:tcW w:w="1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99.0</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223"/>
        </w:trPr>
        <w:tc>
          <w:tcPr>
            <w:tcW w:w="6260" w:type="dxa"/>
            <w:vAlign w:val="bottom"/>
            <w:shd w:val="clear" w:color="auto" w:fill="E3E4E5"/>
          </w:tcPr>
          <w:p>
            <w:pPr>
              <w:ind w:left="40"/>
              <w:spacing w:after="0" w:line="224" w:lineRule="exact"/>
              <w:rPr>
                <w:sz w:val="20"/>
                <w:szCs w:val="20"/>
                <w:color w:val="auto"/>
              </w:rPr>
            </w:pPr>
            <w:r>
              <w:rPr>
                <w:rFonts w:ascii="Times New Roman" w:cs="Times New Roman" w:eastAsia="Times New Roman" w:hAnsi="Times New Roman"/>
                <w:sz w:val="20"/>
                <w:szCs w:val="20"/>
                <w:color w:val="231F20"/>
              </w:rPr>
              <w:t>Foreign currency translation adjustment attributable to noncontrolling</w:t>
            </w:r>
          </w:p>
        </w:tc>
        <w:tc>
          <w:tcPr>
            <w:tcW w:w="1140" w:type="dxa"/>
            <w:vAlign w:val="bottom"/>
            <w:shd w:val="clear" w:color="auto" w:fill="E3E4E5"/>
          </w:tcPr>
          <w:p>
            <w:pPr>
              <w:spacing w:after="0"/>
              <w:rPr>
                <w:sz w:val="19"/>
                <w:szCs w:val="19"/>
                <w:color w:val="auto"/>
              </w:rPr>
            </w:pPr>
          </w:p>
        </w:tc>
        <w:tc>
          <w:tcPr>
            <w:tcW w:w="7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460.0</w:t>
            </w:r>
          </w:p>
        </w:tc>
        <w:tc>
          <w:tcPr>
            <w:tcW w:w="60" w:type="dxa"/>
            <w:vAlign w:val="bottom"/>
            <w:shd w:val="clear" w:color="auto" w:fill="E3E4E5"/>
          </w:tcPr>
          <w:p>
            <w:pPr>
              <w:spacing w:after="0"/>
              <w:rPr>
                <w:sz w:val="19"/>
                <w:szCs w:val="19"/>
                <w:color w:val="auto"/>
              </w:rPr>
            </w:pPr>
          </w:p>
        </w:tc>
        <w:tc>
          <w:tcPr>
            <w:tcW w:w="1140" w:type="dxa"/>
            <w:vAlign w:val="bottom"/>
            <w:shd w:val="clear" w:color="auto" w:fill="E3E4E5"/>
          </w:tcPr>
          <w:p>
            <w:pPr>
              <w:spacing w:after="0"/>
              <w:rPr>
                <w:sz w:val="19"/>
                <w:szCs w:val="19"/>
                <w:color w:val="auto"/>
              </w:rPr>
            </w:pPr>
          </w:p>
        </w:tc>
        <w:tc>
          <w:tcPr>
            <w:tcW w:w="72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(234.1)</w:t>
            </w:r>
          </w:p>
        </w:tc>
        <w:tc>
          <w:tcPr>
            <w:tcW w:w="0" w:type="dxa"/>
            <w:vAlign w:val="bottom"/>
          </w:tcPr>
          <w:p>
            <w:pPr>
              <w:spacing w:after="0"/>
              <w:rPr>
                <w:sz w:val="1"/>
                <w:szCs w:val="1"/>
                <w:color w:val="auto"/>
              </w:rPr>
            </w:pPr>
          </w:p>
        </w:tc>
      </w:tr>
      <w:tr>
        <w:trPr>
          <w:trHeight w:val="268"/>
        </w:trPr>
        <w:tc>
          <w:tcPr>
            <w:tcW w:w="62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interests, net of tax</w:t>
            </w:r>
            <w:r>
              <w:rPr>
                <w:rFonts w:ascii="Times New Roman" w:cs="Times New Roman" w:eastAsia="Times New Roman" w:hAnsi="Times New Roman"/>
                <w:sz w:val="20"/>
                <w:szCs w:val="20"/>
                <w:color w:val="BABCBE"/>
                <w:w w:val="99"/>
              </w:rPr>
              <w:t>..............................................................................................</w:t>
            </w:r>
          </w:p>
        </w:tc>
        <w:tc>
          <w:tcPr>
            <w:tcW w:w="1140" w:type="dxa"/>
            <w:vAlign w:val="bottom"/>
            <w:shd w:val="clear" w:color="auto" w:fill="E3E4E5"/>
          </w:tcPr>
          <w:p>
            <w:pPr>
              <w:spacing w:after="0"/>
              <w:rPr>
                <w:sz w:val="23"/>
                <w:szCs w:val="23"/>
                <w:color w:val="auto"/>
              </w:rPr>
            </w:pPr>
          </w:p>
        </w:tc>
        <w:tc>
          <w:tcPr>
            <w:tcW w:w="720" w:type="dxa"/>
            <w:vAlign w:val="bottom"/>
            <w:vMerge w:val="continue"/>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1140" w:type="dxa"/>
            <w:vAlign w:val="bottom"/>
            <w:shd w:val="clear" w:color="auto" w:fill="E3E4E5"/>
          </w:tcPr>
          <w:p>
            <w:pPr>
              <w:spacing w:after="0"/>
              <w:rPr>
                <w:sz w:val="23"/>
                <w:szCs w:val="23"/>
                <w:color w:val="auto"/>
              </w:rPr>
            </w:pPr>
          </w:p>
        </w:tc>
        <w:tc>
          <w:tcPr>
            <w:tcW w:w="72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2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Contributions from noncontrolling interest holders (1)</w:t>
            </w:r>
            <w:r>
              <w:rPr>
                <w:rFonts w:ascii="Times New Roman" w:cs="Times New Roman" w:eastAsia="Times New Roman" w:hAnsi="Times New Roman"/>
                <w:sz w:val="20"/>
                <w:szCs w:val="20"/>
                <w:color w:val="BABCBE"/>
                <w:w w:val="99"/>
              </w:rPr>
              <w:t>......................................</w:t>
            </w:r>
          </w:p>
        </w:tc>
        <w:tc>
          <w:tcPr>
            <w:tcW w:w="1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148.1</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154.6</w:t>
            </w:r>
          </w:p>
        </w:tc>
        <w:tc>
          <w:tcPr>
            <w:tcW w:w="0" w:type="dxa"/>
            <w:vAlign w:val="bottom"/>
          </w:tcPr>
          <w:p>
            <w:pPr>
              <w:spacing w:after="0"/>
              <w:rPr>
                <w:sz w:val="1"/>
                <w:szCs w:val="1"/>
                <w:color w:val="auto"/>
              </w:rPr>
            </w:pPr>
          </w:p>
        </w:tc>
      </w:tr>
      <w:tr>
        <w:trPr>
          <w:trHeight w:val="290"/>
        </w:trPr>
        <w:tc>
          <w:tcPr>
            <w:tcW w:w="62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Distributions to noncontrolling interest holders</w:t>
            </w:r>
            <w:r>
              <w:rPr>
                <w:rFonts w:ascii="Times New Roman" w:cs="Times New Roman" w:eastAsia="Times New Roman" w:hAnsi="Times New Roman"/>
                <w:sz w:val="20"/>
                <w:szCs w:val="20"/>
                <w:color w:val="BABCBE"/>
                <w:w w:val="99"/>
              </w:rPr>
              <w:t>.................................................</w:t>
            </w:r>
          </w:p>
        </w:tc>
        <w:tc>
          <w:tcPr>
            <w:tcW w:w="1140" w:type="dxa"/>
            <w:vAlign w:val="bottom"/>
            <w:tcBorders>
              <w:bottom w:val="single" w:sz="8" w:color="231F20"/>
            </w:tcBorders>
            <w:shd w:val="clear" w:color="auto" w:fill="E3E4E5"/>
          </w:tcPr>
          <w:p>
            <w:pPr>
              <w:spacing w:after="0"/>
              <w:rPr>
                <w:sz w:val="24"/>
                <w:szCs w:val="24"/>
                <w:color w:val="auto"/>
              </w:rPr>
            </w:pP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(270.8)</w:t>
            </w:r>
          </w:p>
        </w:tc>
        <w:tc>
          <w:tcPr>
            <w:tcW w:w="60" w:type="dxa"/>
            <w:vAlign w:val="bottom"/>
            <w:tcBorders>
              <w:bottom w:val="single" w:sz="8" w:color="E3E4E5"/>
            </w:tcBorders>
            <w:shd w:val="clear" w:color="auto" w:fill="E3E4E5"/>
          </w:tcPr>
          <w:p>
            <w:pPr>
              <w:spacing w:after="0"/>
              <w:rPr>
                <w:sz w:val="24"/>
                <w:szCs w:val="24"/>
                <w:color w:val="auto"/>
              </w:rPr>
            </w:pPr>
          </w:p>
        </w:tc>
        <w:tc>
          <w:tcPr>
            <w:tcW w:w="1140" w:type="dxa"/>
            <w:vAlign w:val="bottom"/>
            <w:tcBorders>
              <w:bottom w:val="single" w:sz="8" w:color="231F20"/>
            </w:tcBorders>
            <w:shd w:val="clear" w:color="auto" w:fill="E3E4E5"/>
          </w:tcPr>
          <w:p>
            <w:pPr>
              <w:spacing w:after="0"/>
              <w:rPr>
                <w:sz w:val="24"/>
                <w:szCs w:val="24"/>
                <w:color w:val="auto"/>
              </w:rPr>
            </w:pPr>
          </w:p>
        </w:tc>
        <w:tc>
          <w:tcPr>
            <w:tcW w:w="7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(346.4)</w:t>
            </w:r>
          </w:p>
        </w:tc>
        <w:tc>
          <w:tcPr>
            <w:tcW w:w="0" w:type="dxa"/>
            <w:vAlign w:val="bottom"/>
          </w:tcPr>
          <w:p>
            <w:pPr>
              <w:spacing w:after="0"/>
              <w:rPr>
                <w:sz w:val="1"/>
                <w:szCs w:val="1"/>
                <w:color w:val="auto"/>
              </w:rPr>
            </w:pPr>
          </w:p>
        </w:tc>
      </w:tr>
      <w:tr>
        <w:trPr>
          <w:trHeight w:val="269"/>
        </w:trPr>
        <w:tc>
          <w:tcPr>
            <w:tcW w:w="62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 xml:space="preserve">Balance as of December 31, </w:t>
            </w:r>
            <w:r>
              <w:rPr>
                <w:rFonts w:ascii="Times New Roman" w:cs="Times New Roman" w:eastAsia="Times New Roman" w:hAnsi="Times New Roman"/>
                <w:sz w:val="20"/>
                <w:szCs w:val="20"/>
                <w:color w:val="BABCBE"/>
                <w:w w:val="99"/>
              </w:rPr>
              <w:t>...............................................................................</w:t>
            </w:r>
          </w:p>
        </w:tc>
        <w:tc>
          <w:tcPr>
            <w:tcW w:w="1140" w:type="dxa"/>
            <w:vAlign w:val="bottom"/>
          </w:tcPr>
          <w:p>
            <w:pPr>
              <w:jc w:val="right"/>
              <w:ind w:right="912"/>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6,702.8</w:t>
            </w:r>
          </w:p>
        </w:tc>
        <w:tc>
          <w:tcPr>
            <w:tcW w:w="1200" w:type="dxa"/>
            <w:vAlign w:val="bottom"/>
            <w:gridSpan w:val="2"/>
          </w:tcPr>
          <w:p>
            <w:pPr>
              <w:jc w:val="right"/>
              <w:ind w:right="902"/>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6,266.5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2"/>
                <w:szCs w:val="12"/>
                <w:color w:val="231F20"/>
              </w:rPr>
              <w:t>_______________</w:t>
            </w: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-1395095</wp:posOffset>
            </wp:positionV>
            <wp:extent cx="243395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83">
                      <a:extLst>
                        <a:ext uri="{28A0092B-C50C-407E-A947-70E740481C1C}"/>
                      </a:extLst>
                    </a:blip>
                    <a:srcRect/>
                    <a:stretch>
                      <a:fillRect/>
                    </a:stretch>
                  </pic:blipFill>
                  <pic:spPr bwMode="auto">
                    <a:xfrm>
                      <a:off x="0" y="0"/>
                      <a:ext cx="2433955" cy="2540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-340360</wp:posOffset>
            </wp:positionV>
            <wp:extent cx="243395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84">
                      <a:extLst>
                        <a:ext uri="{28A0092B-C50C-407E-A947-70E740481C1C}"/>
                      </a:extLst>
                    </a:blip>
                    <a:srcRect/>
                    <a:stretch>
                      <a:fillRect/>
                    </a:stretch>
                  </pic:blipFill>
                  <pic:spPr bwMode="auto">
                    <a:xfrm>
                      <a:off x="0" y="0"/>
                      <a:ext cx="2433955" cy="25400"/>
                    </a:xfrm>
                    <a:prstGeom prst="rect">
                      <a:avLst/>
                    </a:prstGeom>
                    <a:noFill/>
                  </pic:spPr>
                </pic:pic>
              </a:graphicData>
            </a:graphic>
          </wp:anchor>
        </w:drawing>
      </w:r>
    </w:p>
    <w:p>
      <w:pPr>
        <w:ind w:left="347" w:right="220" w:hanging="347"/>
        <w:spacing w:after="0" w:line="247" w:lineRule="auto"/>
        <w:tabs>
          <w:tab w:leader="none" w:pos="348" w:val="left"/>
        </w:tabs>
        <w:numPr>
          <w:ilvl w:val="0"/>
          <w:numId w:val="11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primarily includes contributions from Stonepeak. For the year ended December 31, 2024 includes contributions from Stonepeak of $137.3 million, including a noncash contribution of $37.5 million made in lieu of Stonepeak’s receipt of the Stonepeak Common Dividend and a noncash contribution from PGGM of $12.4 million made in lieu of PGGM’s receipt of a distribution.</w:t>
      </w:r>
    </w:p>
    <w:p>
      <w:pPr>
        <w:spacing w:after="0" w:line="156"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15.</w:t>
      </w:r>
      <w:r>
        <w:rPr>
          <w:sz w:val="20"/>
          <w:szCs w:val="20"/>
          <w:color w:val="auto"/>
        </w:rPr>
        <w:tab/>
      </w:r>
      <w:r>
        <w:rPr>
          <w:rFonts w:ascii="Times New Roman" w:cs="Times New Roman" w:eastAsia="Times New Roman" w:hAnsi="Times New Roman"/>
          <w:sz w:val="19"/>
          <w:szCs w:val="19"/>
          <w:b w:val="1"/>
          <w:bCs w:val="1"/>
          <w:color w:val="231F20"/>
        </w:rPr>
        <w:t>OTHER OPERATING EXPENSE</w:t>
      </w:r>
    </w:p>
    <w:p>
      <w:pPr>
        <w:spacing w:after="0" w:line="208" w:lineRule="exact"/>
        <w:rPr>
          <w:sz w:val="20"/>
          <w:szCs w:val="20"/>
          <w:color w:val="auto"/>
        </w:rPr>
      </w:pPr>
    </w:p>
    <w:p>
      <w:pPr>
        <w:ind w:left="7" w:right="80"/>
        <w:spacing w:after="0" w:line="272" w:lineRule="auto"/>
        <w:rPr>
          <w:sz w:val="20"/>
          <w:szCs w:val="20"/>
          <w:color w:val="auto"/>
        </w:rPr>
      </w:pPr>
      <w:r>
        <w:rPr>
          <w:rFonts w:ascii="Times New Roman" w:cs="Times New Roman" w:eastAsia="Times New Roman" w:hAnsi="Times New Roman"/>
          <w:sz w:val="19"/>
          <w:szCs w:val="19"/>
          <w:color w:val="231F20"/>
        </w:rPr>
        <w:t>Other operating expense consists primarily of impairment charges, net losses on sales or disposals of assets and other operating expense items. The Company records impairment charges to write down certain assets to their net realizable value after an indicator of impairment is identified and subsequent analysis determines that the asset is either partially recoverable or not recoverable. These assets consist primarily of those related to the Company’s tower locations, and included towers and related</w:t>
      </w:r>
    </w:p>
    <w:p>
      <w:pPr>
        <w:sectPr>
          <w:pgSz w:w="11880" w:h="15480" w:orient="portrait"/>
          <w:cols w:equalWidth="0" w:num="1">
            <w:col w:w="10047"/>
          </w:cols>
          <w:pgMar w:left="913" w:top="418" w:right="920" w:bottom="0" w:gutter="0" w:footer="0" w:header="0"/>
        </w:sectPr>
      </w:pPr>
    </w:p>
    <w:p>
      <w:pPr>
        <w:spacing w:after="0" w:line="3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F-45</w:t>
      </w:r>
    </w:p>
    <w:p>
      <w:pPr>
        <w:sectPr>
          <w:pgSz w:w="11880" w:h="15480" w:orient="portrait"/>
          <w:cols w:equalWidth="0" w:num="1">
            <w:col w:w="10047"/>
          </w:cols>
          <w:pgMar w:left="913" w:top="418" w:right="920" w:bottom="0" w:gutter="0" w:footer="0" w:header="0"/>
          <w:type w:val="continuous"/>
        </w:sectPr>
      </w:pPr>
    </w:p>
    <w:bookmarkStart w:id="135" w:name="page136"/>
    <w:bookmarkEnd w:id="135"/>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jc w:val="both"/>
        <w:ind w:left="7" w:right="120"/>
        <w:spacing w:after="0" w:line="272" w:lineRule="auto"/>
        <w:rPr>
          <w:sz w:val="20"/>
          <w:szCs w:val="20"/>
          <w:color w:val="auto"/>
        </w:rPr>
      </w:pPr>
      <w:r>
        <w:rPr>
          <w:rFonts w:ascii="Times New Roman" w:cs="Times New Roman" w:eastAsia="Times New Roman" w:hAnsi="Times New Roman"/>
          <w:sz w:val="19"/>
          <w:szCs w:val="19"/>
          <w:color w:val="231F20"/>
        </w:rPr>
        <w:t>assets included in property and equipment, network location intangible assets and right-of-use assets, all of which are typically assessed on an individual location or site basis. The assets subject to impairment also include tenant-related intangibles, which are assessed on a tenant basis. Net losses on sales or disposals of assets primarily relate to certain non-core towers, other assets and miscellaneous items. Other operating expenses includes acquisition- and disposition-related costs and integration costs.</w:t>
      </w:r>
    </w:p>
    <w:p>
      <w:pPr>
        <w:spacing w:after="0" w:line="1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Other operating expenses included the following for the years ended December 31,:</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4960" w:type="dxa"/>
            <w:vAlign w:val="bottom"/>
            <w:tcBorders>
              <w:bottom w:val="single" w:sz="8" w:color="E3E4E5"/>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8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0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6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6"/>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49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9"/>
              </w:rPr>
              <w:t>Impairment charges</w:t>
            </w:r>
            <w:r>
              <w:rPr>
                <w:rFonts w:ascii="Times New Roman" w:cs="Times New Roman" w:eastAsia="Times New Roman" w:hAnsi="Times New Roman"/>
                <w:sz w:val="20"/>
                <w:szCs w:val="20"/>
                <w:color w:val="BABCBE"/>
                <w:w w:val="99"/>
              </w:rPr>
              <w:t>...................................................................</w:t>
            </w:r>
          </w:p>
        </w:tc>
        <w:tc>
          <w:tcPr>
            <w:tcW w:w="1060" w:type="dxa"/>
            <w:vAlign w:val="bottom"/>
            <w:shd w:val="clear" w:color="auto" w:fill="E3E4E5"/>
          </w:tcPr>
          <w:p>
            <w:pPr>
              <w:jc w:val="right"/>
              <w:ind w:right="809"/>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100.7</w:t>
            </w:r>
          </w:p>
        </w:tc>
        <w:tc>
          <w:tcPr>
            <w:tcW w:w="1160" w:type="dxa"/>
            <w:vAlign w:val="bottom"/>
            <w:gridSpan w:val="2"/>
            <w:shd w:val="clear" w:color="auto" w:fill="E3E4E5"/>
          </w:tcPr>
          <w:p>
            <w:pPr>
              <w:jc w:val="right"/>
              <w:ind w:right="842"/>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68.6</w:t>
            </w:r>
          </w:p>
        </w:tc>
        <w:tc>
          <w:tcPr>
            <w:tcW w:w="480" w:type="dxa"/>
            <w:vAlign w:val="bottom"/>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200.0</w:t>
            </w:r>
          </w:p>
        </w:tc>
      </w:tr>
      <w:tr>
        <w:trPr>
          <w:trHeight w:val="288"/>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Net (gains) losses on sales or disposals of assets (1) </w:t>
            </w:r>
            <w:r>
              <w:rPr>
                <w:rFonts w:ascii="Times New Roman" w:cs="Times New Roman" w:eastAsia="Times New Roman" w:hAnsi="Times New Roman"/>
                <w:sz w:val="20"/>
                <w:szCs w:val="20"/>
                <w:color w:val="BABCBE"/>
                <w:w w:val="98"/>
              </w:rPr>
              <w:t>................</w:t>
            </w:r>
          </w:p>
        </w:tc>
        <w:tc>
          <w:tcPr>
            <w:tcW w:w="10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131.3</w:t>
            </w:r>
          </w:p>
        </w:tc>
      </w:tr>
      <w:tr>
        <w:trPr>
          <w:trHeight w:val="309"/>
        </w:trPr>
        <w:tc>
          <w:tcPr>
            <w:tcW w:w="49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Other operating (income) expense (2)</w:t>
            </w:r>
            <w:r>
              <w:rPr>
                <w:rFonts w:ascii="Times New Roman" w:cs="Times New Roman" w:eastAsia="Times New Roman" w:hAnsi="Times New Roman"/>
                <w:sz w:val="20"/>
                <w:szCs w:val="20"/>
                <w:color w:val="BABCBE"/>
                <w:w w:val="98"/>
              </w:rPr>
              <w:t>.......................................</w:t>
            </w:r>
          </w:p>
        </w:tc>
        <w:tc>
          <w:tcPr>
            <w:tcW w:w="1060" w:type="dxa"/>
            <w:vAlign w:val="bottom"/>
            <w:tcBorders>
              <w:bottom w:val="single" w:sz="8" w:color="231F20"/>
            </w:tcBorders>
            <w:shd w:val="clear" w:color="auto" w:fill="E3E4E5"/>
          </w:tcPr>
          <w:p>
            <w:pPr>
              <w:spacing w:after="0"/>
              <w:rPr>
                <w:sz w:val="24"/>
                <w:szCs w:val="24"/>
                <w:color w:val="auto"/>
              </w:rPr>
            </w:pPr>
          </w:p>
        </w:tc>
        <w:tc>
          <w:tcPr>
            <w:tcW w:w="5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80" w:type="dxa"/>
            <w:vAlign w:val="bottom"/>
            <w:tcBorders>
              <w:bottom w:val="single" w:sz="8" w:color="E3E4E5"/>
            </w:tcBorders>
            <w:shd w:val="clear" w:color="auto" w:fill="E3E4E5"/>
          </w:tcPr>
          <w:p>
            <w:pPr>
              <w:spacing w:after="0"/>
              <w:rPr>
                <w:sz w:val="24"/>
                <w:szCs w:val="24"/>
                <w:color w:val="auto"/>
              </w:rPr>
            </w:pPr>
          </w:p>
        </w:tc>
        <w:tc>
          <w:tcPr>
            <w:tcW w:w="1080" w:type="dxa"/>
            <w:vAlign w:val="bottom"/>
            <w:tcBorders>
              <w:bottom w:val="single" w:sz="8" w:color="231F20"/>
            </w:tcBorders>
            <w:shd w:val="clear" w:color="auto" w:fill="E3E4E5"/>
          </w:tcPr>
          <w:p>
            <w:pPr>
              <w:spacing w:after="0"/>
              <w:rPr>
                <w:sz w:val="24"/>
                <w:szCs w:val="24"/>
                <w:color w:val="auto"/>
              </w:rPr>
            </w:pPr>
          </w:p>
        </w:tc>
        <w:tc>
          <w:tcPr>
            <w:tcW w:w="5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80" w:type="dxa"/>
            <w:vAlign w:val="bottom"/>
            <w:tcBorders>
              <w:bottom w:val="single" w:sz="8" w:color="E3E4E5"/>
            </w:tcBorders>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spacing w:after="0"/>
              <w:rPr>
                <w:sz w:val="24"/>
                <w:szCs w:val="24"/>
                <w:color w:val="auto"/>
              </w:rPr>
            </w:pPr>
          </w:p>
        </w:tc>
        <w:tc>
          <w:tcPr>
            <w:tcW w:w="12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39.4</w:t>
            </w:r>
          </w:p>
        </w:tc>
      </w:tr>
      <w:tr>
        <w:trPr>
          <w:trHeight w:val="235"/>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Total Other operating expenses</w:t>
            </w:r>
            <w:r>
              <w:rPr>
                <w:rFonts w:ascii="Times New Roman" w:cs="Times New Roman" w:eastAsia="Times New Roman" w:hAnsi="Times New Roman"/>
                <w:sz w:val="20"/>
                <w:szCs w:val="20"/>
                <w:color w:val="BABCBE"/>
                <w:w w:val="98"/>
              </w:rPr>
              <w:t>.................................................</w:t>
            </w:r>
          </w:p>
        </w:tc>
        <w:tc>
          <w:tcPr>
            <w:tcW w:w="1060" w:type="dxa"/>
            <w:vAlign w:val="bottom"/>
          </w:tcPr>
          <w:p>
            <w:pPr>
              <w:jc w:val="right"/>
              <w:ind w:right="809"/>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68.4</w:t>
            </w:r>
          </w:p>
        </w:tc>
        <w:tc>
          <w:tcPr>
            <w:tcW w:w="1160" w:type="dxa"/>
            <w:vAlign w:val="bottom"/>
            <w:gridSpan w:val="2"/>
          </w:tcPr>
          <w:p>
            <w:pPr>
              <w:jc w:val="right"/>
              <w:ind w:right="842"/>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370.7</w:t>
            </w:r>
          </w:p>
        </w:tc>
      </w:tr>
      <w:tr>
        <w:trPr>
          <w:trHeight w:val="20"/>
        </w:trPr>
        <w:tc>
          <w:tcPr>
            <w:tcW w:w="4960" w:type="dxa"/>
            <w:vAlign w:val="bottom"/>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-777240</wp:posOffset>
            </wp:positionV>
            <wp:extent cx="325501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85">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-217170</wp:posOffset>
            </wp:positionV>
            <wp:extent cx="325501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86">
                      <a:extLst>
                        <a:ext uri="{28A0092B-C50C-407E-A947-70E740481C1C}"/>
                      </a:extLst>
                    </a:blip>
                    <a:srcRect/>
                    <a:stretch>
                      <a:fillRect/>
                    </a:stretch>
                  </pic:blipFill>
                  <pic:spPr bwMode="auto">
                    <a:xfrm>
                      <a:off x="0" y="0"/>
                      <a:ext cx="3255010"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right="260" w:hanging="347"/>
        <w:spacing w:after="0" w:line="245" w:lineRule="auto"/>
        <w:tabs>
          <w:tab w:leader="none" w:pos="348" w:val="left"/>
        </w:tabs>
        <w:numPr>
          <w:ilvl w:val="0"/>
          <w:numId w:val="1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a gain on the sale of South Africa Fiber of $53.6 million. For the year ended December 31, 2024, includes a gain on the sales of our subsidiaries in Australia (“ATC Australia”) and New Zealand (“ATC New Zealand”) of $8.5 million. For the year ended December 31, 2023, includes a net loss of $78.9 million on the sales of one of our subsidiaries in Mexico that held fiber assets (‘Mexico Fiber”) and the sale of our subsidiary in Poland (“ATC Poland”).</w:t>
      </w:r>
    </w:p>
    <w:p>
      <w:pPr>
        <w:ind w:left="347" w:right="100" w:hanging="347"/>
        <w:spacing w:after="0" w:line="248" w:lineRule="auto"/>
        <w:tabs>
          <w:tab w:leader="none" w:pos="347" w:val="left"/>
        </w:tabs>
        <w:numPr>
          <w:ilvl w:val="0"/>
          <w:numId w:val="1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During the years ended December 31, 2025, 2024 and 2023, the Company recorded net benefits of $14.7 million, $23.4 million and $10.3 million related to pre-acquisition contingencies and settlements, respectively. For the year ended December 31, 2023, includes severance and related costs as discussed below.</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Impairment charges included the following for the years ended December 31,:</w:t>
      </w:r>
    </w:p>
    <w:p>
      <w:pPr>
        <w:spacing w:after="0" w:line="13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4960" w:type="dxa"/>
            <w:vAlign w:val="bottom"/>
            <w:tcBorders>
              <w:bottom w:val="single" w:sz="8" w:color="E3E4E5"/>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8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00" w:type="dxa"/>
            <w:vAlign w:val="bottom"/>
            <w:tcBorders>
              <w:bottom w:val="single" w:sz="8" w:color="231F20"/>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54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84"/>
        </w:trPr>
        <w:tc>
          <w:tcPr>
            <w:tcW w:w="496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Tower and network location intangible assets </w:t>
            </w:r>
            <w:r>
              <w:rPr>
                <w:rFonts w:ascii="Times New Roman" w:cs="Times New Roman" w:eastAsia="Times New Roman" w:hAnsi="Times New Roman"/>
                <w:sz w:val="20"/>
                <w:szCs w:val="20"/>
                <w:color w:val="BABCBE"/>
                <w:w w:val="98"/>
              </w:rPr>
              <w:t>..........................</w:t>
            </w:r>
          </w:p>
        </w:tc>
        <w:tc>
          <w:tcPr>
            <w:tcW w:w="1060" w:type="dxa"/>
            <w:vAlign w:val="bottom"/>
            <w:shd w:val="clear" w:color="auto" w:fill="E3E4E5"/>
          </w:tcPr>
          <w:p>
            <w:pPr>
              <w:jc w:val="right"/>
              <w:ind w:right="806"/>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75.6</w:t>
            </w:r>
          </w:p>
        </w:tc>
        <w:tc>
          <w:tcPr>
            <w:tcW w:w="1180" w:type="dxa"/>
            <w:vAlign w:val="bottom"/>
            <w:gridSpan w:val="2"/>
            <w:shd w:val="clear" w:color="auto" w:fill="E3E4E5"/>
          </w:tcPr>
          <w:p>
            <w:pPr>
              <w:jc w:val="right"/>
              <w:ind w:right="852"/>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46.3</w:t>
            </w:r>
          </w:p>
        </w:tc>
        <w:tc>
          <w:tcPr>
            <w:tcW w:w="480" w:type="dxa"/>
            <w:vAlign w:val="bottom"/>
            <w:gridSpan w:val="2"/>
            <w:shd w:val="clear" w:color="auto" w:fill="E3E4E5"/>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93.7</w:t>
            </w:r>
          </w:p>
        </w:tc>
        <w:tc>
          <w:tcPr>
            <w:tcW w:w="0" w:type="dxa"/>
            <w:vAlign w:val="bottom"/>
          </w:tcPr>
          <w:p>
            <w:pPr>
              <w:spacing w:after="0"/>
              <w:rPr>
                <w:sz w:val="1"/>
                <w:szCs w:val="1"/>
                <w:color w:val="auto"/>
              </w:rPr>
            </w:pPr>
          </w:p>
        </w:tc>
      </w:tr>
      <w:tr>
        <w:trPr>
          <w:trHeight w:val="288"/>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Tenant relationships (1)</w:t>
            </w:r>
            <w:r>
              <w:rPr>
                <w:rFonts w:ascii="Times New Roman" w:cs="Times New Roman" w:eastAsia="Times New Roman" w:hAnsi="Times New Roman"/>
                <w:sz w:val="20"/>
                <w:szCs w:val="20"/>
                <w:color w:val="BABCBE"/>
                <w:w w:val="98"/>
              </w:rPr>
              <w:t>.............................................................</w:t>
            </w:r>
          </w:p>
        </w:tc>
        <w:tc>
          <w:tcPr>
            <w:tcW w:w="10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90.2</w:t>
            </w:r>
          </w:p>
        </w:tc>
        <w:tc>
          <w:tcPr>
            <w:tcW w:w="0" w:type="dxa"/>
            <w:vAlign w:val="bottom"/>
          </w:tcPr>
          <w:p>
            <w:pPr>
              <w:spacing w:after="0"/>
              <w:rPr>
                <w:sz w:val="1"/>
                <w:szCs w:val="1"/>
                <w:color w:val="auto"/>
              </w:rPr>
            </w:pPr>
          </w:p>
        </w:tc>
      </w:tr>
      <w:tr>
        <w:trPr>
          <w:trHeight w:val="309"/>
        </w:trPr>
        <w:tc>
          <w:tcPr>
            <w:tcW w:w="496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Other (2) </w:t>
            </w:r>
            <w:r>
              <w:rPr>
                <w:rFonts w:ascii="Times New Roman" w:cs="Times New Roman" w:eastAsia="Times New Roman" w:hAnsi="Times New Roman"/>
                <w:sz w:val="20"/>
                <w:szCs w:val="20"/>
                <w:color w:val="BABCBE"/>
                <w:w w:val="98"/>
              </w:rPr>
              <w:t>....................................................................................</w:t>
            </w:r>
          </w:p>
        </w:tc>
        <w:tc>
          <w:tcPr>
            <w:tcW w:w="1060" w:type="dxa"/>
            <w:vAlign w:val="bottom"/>
            <w:tcBorders>
              <w:bottom w:val="single" w:sz="8" w:color="231F20"/>
            </w:tcBorders>
            <w:shd w:val="clear" w:color="auto" w:fill="E3E4E5"/>
          </w:tcPr>
          <w:p>
            <w:pPr>
              <w:spacing w:after="0"/>
              <w:rPr>
                <w:sz w:val="24"/>
                <w:szCs w:val="24"/>
                <w:color w:val="auto"/>
              </w:rPr>
            </w:pPr>
          </w:p>
        </w:tc>
        <w:tc>
          <w:tcPr>
            <w:tcW w:w="5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25.1</w:t>
            </w:r>
          </w:p>
        </w:tc>
        <w:tc>
          <w:tcPr>
            <w:tcW w:w="80" w:type="dxa"/>
            <w:vAlign w:val="bottom"/>
            <w:tcBorders>
              <w:bottom w:val="single" w:sz="8" w:color="E3E4E5"/>
            </w:tcBorders>
            <w:shd w:val="clear" w:color="auto" w:fill="E3E4E5"/>
          </w:tcPr>
          <w:p>
            <w:pPr>
              <w:spacing w:after="0"/>
              <w:rPr>
                <w:sz w:val="24"/>
                <w:szCs w:val="24"/>
                <w:color w:val="auto"/>
              </w:rPr>
            </w:pPr>
          </w:p>
        </w:tc>
        <w:tc>
          <w:tcPr>
            <w:tcW w:w="1100" w:type="dxa"/>
            <w:vAlign w:val="bottom"/>
            <w:tcBorders>
              <w:bottom w:val="single" w:sz="8" w:color="231F20"/>
            </w:tcBorders>
            <w:shd w:val="clear" w:color="auto" w:fill="E3E4E5"/>
          </w:tcPr>
          <w:p>
            <w:pPr>
              <w:spacing w:after="0"/>
              <w:rPr>
                <w:sz w:val="24"/>
                <w:szCs w:val="24"/>
                <w:color w:val="auto"/>
              </w:rPr>
            </w:pPr>
          </w:p>
        </w:tc>
        <w:tc>
          <w:tcPr>
            <w:tcW w:w="5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80" w:type="dxa"/>
            <w:vAlign w:val="bottom"/>
            <w:tcBorders>
              <w:bottom w:val="single" w:sz="8" w:color="E3E4E5"/>
            </w:tcBorders>
            <w:shd w:val="clear" w:color="auto" w:fill="E3E4E5"/>
          </w:tcPr>
          <w:p>
            <w:pPr>
              <w:spacing w:after="0"/>
              <w:rPr>
                <w:sz w:val="24"/>
                <w:szCs w:val="24"/>
                <w:color w:val="auto"/>
              </w:rPr>
            </w:pPr>
          </w:p>
        </w:tc>
        <w:tc>
          <w:tcPr>
            <w:tcW w:w="400" w:type="dxa"/>
            <w:vAlign w:val="bottom"/>
            <w:tcBorders>
              <w:bottom w:val="single" w:sz="8" w:color="231F20"/>
            </w:tcBorders>
            <w:shd w:val="clear" w:color="auto" w:fill="E3E4E5"/>
          </w:tcPr>
          <w:p>
            <w:pPr>
              <w:spacing w:after="0"/>
              <w:rPr>
                <w:sz w:val="24"/>
                <w:szCs w:val="24"/>
                <w:color w:val="auto"/>
              </w:rPr>
            </w:pPr>
          </w:p>
        </w:tc>
        <w:tc>
          <w:tcPr>
            <w:tcW w:w="12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0" w:type="dxa"/>
            <w:vAlign w:val="bottom"/>
          </w:tcPr>
          <w:p>
            <w:pPr>
              <w:spacing w:after="0"/>
              <w:rPr>
                <w:sz w:val="1"/>
                <w:szCs w:val="1"/>
                <w:color w:val="auto"/>
              </w:rPr>
            </w:pPr>
          </w:p>
        </w:tc>
      </w:tr>
      <w:tr>
        <w:trPr>
          <w:trHeight w:val="180"/>
        </w:trPr>
        <w:tc>
          <w:tcPr>
            <w:tcW w:w="496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231F20"/>
              </w:rPr>
              <w:t>Total impairment charges included in Other operating</w:t>
            </w:r>
          </w:p>
        </w:tc>
        <w:tc>
          <w:tcPr>
            <w:tcW w:w="1060" w:type="dxa"/>
            <w:vAlign w:val="bottom"/>
            <w:vMerge w:val="restart"/>
          </w:tcPr>
          <w:p>
            <w:pPr>
              <w:jc w:val="right"/>
              <w:ind w:right="806"/>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100.7</w:t>
            </w:r>
          </w:p>
        </w:tc>
        <w:tc>
          <w:tcPr>
            <w:tcW w:w="1180" w:type="dxa"/>
            <w:vAlign w:val="bottom"/>
            <w:gridSpan w:val="2"/>
            <w:vMerge w:val="restart"/>
          </w:tcPr>
          <w:p>
            <w:pPr>
              <w:jc w:val="right"/>
              <w:ind w:right="852"/>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68.6</w:t>
            </w:r>
          </w:p>
        </w:tc>
        <w:tc>
          <w:tcPr>
            <w:tcW w:w="48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200.0</w:t>
            </w:r>
          </w:p>
        </w:tc>
        <w:tc>
          <w:tcPr>
            <w:tcW w:w="0" w:type="dxa"/>
            <w:vAlign w:val="bottom"/>
          </w:tcPr>
          <w:p>
            <w:pPr>
              <w:spacing w:after="0"/>
              <w:rPr>
                <w:sz w:val="1"/>
                <w:szCs w:val="1"/>
                <w:color w:val="auto"/>
              </w:rPr>
            </w:pPr>
          </w:p>
        </w:tc>
      </w:tr>
      <w:tr>
        <w:trPr>
          <w:trHeight w:val="285"/>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expense</w:t>
            </w:r>
            <w:r>
              <w:rPr>
                <w:rFonts w:ascii="Times New Roman" w:cs="Times New Roman" w:eastAsia="Times New Roman" w:hAnsi="Times New Roman"/>
                <w:sz w:val="20"/>
                <w:szCs w:val="20"/>
                <w:color w:val="BABCBE"/>
                <w:w w:val="99"/>
              </w:rPr>
              <w:t>......................................................................................</w:t>
            </w:r>
          </w:p>
        </w:tc>
        <w:tc>
          <w:tcPr>
            <w:tcW w:w="106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960" w:type="dxa"/>
            <w:vAlign w:val="bottom"/>
            <w:tcBorders>
              <w:top w:val="single" w:sz="8" w:color="E3E4E5"/>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Spaingoodwillimpairment</w:t>
            </w:r>
          </w:p>
        </w:tc>
        <w:tc>
          <w:tcPr>
            <w:tcW w:w="1060" w:type="dxa"/>
            <w:vAlign w:val="bottom"/>
            <w:tcBorders>
              <w:top w:val="single" w:sz="8" w:color="231F20"/>
              <w:bottom w:val="single" w:sz="8" w:color="231F20"/>
            </w:tcBorders>
            <w:shd w:val="clear" w:color="auto" w:fill="E3E4E5"/>
          </w:tcPr>
          <w:p>
            <w:pPr>
              <w:jc w:val="right"/>
              <w:ind w:right="806"/>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3E4E5"/>
              <w:bottom w:val="single" w:sz="8" w:color="E3E4E5"/>
            </w:tcBorders>
            <w:shd w:val="clear" w:color="auto" w:fill="E3E4E5"/>
          </w:tcPr>
          <w:p>
            <w:pPr>
              <w:spacing w:after="0"/>
              <w:rPr>
                <w:sz w:val="23"/>
                <w:szCs w:val="23"/>
                <w:color w:val="auto"/>
              </w:rPr>
            </w:pPr>
          </w:p>
        </w:tc>
        <w:tc>
          <w:tcPr>
            <w:tcW w:w="1100" w:type="dxa"/>
            <w:vAlign w:val="bottom"/>
            <w:tcBorders>
              <w:top w:val="single" w:sz="8" w:color="231F20"/>
              <w:bottom w:val="single" w:sz="8" w:color="231F20"/>
            </w:tcBorders>
            <w:shd w:val="clear" w:color="auto" w:fill="E3E4E5"/>
          </w:tcPr>
          <w:p>
            <w:pPr>
              <w:jc w:val="right"/>
              <w:ind w:right="852"/>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top w:val="single" w:sz="8" w:color="E3E4E5"/>
              <w:bottom w:val="single" w:sz="8" w:color="E3E4E5"/>
            </w:tcBorders>
            <w:shd w:val="clear" w:color="auto" w:fill="E3E4E5"/>
          </w:tcPr>
          <w:p>
            <w:pPr>
              <w:spacing w:after="0"/>
              <w:rPr>
                <w:sz w:val="23"/>
                <w:szCs w:val="23"/>
                <w:color w:val="auto"/>
              </w:rPr>
            </w:pPr>
          </w:p>
        </w:tc>
        <w:tc>
          <w:tcPr>
            <w:tcW w:w="400" w:type="dxa"/>
            <w:vAlign w:val="bottom"/>
            <w:tcBorders>
              <w:top w:val="single" w:sz="8" w:color="231F20"/>
              <w:bottom w:val="single" w:sz="8" w:color="231F20"/>
            </w:tcBorders>
            <w:shd w:val="clear" w:color="auto" w:fill="E3E4E5"/>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80.0</w:t>
            </w:r>
          </w:p>
        </w:tc>
        <w:tc>
          <w:tcPr>
            <w:tcW w:w="0" w:type="dxa"/>
            <w:vAlign w:val="bottom"/>
          </w:tcPr>
          <w:p>
            <w:pPr>
              <w:spacing w:after="0"/>
              <w:rPr>
                <w:sz w:val="1"/>
                <w:szCs w:val="1"/>
                <w:color w:val="auto"/>
              </w:rPr>
            </w:pPr>
          </w:p>
        </w:tc>
      </w:tr>
      <w:tr>
        <w:trPr>
          <w:trHeight w:val="234"/>
        </w:trPr>
        <w:tc>
          <w:tcPr>
            <w:tcW w:w="496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Total impairment charges</w:t>
            </w:r>
            <w:r>
              <w:rPr>
                <w:rFonts w:ascii="Times New Roman" w:cs="Times New Roman" w:eastAsia="Times New Roman" w:hAnsi="Times New Roman"/>
                <w:sz w:val="20"/>
                <w:szCs w:val="20"/>
                <w:color w:val="BABCBE"/>
                <w:w w:val="98"/>
              </w:rPr>
              <w:t>..........................................................</w:t>
            </w:r>
          </w:p>
        </w:tc>
        <w:tc>
          <w:tcPr>
            <w:tcW w:w="1060" w:type="dxa"/>
            <w:vAlign w:val="bottom"/>
          </w:tcPr>
          <w:p>
            <w:pPr>
              <w:jc w:val="right"/>
              <w:ind w:right="806"/>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100.7</w:t>
            </w:r>
          </w:p>
        </w:tc>
        <w:tc>
          <w:tcPr>
            <w:tcW w:w="1180" w:type="dxa"/>
            <w:vAlign w:val="bottom"/>
            <w:gridSpan w:val="2"/>
          </w:tcPr>
          <w:p>
            <w:pPr>
              <w:jc w:val="right"/>
              <w:ind w:right="852"/>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68.6</w:t>
            </w:r>
          </w:p>
        </w:tc>
        <w:tc>
          <w:tcPr>
            <w:tcW w:w="480" w:type="dxa"/>
            <w:vAlign w:val="bottom"/>
            <w:gridSpan w:val="2"/>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-1272540</wp:posOffset>
            </wp:positionV>
            <wp:extent cx="325501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87">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-712470</wp:posOffset>
            </wp:positionV>
            <wp:extent cx="325501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88">
                      <a:extLst>
                        <a:ext uri="{28A0092B-C50C-407E-A947-70E740481C1C}"/>
                      </a:extLst>
                    </a:blip>
                    <a:srcRect/>
                    <a:stretch>
                      <a:fillRect/>
                    </a:stretch>
                  </pic:blipFill>
                  <pic:spPr bwMode="auto">
                    <a:xfrm>
                      <a:off x="0" y="0"/>
                      <a:ext cx="3255010" cy="2540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-416560</wp:posOffset>
            </wp:positionV>
            <wp:extent cx="3255010" cy="50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89">
                      <a:extLst>
                        <a:ext uri="{28A0092B-C50C-407E-A947-70E740481C1C}"/>
                      </a:extLst>
                    </a:blip>
                    <a:srcRect/>
                    <a:stretch>
                      <a:fillRect/>
                    </a:stretch>
                  </pic:blipFill>
                  <pic:spPr bwMode="auto">
                    <a:xfrm>
                      <a:off x="0" y="0"/>
                      <a:ext cx="3255010" cy="5016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-217170</wp:posOffset>
            </wp:positionV>
            <wp:extent cx="325501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90">
                      <a:extLst>
                        <a:ext uri="{28A0092B-C50C-407E-A947-70E740481C1C}"/>
                      </a:extLst>
                    </a:blip>
                    <a:srcRect/>
                    <a:stretch>
                      <a:fillRect/>
                    </a:stretch>
                  </pic:blipFill>
                  <pic:spPr bwMode="auto">
                    <a:xfrm>
                      <a:off x="0" y="0"/>
                      <a:ext cx="3255010"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During the year ended December 31, 2023, impairment charges related to impaired tenant relationships in Africa.</w:t>
      </w:r>
    </w:p>
    <w:p>
      <w:pPr>
        <w:spacing w:after="0" w:line="13" w:lineRule="exact"/>
        <w:rPr>
          <w:rFonts w:ascii="Times New Roman" w:cs="Times New Roman" w:eastAsia="Times New Roman" w:hAnsi="Times New Roman"/>
          <w:sz w:val="16"/>
          <w:szCs w:val="16"/>
          <w:color w:val="231F20"/>
        </w:rPr>
      </w:pPr>
    </w:p>
    <w:p>
      <w:pPr>
        <w:ind w:left="347" w:right="380" w:hanging="347"/>
        <w:spacing w:after="0" w:line="299" w:lineRule="auto"/>
        <w:tabs>
          <w:tab w:leader="none" w:pos="348" w:val="left"/>
        </w:tabs>
        <w:numPr>
          <w:ilvl w:val="0"/>
          <w:numId w:val="11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impairment charges related to right-of-use assets. During the year ended December 31, 2025, includes $6.5 million of goodwill impairment associated with the Bangladesh reporting unit (as discussed in note 5).</w:t>
      </w:r>
    </w:p>
    <w:p>
      <w:pPr>
        <w:spacing w:after="0" w:line="1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Spain Goodwill Impairment</w:t>
      </w:r>
    </w:p>
    <w:p>
      <w:pPr>
        <w:spacing w:after="0" w:line="164" w:lineRule="exact"/>
        <w:rPr>
          <w:sz w:val="20"/>
          <w:szCs w:val="20"/>
          <w:color w:val="auto"/>
        </w:rPr>
      </w:pPr>
    </w:p>
    <w:p>
      <w:pPr>
        <w:ind w:left="7" w:right="2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2023, the results of the annual goodwill impairment test indicated that the carrying amount of the Company’s Spain reporting unit exceeded its estimated fair value, as calculated under an income approach using future discounted cash flows. As a result, the Company recorded a goodwill impairment charge of $80.0 million. The key assumptions utilized in the discounted cash flow analysis included current operating performance, terminal revenue growth rate, management’s expectations of future operating results and cash requirements, the current weighted average cost of capital and an expected tax rate. The reduction in the fair value of the Spain reporting unit was primarily due to an increase in the weighted average cost of capital. The goodwill impairment charge is recorded in Goodwill impairment in the consolidated statements of operations for the year ended December 31, 2023.</w:t>
      </w:r>
    </w:p>
    <w:p>
      <w:pPr>
        <w:spacing w:after="0" w:line="1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Severance</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F-46</w:t>
      </w:r>
    </w:p>
    <w:p>
      <w:pPr>
        <w:sectPr>
          <w:pgSz w:w="11880" w:h="15480" w:orient="portrait"/>
          <w:cols w:equalWidth="0" w:num="1">
            <w:col w:w="10047"/>
          </w:cols>
          <w:pgMar w:left="913" w:top="418" w:right="920" w:bottom="0" w:gutter="0" w:footer="0" w:header="0"/>
          <w:type w:val="continuous"/>
        </w:sectPr>
      </w:pPr>
    </w:p>
    <w:bookmarkStart w:id="136" w:name="page137"/>
    <w:bookmarkEnd w:id="136"/>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360"/>
        <w:spacing w:after="0" w:line="279" w:lineRule="auto"/>
        <w:rPr>
          <w:sz w:val="20"/>
          <w:szCs w:val="20"/>
          <w:color w:val="auto"/>
        </w:rPr>
      </w:pPr>
      <w:r>
        <w:rPr>
          <w:rFonts w:ascii="Times New Roman" w:cs="Times New Roman" w:eastAsia="Times New Roman" w:hAnsi="Times New Roman"/>
          <w:sz w:val="19"/>
          <w:szCs w:val="19"/>
          <w:color w:val="231F20"/>
        </w:rPr>
        <w:t>During the year ended December 31, 2023, the Company approved a plan for restructuring its workforce, which was communicated to its employees. As a result of these actions, severance and related costs of $21.8 million were recorded in Other operating expense in the accompanying consolidated statements of operations for the year ended December 31, 2023.</w:t>
      </w:r>
    </w:p>
    <w:p>
      <w:pPr>
        <w:spacing w:after="0" w:line="1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Additional information relating to the severance and related costs by operating segments is as follows for the year ended</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December 31,:</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8400" w:type="dxa"/>
            <w:vAlign w:val="bottom"/>
            <w:tcBorders>
              <w:bottom w:val="single" w:sz="8" w:color="E3E4E5"/>
            </w:tcBorders>
          </w:tcPr>
          <w:p>
            <w:pPr>
              <w:spacing w:after="0"/>
              <w:rPr>
                <w:sz w:val="18"/>
                <w:szCs w:val="18"/>
                <w:color w:val="auto"/>
              </w:rPr>
            </w:pPr>
          </w:p>
        </w:tc>
        <w:tc>
          <w:tcPr>
            <w:tcW w:w="40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jc w:val="right"/>
              <w:ind w:right="564"/>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0"/>
        </w:trPr>
        <w:tc>
          <w:tcPr>
            <w:tcW w:w="8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U.S. &amp; Canada property</w:t>
            </w:r>
            <w:r>
              <w:rPr>
                <w:rFonts w:ascii="Times New Roman" w:cs="Times New Roman" w:eastAsia="Times New Roman" w:hAnsi="Times New Roman"/>
                <w:sz w:val="20"/>
                <w:szCs w:val="20"/>
                <w:color w:val="BABCBE"/>
              </w:rPr>
              <w:t>..............................................................................................................................</w:t>
            </w:r>
          </w:p>
        </w:tc>
        <w:tc>
          <w:tcPr>
            <w:tcW w:w="400" w:type="dxa"/>
            <w:vAlign w:val="bottom"/>
            <w:shd w:val="clear" w:color="auto" w:fill="E3E4E5"/>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288"/>
        </w:trPr>
        <w:tc>
          <w:tcPr>
            <w:tcW w:w="8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Africa property</w:t>
            </w:r>
            <w:r>
              <w:rPr>
                <w:rFonts w:ascii="Times New Roman" w:cs="Times New Roman" w:eastAsia="Times New Roman" w:hAnsi="Times New Roman"/>
                <w:sz w:val="20"/>
                <w:szCs w:val="20"/>
                <w:color w:val="BABCBE"/>
              </w:rPr>
              <w: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w:t>
            </w:r>
          </w:p>
        </w:tc>
      </w:tr>
      <w:tr>
        <w:trPr>
          <w:trHeight w:val="285"/>
        </w:trPr>
        <w:tc>
          <w:tcPr>
            <w:tcW w:w="8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Europe property </w:t>
            </w:r>
            <w:r>
              <w:rPr>
                <w:rFonts w:ascii="Times New Roman" w:cs="Times New Roman" w:eastAsia="Times New Roman" w:hAnsi="Times New Roman"/>
                <w:sz w:val="20"/>
                <w:szCs w:val="20"/>
                <w:color w:val="BABCBE"/>
              </w:rPr>
              <w:t>..........................................................................................................................................</w:t>
            </w:r>
          </w:p>
        </w:tc>
        <w:tc>
          <w:tcPr>
            <w:tcW w:w="400" w:type="dxa"/>
            <w:vAlign w:val="bottom"/>
            <w:shd w:val="clear" w:color="auto" w:fill="E3E4E5"/>
          </w:tcPr>
          <w:p>
            <w:pPr>
              <w:spacing w:after="0"/>
              <w:rPr>
                <w:sz w:val="24"/>
                <w:szCs w:val="24"/>
                <w:color w:val="auto"/>
              </w:rPr>
            </w:pP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w:t>
            </w:r>
          </w:p>
        </w:tc>
      </w:tr>
      <w:tr>
        <w:trPr>
          <w:trHeight w:val="274"/>
        </w:trPr>
        <w:tc>
          <w:tcPr>
            <w:tcW w:w="8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Latin America property</w:t>
            </w:r>
            <w:r>
              <w:rPr>
                <w:rFonts w:ascii="Times New Roman" w:cs="Times New Roman" w:eastAsia="Times New Roman" w:hAnsi="Times New Roman"/>
                <w:sz w:val="20"/>
                <w:szCs w:val="20"/>
                <w:color w:val="BABCBE"/>
              </w:rPr>
              <w:t>...............................................................................................................................</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r>
      <w:tr>
        <w:trPr>
          <w:trHeight w:val="284"/>
        </w:trPr>
        <w:tc>
          <w:tcPr>
            <w:tcW w:w="8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Services </w:t>
            </w:r>
            <w:r>
              <w:rPr>
                <w:rFonts w:ascii="Times New Roman" w:cs="Times New Roman" w:eastAsia="Times New Roman" w:hAnsi="Times New Roman"/>
                <w:sz w:val="20"/>
                <w:szCs w:val="20"/>
                <w:color w:val="BABCBE"/>
              </w:rPr>
              <w:t>.......................................................................................................................................................</w:t>
            </w:r>
          </w:p>
        </w:tc>
        <w:tc>
          <w:tcPr>
            <w:tcW w:w="400" w:type="dxa"/>
            <w:vAlign w:val="bottom"/>
            <w:shd w:val="clear" w:color="auto" w:fill="E3E4E5"/>
          </w:tcPr>
          <w:p>
            <w:pPr>
              <w:spacing w:after="0"/>
              <w:rPr>
                <w:sz w:val="24"/>
                <w:szCs w:val="24"/>
                <w:color w:val="auto"/>
              </w:rPr>
            </w:pPr>
          </w:p>
        </w:tc>
        <w:tc>
          <w:tcPr>
            <w:tcW w:w="1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w:t>
            </w:r>
          </w:p>
        </w:tc>
      </w:tr>
      <w:tr>
        <w:trPr>
          <w:trHeight w:val="269"/>
        </w:trPr>
        <w:tc>
          <w:tcPr>
            <w:tcW w:w="840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Other (1)</w:t>
            </w:r>
            <w:r>
              <w:rPr>
                <w:rFonts w:ascii="Times New Roman" w:cs="Times New Roman" w:eastAsia="Times New Roman" w:hAnsi="Times New Roman"/>
                <w:sz w:val="20"/>
                <w:szCs w:val="20"/>
                <w:color w:val="BABCBE"/>
              </w:rPr>
              <w:t>......................................................................................................................................................</w:t>
            </w:r>
          </w:p>
        </w:tc>
        <w:tc>
          <w:tcPr>
            <w:tcW w:w="400" w:type="dxa"/>
            <w:vAlign w:val="bottom"/>
            <w:tcBorders>
              <w:bottom w:val="single" w:sz="8" w:color="231F20"/>
            </w:tcBorders>
          </w:tcPr>
          <w:p>
            <w:pPr>
              <w:spacing w:after="0"/>
              <w:rPr>
                <w:sz w:val="23"/>
                <w:szCs w:val="23"/>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w:t>
            </w:r>
          </w:p>
        </w:tc>
      </w:tr>
      <w:tr>
        <w:trPr>
          <w:trHeight w:val="279"/>
        </w:trPr>
        <w:tc>
          <w:tcPr>
            <w:tcW w:w="840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severance and related costs </w:t>
            </w:r>
            <w:r>
              <w:rPr>
                <w:rFonts w:ascii="Times New Roman" w:cs="Times New Roman" w:eastAsia="Times New Roman" w:hAnsi="Times New Roman"/>
                <w:sz w:val="20"/>
                <w:szCs w:val="20"/>
                <w:color w:val="BABCBE"/>
              </w:rPr>
              <w:t>.........................................................................................................</w:t>
            </w:r>
          </w:p>
        </w:tc>
        <w:tc>
          <w:tcPr>
            <w:tcW w:w="400" w:type="dxa"/>
            <w:vAlign w:val="bottom"/>
            <w:tcBorders>
              <w:bottom w:val="single" w:sz="8" w:color="231F20"/>
            </w:tcBorders>
            <w:shd w:val="clear" w:color="auto" w:fill="E3E4E5"/>
          </w:tcPr>
          <w:p>
            <w:pPr>
              <w:jc w:val="right"/>
              <w:ind w:right="142"/>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-1281430</wp:posOffset>
            </wp:positionV>
            <wp:extent cx="107061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91">
                      <a:extLst>
                        <a:ext uri="{28A0092B-C50C-407E-A947-70E740481C1C}"/>
                      </a:extLst>
                    </a:blip>
                    <a:srcRect/>
                    <a:stretch>
                      <a:fillRect/>
                    </a:stretch>
                  </pic:blipFill>
                  <pic:spPr bwMode="auto">
                    <a:xfrm>
                      <a:off x="0" y="0"/>
                      <a:ext cx="1070610" cy="2540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-208280</wp:posOffset>
            </wp:positionV>
            <wp:extent cx="107061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92">
                      <a:extLst>
                        <a:ext uri="{28A0092B-C50C-407E-A947-70E740481C1C}"/>
                      </a:extLst>
                    </a:blip>
                    <a:srcRect/>
                    <a:stretch>
                      <a:fillRect/>
                    </a:stretch>
                  </pic:blipFill>
                  <pic:spPr bwMode="auto">
                    <a:xfrm>
                      <a:off x="0" y="0"/>
                      <a:ext cx="1070610" cy="2540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-43180</wp:posOffset>
            </wp:positionV>
            <wp:extent cx="1070610" cy="501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93">
                      <a:extLst>
                        <a:ext uri="{28A0092B-C50C-407E-A947-70E740481C1C}"/>
                      </a:extLst>
                    </a:blip>
                    <a:srcRect/>
                    <a:stretch>
                      <a:fillRect/>
                    </a:stretch>
                  </pic:blipFill>
                  <pic:spPr bwMode="auto">
                    <a:xfrm>
                      <a:off x="0" y="0"/>
                      <a:ext cx="1070610"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corporate expenses.</w:t>
      </w:r>
    </w:p>
    <w:p>
      <w:pPr>
        <w:spacing w:after="0" w:line="163"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16.</w:t>
      </w:r>
      <w:r>
        <w:rPr>
          <w:sz w:val="20"/>
          <w:szCs w:val="20"/>
          <w:color w:val="auto"/>
        </w:rPr>
        <w:tab/>
      </w:r>
      <w:r>
        <w:rPr>
          <w:rFonts w:ascii="Times New Roman" w:cs="Times New Roman" w:eastAsia="Times New Roman" w:hAnsi="Times New Roman"/>
          <w:sz w:val="19"/>
          <w:szCs w:val="19"/>
          <w:b w:val="1"/>
          <w:bCs w:val="1"/>
          <w:color w:val="231F20"/>
        </w:rPr>
        <w:t>EARNINGS PER COMMON SHARE</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The following table sets forth basic and diluted net income per common share computational data for the years ended</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December 31, (shares in thousands, except per share data):</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50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00"/>
        </w:trPr>
        <w:tc>
          <w:tcPr>
            <w:tcW w:w="6500" w:type="dxa"/>
            <w:vAlign w:val="bottom"/>
            <w:shd w:val="clear" w:color="auto" w:fill="E3E4E5"/>
          </w:tcPr>
          <w:p>
            <w:pPr>
              <w:ind w:left="40"/>
              <w:spacing w:after="0" w:line="200" w:lineRule="exact"/>
              <w:rPr>
                <w:sz w:val="20"/>
                <w:szCs w:val="20"/>
                <w:color w:val="auto"/>
              </w:rPr>
            </w:pPr>
            <w:r>
              <w:rPr>
                <w:rFonts w:ascii="Times New Roman" w:cs="Times New Roman" w:eastAsia="Times New Roman" w:hAnsi="Times New Roman"/>
                <w:sz w:val="20"/>
                <w:szCs w:val="20"/>
                <w:color w:val="231F20"/>
                <w:w w:val="99"/>
              </w:rPr>
              <w:t>Net income from continuing operations attributable to American Tower common</w:t>
            </w:r>
          </w:p>
        </w:tc>
        <w:tc>
          <w:tcPr>
            <w:tcW w:w="280" w:type="dxa"/>
            <w:vAlign w:val="bottom"/>
            <w:vMerge w:val="restart"/>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2,529.5</w:t>
            </w:r>
          </w:p>
        </w:tc>
        <w:tc>
          <w:tcPr>
            <w:tcW w:w="340" w:type="dxa"/>
            <w:vAlign w:val="bottom"/>
            <w:gridSpan w:val="2"/>
            <w:vMerge w:val="restart"/>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3,233.3</w:t>
            </w:r>
          </w:p>
        </w:tc>
        <w:tc>
          <w:tcPr>
            <w:tcW w:w="360" w:type="dxa"/>
            <w:vAlign w:val="bottom"/>
            <w:gridSpan w:val="2"/>
            <w:vMerge w:val="restart"/>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1,554.7</w:t>
            </w:r>
          </w:p>
        </w:tc>
        <w:tc>
          <w:tcPr>
            <w:tcW w:w="0" w:type="dxa"/>
            <w:vAlign w:val="bottom"/>
          </w:tcPr>
          <w:p>
            <w:pPr>
              <w:spacing w:after="0"/>
              <w:rPr>
                <w:sz w:val="1"/>
                <w:szCs w:val="1"/>
                <w:color w:val="auto"/>
              </w:rPr>
            </w:pPr>
          </w:p>
        </w:tc>
      </w:tr>
      <w:tr>
        <w:trPr>
          <w:trHeight w:val="276"/>
        </w:trPr>
        <w:tc>
          <w:tcPr>
            <w:tcW w:w="6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stockholders </w:t>
            </w:r>
            <w:r>
              <w:rPr>
                <w:rFonts w:ascii="Times New Roman" w:cs="Times New Roman" w:eastAsia="Times New Roman" w:hAnsi="Times New Roman"/>
                <w:sz w:val="20"/>
                <w:szCs w:val="20"/>
                <w:color w:val="BABCBE"/>
                <w:w w:val="98"/>
              </w:rPr>
              <w:t>..............................................................................................................</w:t>
            </w:r>
          </w:p>
        </w:tc>
        <w:tc>
          <w:tcPr>
            <w:tcW w:w="280" w:type="dxa"/>
            <w:vAlign w:val="bottom"/>
            <w:vMerge w:val="continue"/>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340" w:type="dxa"/>
            <w:vAlign w:val="bottom"/>
            <w:gridSpan w:val="2"/>
            <w:vMerge w:val="continue"/>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360" w:type="dxa"/>
            <w:vAlign w:val="bottom"/>
            <w:gridSpan w:val="2"/>
            <w:vMerge w:val="continue"/>
            <w:shd w:val="clear" w:color="auto" w:fill="E3E4E5"/>
          </w:tcPr>
          <w:p>
            <w:pPr>
              <w:spacing w:after="0"/>
              <w:rPr>
                <w:sz w:val="23"/>
                <w:szCs w:val="23"/>
                <w:color w:val="auto"/>
              </w:rPr>
            </w:pPr>
          </w:p>
        </w:tc>
        <w:tc>
          <w:tcPr>
            <w:tcW w:w="84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231F20"/>
              </w:rPr>
              <w:t>Net loss from discontinued operations attributable to American Tower common</w:t>
            </w: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(978.3)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(71.4)</w:t>
            </w:r>
          </w:p>
        </w:tc>
        <w:tc>
          <w:tcPr>
            <w:tcW w:w="0" w:type="dxa"/>
            <w:vAlign w:val="bottom"/>
          </w:tcPr>
          <w:p>
            <w:pPr>
              <w:spacing w:after="0"/>
              <w:rPr>
                <w:sz w:val="1"/>
                <w:szCs w:val="1"/>
                <w:color w:val="auto"/>
              </w:rPr>
            </w:pPr>
          </w:p>
        </w:tc>
      </w:tr>
      <w:tr>
        <w:trPr>
          <w:trHeight w:val="266"/>
        </w:trPr>
        <w:tc>
          <w:tcPr>
            <w:tcW w:w="65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stockholders </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vMerge w:val="continue"/>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vMerge w:val="continue"/>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Net income attributable to American Tower Corporation common stockholders</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2,529.5</w:t>
            </w:r>
          </w:p>
        </w:tc>
        <w:tc>
          <w:tcPr>
            <w:tcW w:w="340" w:type="dxa"/>
            <w:vAlign w:val="bottom"/>
            <w:gridSpan w:val="2"/>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2,255.0</w:t>
            </w:r>
          </w:p>
        </w:tc>
        <w:tc>
          <w:tcPr>
            <w:tcW w:w="360" w:type="dxa"/>
            <w:vAlign w:val="bottom"/>
            <w:gridSpan w:val="2"/>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1,483.3</w:t>
            </w:r>
          </w:p>
        </w:tc>
        <w:tc>
          <w:tcPr>
            <w:tcW w:w="0" w:type="dxa"/>
            <w:vAlign w:val="bottom"/>
          </w:tcPr>
          <w:p>
            <w:pPr>
              <w:spacing w:after="0"/>
              <w:rPr>
                <w:sz w:val="1"/>
                <w:szCs w:val="1"/>
                <w:color w:val="auto"/>
              </w:rPr>
            </w:pPr>
          </w:p>
        </w:tc>
      </w:tr>
      <w:tr>
        <w:trPr>
          <w:trHeight w:val="250"/>
        </w:trPr>
        <w:tc>
          <w:tcPr>
            <w:tcW w:w="6500" w:type="dxa"/>
            <w:vAlign w:val="bottom"/>
            <w:tcBorders>
              <w:top w:val="single" w:sz="8" w:color="E3E4E5"/>
            </w:tcBorders>
          </w:tcPr>
          <w:p>
            <w:pPr>
              <w:ind w:left="40"/>
              <w:spacing w:after="0"/>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Basicweightedaveragecommonsharesoutstanding</w:t>
            </w:r>
          </w:p>
        </w:tc>
        <w:tc>
          <w:tcPr>
            <w:tcW w:w="280" w:type="dxa"/>
            <w:vAlign w:val="bottom"/>
            <w:tcBorders>
              <w:top w:val="single" w:sz="8" w:color="231F20"/>
            </w:tcBorders>
          </w:tcPr>
          <w:p>
            <w:pPr>
              <w:spacing w:after="0"/>
              <w:rPr>
                <w:sz w:val="21"/>
                <w:szCs w:val="21"/>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467,922</w:t>
            </w:r>
          </w:p>
        </w:tc>
        <w:tc>
          <w:tcPr>
            <w:tcW w:w="80" w:type="dxa"/>
            <w:vAlign w:val="bottom"/>
            <w:tcBorders>
              <w:top w:val="single" w:sz="8" w:color="E3E4E5"/>
            </w:tcBorders>
          </w:tcPr>
          <w:p>
            <w:pPr>
              <w:spacing w:after="0"/>
              <w:rPr>
                <w:sz w:val="21"/>
                <w:szCs w:val="21"/>
                <w:color w:val="auto"/>
              </w:rPr>
            </w:pPr>
          </w:p>
        </w:tc>
        <w:tc>
          <w:tcPr>
            <w:tcW w:w="260" w:type="dxa"/>
            <w:vAlign w:val="bottom"/>
            <w:tcBorders>
              <w:top w:val="single" w:sz="8" w:color="231F20"/>
            </w:tcBorders>
          </w:tcPr>
          <w:p>
            <w:pPr>
              <w:spacing w:after="0"/>
              <w:rPr>
                <w:sz w:val="21"/>
                <w:szCs w:val="21"/>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467,011</w:t>
            </w:r>
          </w:p>
        </w:tc>
        <w:tc>
          <w:tcPr>
            <w:tcW w:w="80" w:type="dxa"/>
            <w:vAlign w:val="bottom"/>
            <w:tcBorders>
              <w:top w:val="single" w:sz="8" w:color="E3E4E5"/>
            </w:tcBorders>
          </w:tcPr>
          <w:p>
            <w:pPr>
              <w:spacing w:after="0"/>
              <w:rPr>
                <w:sz w:val="21"/>
                <w:szCs w:val="21"/>
                <w:color w:val="auto"/>
              </w:rPr>
            </w:pPr>
          </w:p>
        </w:tc>
        <w:tc>
          <w:tcPr>
            <w:tcW w:w="280" w:type="dxa"/>
            <w:vAlign w:val="bottom"/>
            <w:tcBorders>
              <w:top w:val="single" w:sz="8" w:color="231F20"/>
            </w:tcBorders>
          </w:tcPr>
          <w:p>
            <w:pPr>
              <w:spacing w:after="0"/>
              <w:rPr>
                <w:sz w:val="21"/>
                <w:szCs w:val="21"/>
                <w:color w:val="auto"/>
              </w:rPr>
            </w:pPr>
          </w:p>
        </w:tc>
        <w:tc>
          <w:tcPr>
            <w:tcW w:w="8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466,063</w:t>
            </w:r>
          </w:p>
        </w:tc>
        <w:tc>
          <w:tcPr>
            <w:tcW w:w="0" w:type="dxa"/>
            <w:vAlign w:val="bottom"/>
          </w:tcPr>
          <w:p>
            <w:pPr>
              <w:spacing w:after="0"/>
              <w:rPr>
                <w:sz w:val="1"/>
                <w:szCs w:val="1"/>
                <w:color w:val="auto"/>
              </w:rPr>
            </w:pPr>
          </w:p>
        </w:tc>
      </w:tr>
      <w:tr>
        <w:trPr>
          <w:trHeight w:val="289"/>
        </w:trPr>
        <w:tc>
          <w:tcPr>
            <w:tcW w:w="65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Dilutive securities </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835</w:t>
            </w:r>
          </w:p>
        </w:tc>
        <w:tc>
          <w:tcPr>
            <w:tcW w:w="8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1,109</w:t>
            </w: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1,099</w:t>
            </w:r>
          </w:p>
        </w:tc>
        <w:tc>
          <w:tcPr>
            <w:tcW w:w="0" w:type="dxa"/>
            <w:vAlign w:val="bottom"/>
          </w:tcPr>
          <w:p>
            <w:pPr>
              <w:spacing w:after="0"/>
              <w:rPr>
                <w:sz w:val="1"/>
                <w:szCs w:val="1"/>
                <w:color w:val="auto"/>
              </w:rPr>
            </w:pPr>
          </w:p>
        </w:tc>
      </w:tr>
      <w:tr>
        <w:trPr>
          <w:trHeight w:val="259"/>
        </w:trPr>
        <w:tc>
          <w:tcPr>
            <w:tcW w:w="6500" w:type="dxa"/>
            <w:vAlign w:val="bottom"/>
            <w:tcBorders>
              <w:bottom w:val="single" w:sz="8" w:color="E3E4E5"/>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w w:val="98"/>
              </w:rPr>
              <w:t>Diluted weighted average common shares outstanding</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468,757</w:t>
            </w:r>
          </w:p>
        </w:tc>
        <w:tc>
          <w:tcPr>
            <w:tcW w:w="80" w:type="dxa"/>
            <w:vAlign w:val="bottom"/>
            <w:tcBorders>
              <w:bottom w:val="single" w:sz="8" w:color="E3E4E5"/>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468,120</w:t>
            </w:r>
          </w:p>
        </w:tc>
        <w:tc>
          <w:tcPr>
            <w:tcW w:w="80" w:type="dxa"/>
            <w:vAlign w:val="bottom"/>
            <w:tcBorders>
              <w:bottom w:val="single" w:sz="8" w:color="E3E4E5"/>
            </w:tcBorders>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line="220" w:lineRule="exact"/>
              <w:rPr>
                <w:sz w:val="20"/>
                <w:szCs w:val="20"/>
                <w:color w:val="auto"/>
              </w:rPr>
            </w:pPr>
            <w:r>
              <w:rPr>
                <w:rFonts w:ascii="Times New Roman" w:cs="Times New Roman" w:eastAsia="Times New Roman" w:hAnsi="Times New Roman"/>
                <w:sz w:val="20"/>
                <w:szCs w:val="20"/>
                <w:color w:val="231F20"/>
              </w:rPr>
              <w:t>467,162</w:t>
            </w:r>
          </w:p>
        </w:tc>
        <w:tc>
          <w:tcPr>
            <w:tcW w:w="0" w:type="dxa"/>
            <w:vAlign w:val="bottom"/>
          </w:tcPr>
          <w:p>
            <w:pPr>
              <w:spacing w:after="0"/>
              <w:rPr>
                <w:sz w:val="1"/>
                <w:szCs w:val="1"/>
                <w:color w:val="auto"/>
              </w:rPr>
            </w:pPr>
          </w:p>
        </w:tc>
      </w:tr>
      <w:tr>
        <w:trPr>
          <w:trHeight w:val="180"/>
        </w:trPr>
        <w:tc>
          <w:tcPr>
            <w:tcW w:w="6500" w:type="dxa"/>
            <w:vAlign w:val="bottom"/>
            <w:shd w:val="clear" w:color="auto" w:fill="E3E4E5"/>
          </w:tcPr>
          <w:p>
            <w:pPr>
              <w:ind w:left="40"/>
              <w:spacing w:after="0" w:line="180" w:lineRule="exact"/>
              <w:rPr>
                <w:sz w:val="20"/>
                <w:szCs w:val="20"/>
                <w:color w:val="auto"/>
              </w:rPr>
            </w:pPr>
            <w:r>
              <w:rPr>
                <w:rFonts w:ascii="Times New Roman" w:cs="Times New Roman" w:eastAsia="Times New Roman" w:hAnsi="Times New Roman"/>
                <w:sz w:val="20"/>
                <w:szCs w:val="20"/>
                <w:color w:val="231F20"/>
              </w:rPr>
              <w:t>Basic net income from continuing operations attributable to American Tower</w:t>
            </w:r>
          </w:p>
        </w:tc>
        <w:tc>
          <w:tcPr>
            <w:tcW w:w="280" w:type="dxa"/>
            <w:vAlign w:val="bottom"/>
            <w:vMerge w:val="restart"/>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340" w:type="dxa"/>
            <w:vAlign w:val="bottom"/>
            <w:gridSpan w:val="2"/>
            <w:vMerge w:val="restart"/>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6.92</w:t>
            </w:r>
          </w:p>
        </w:tc>
        <w:tc>
          <w:tcPr>
            <w:tcW w:w="360" w:type="dxa"/>
            <w:vAlign w:val="bottom"/>
            <w:gridSpan w:val="2"/>
            <w:vMerge w:val="restart"/>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3.34</w:t>
            </w:r>
          </w:p>
        </w:tc>
        <w:tc>
          <w:tcPr>
            <w:tcW w:w="0" w:type="dxa"/>
            <w:vAlign w:val="bottom"/>
          </w:tcPr>
          <w:p>
            <w:pPr>
              <w:spacing w:after="0"/>
              <w:rPr>
                <w:sz w:val="1"/>
                <w:szCs w:val="1"/>
                <w:color w:val="auto"/>
              </w:rPr>
            </w:pPr>
          </w:p>
        </w:tc>
      </w:tr>
      <w:tr>
        <w:trPr>
          <w:trHeight w:val="276"/>
        </w:trPr>
        <w:tc>
          <w:tcPr>
            <w:tcW w:w="65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Corporation common stockholders</w:t>
            </w:r>
            <w:r>
              <w:rPr>
                <w:rFonts w:ascii="Times New Roman" w:cs="Times New Roman" w:eastAsia="Times New Roman" w:hAnsi="Times New Roman"/>
                <w:sz w:val="20"/>
                <w:szCs w:val="20"/>
                <w:color w:val="BABCBE"/>
                <w:w w:val="98"/>
              </w:rPr>
              <w:t>...........................................................................</w:t>
            </w:r>
          </w:p>
        </w:tc>
        <w:tc>
          <w:tcPr>
            <w:tcW w:w="280" w:type="dxa"/>
            <w:vAlign w:val="bottom"/>
            <w:vMerge w:val="continue"/>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340" w:type="dxa"/>
            <w:vAlign w:val="bottom"/>
            <w:gridSpan w:val="2"/>
            <w:vMerge w:val="continue"/>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360" w:type="dxa"/>
            <w:vAlign w:val="bottom"/>
            <w:gridSpan w:val="2"/>
            <w:vMerge w:val="continue"/>
            <w:shd w:val="clear" w:color="auto" w:fill="E3E4E5"/>
          </w:tcPr>
          <w:p>
            <w:pPr>
              <w:spacing w:after="0"/>
              <w:rPr>
                <w:sz w:val="23"/>
                <w:szCs w:val="23"/>
                <w:color w:val="auto"/>
              </w:rPr>
            </w:pPr>
          </w:p>
        </w:tc>
        <w:tc>
          <w:tcPr>
            <w:tcW w:w="84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color w:val="231F20"/>
              </w:rPr>
              <w:t>Basic net loss from discontinued operations attributable to American Tower</w:t>
            </w: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(0.15)</w:t>
            </w:r>
          </w:p>
        </w:tc>
        <w:tc>
          <w:tcPr>
            <w:tcW w:w="0" w:type="dxa"/>
            <w:vAlign w:val="bottom"/>
          </w:tcPr>
          <w:p>
            <w:pPr>
              <w:spacing w:after="0"/>
              <w:rPr>
                <w:sz w:val="1"/>
                <w:szCs w:val="1"/>
                <w:color w:val="auto"/>
              </w:rPr>
            </w:pPr>
          </w:p>
        </w:tc>
      </w:tr>
      <w:tr>
        <w:trPr>
          <w:trHeight w:val="266"/>
        </w:trPr>
        <w:tc>
          <w:tcPr>
            <w:tcW w:w="650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Corporation common stockholders per common share </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vMerge w:val="continue"/>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vMerge w:val="continue"/>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500" w:type="dxa"/>
            <w:vAlign w:val="bottom"/>
            <w:shd w:val="clear" w:color="auto" w:fill="E3E4E5"/>
          </w:tcPr>
          <w:p>
            <w:pPr>
              <w:ind w:left="40"/>
              <w:spacing w:after="0" w:line="200" w:lineRule="exact"/>
              <w:rPr>
                <w:sz w:val="20"/>
                <w:szCs w:val="20"/>
                <w:color w:val="auto"/>
              </w:rPr>
            </w:pPr>
            <w:r>
              <w:rPr>
                <w:rFonts w:ascii="Times New Roman" w:cs="Times New Roman" w:eastAsia="Times New Roman" w:hAnsi="Times New Roman"/>
                <w:sz w:val="20"/>
                <w:szCs w:val="20"/>
                <w:color w:val="231F20"/>
              </w:rPr>
              <w:t>Basic net income attributable to American Tower Corporation common</w:t>
            </w:r>
          </w:p>
        </w:tc>
        <w:tc>
          <w:tcPr>
            <w:tcW w:w="280" w:type="dxa"/>
            <w:vAlign w:val="bottom"/>
            <w:vMerge w:val="restart"/>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80" w:type="dxa"/>
            <w:vAlign w:val="bottom"/>
            <w:vMerge w:val="restart"/>
            <w:shd w:val="clear" w:color="auto" w:fill="E3E4E5"/>
          </w:tcPr>
          <w:p>
            <w:pPr>
              <w:spacing w:after="0"/>
              <w:rPr>
                <w:sz w:val="17"/>
                <w:szCs w:val="17"/>
                <w:color w:val="auto"/>
              </w:rPr>
            </w:pPr>
          </w:p>
        </w:tc>
        <w:tc>
          <w:tcPr>
            <w:tcW w:w="260" w:type="dxa"/>
            <w:vAlign w:val="bottom"/>
            <w:vMerge w:val="restart"/>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4.83</w:t>
            </w:r>
          </w:p>
        </w:tc>
        <w:tc>
          <w:tcPr>
            <w:tcW w:w="80" w:type="dxa"/>
            <w:vAlign w:val="bottom"/>
            <w:vMerge w:val="restart"/>
            <w:shd w:val="clear" w:color="auto" w:fill="E3E4E5"/>
          </w:tcPr>
          <w:p>
            <w:pPr>
              <w:spacing w:after="0"/>
              <w:rPr>
                <w:sz w:val="17"/>
                <w:szCs w:val="17"/>
                <w:color w:val="auto"/>
              </w:rPr>
            </w:pPr>
          </w:p>
        </w:tc>
        <w:tc>
          <w:tcPr>
            <w:tcW w:w="280" w:type="dxa"/>
            <w:vAlign w:val="bottom"/>
            <w:vMerge w:val="restart"/>
            <w:shd w:val="clear" w:color="auto" w:fill="E3E4E5"/>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3.18</w:t>
            </w:r>
          </w:p>
        </w:tc>
        <w:tc>
          <w:tcPr>
            <w:tcW w:w="0" w:type="dxa"/>
            <w:vAlign w:val="bottom"/>
          </w:tcPr>
          <w:p>
            <w:pPr>
              <w:spacing w:after="0"/>
              <w:rPr>
                <w:sz w:val="1"/>
                <w:szCs w:val="1"/>
                <w:color w:val="auto"/>
              </w:rPr>
            </w:pPr>
          </w:p>
        </w:tc>
      </w:tr>
      <w:tr>
        <w:trPr>
          <w:trHeight w:val="285"/>
        </w:trPr>
        <w:tc>
          <w:tcPr>
            <w:tcW w:w="65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stockholders per common share</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vMerge w:val="continue"/>
            <w:shd w:val="clear" w:color="auto" w:fill="E3E4E5"/>
          </w:tcPr>
          <w:p>
            <w:pPr>
              <w:spacing w:after="0"/>
              <w:rPr>
                <w:sz w:val="24"/>
                <w:szCs w:val="24"/>
                <w:color w:val="auto"/>
              </w:rPr>
            </w:pPr>
          </w:p>
        </w:tc>
        <w:tc>
          <w:tcPr>
            <w:tcW w:w="860" w:type="dxa"/>
            <w:vAlign w:val="bottom"/>
            <w:tcBorders>
              <w:bottom w:val="single" w:sz="8" w:color="231F20"/>
            </w:tcBorders>
            <w:vMerge w:val="continue"/>
            <w:shd w:val="clear" w:color="auto" w:fill="E3E4E5"/>
          </w:tcPr>
          <w:p>
            <w:pPr>
              <w:spacing w:after="0"/>
              <w:rPr>
                <w:sz w:val="24"/>
                <w:szCs w:val="24"/>
                <w:color w:val="auto"/>
              </w:rPr>
            </w:pPr>
          </w:p>
        </w:tc>
        <w:tc>
          <w:tcPr>
            <w:tcW w:w="80" w:type="dxa"/>
            <w:vAlign w:val="bottom"/>
            <w:tcBorders>
              <w:bottom w:val="single" w:sz="8" w:color="E3E4E5"/>
            </w:tcBorders>
            <w:vMerge w:val="continue"/>
            <w:shd w:val="clear" w:color="auto" w:fill="E3E4E5"/>
          </w:tcPr>
          <w:p>
            <w:pPr>
              <w:spacing w:after="0"/>
              <w:rPr>
                <w:sz w:val="24"/>
                <w:szCs w:val="24"/>
                <w:color w:val="auto"/>
              </w:rPr>
            </w:pPr>
          </w:p>
        </w:tc>
        <w:tc>
          <w:tcPr>
            <w:tcW w:w="260" w:type="dxa"/>
            <w:vAlign w:val="bottom"/>
            <w:tcBorders>
              <w:bottom w:val="single" w:sz="8" w:color="231F20"/>
            </w:tcBorders>
            <w:vMerge w:val="continue"/>
            <w:shd w:val="clear" w:color="auto" w:fill="E3E4E5"/>
          </w:tcPr>
          <w:p>
            <w:pPr>
              <w:spacing w:after="0"/>
              <w:rPr>
                <w:sz w:val="24"/>
                <w:szCs w:val="24"/>
                <w:color w:val="auto"/>
              </w:rPr>
            </w:pPr>
          </w:p>
        </w:tc>
        <w:tc>
          <w:tcPr>
            <w:tcW w:w="860" w:type="dxa"/>
            <w:vAlign w:val="bottom"/>
            <w:tcBorders>
              <w:bottom w:val="single" w:sz="8" w:color="231F20"/>
            </w:tcBorders>
            <w:vMerge w:val="continue"/>
            <w:shd w:val="clear" w:color="auto" w:fill="E3E4E5"/>
          </w:tcPr>
          <w:p>
            <w:pPr>
              <w:spacing w:after="0"/>
              <w:rPr>
                <w:sz w:val="24"/>
                <w:szCs w:val="24"/>
                <w:color w:val="auto"/>
              </w:rPr>
            </w:pPr>
          </w:p>
        </w:tc>
        <w:tc>
          <w:tcPr>
            <w:tcW w:w="80" w:type="dxa"/>
            <w:vAlign w:val="bottom"/>
            <w:tcBorders>
              <w:bottom w:val="single" w:sz="8" w:color="E3E4E5"/>
            </w:tcBorders>
            <w:vMerge w:val="continue"/>
            <w:shd w:val="clear" w:color="auto" w:fill="E3E4E5"/>
          </w:tcPr>
          <w:p>
            <w:pPr>
              <w:spacing w:after="0"/>
              <w:rPr>
                <w:sz w:val="24"/>
                <w:szCs w:val="24"/>
                <w:color w:val="auto"/>
              </w:rPr>
            </w:pPr>
          </w:p>
        </w:tc>
        <w:tc>
          <w:tcPr>
            <w:tcW w:w="280" w:type="dxa"/>
            <w:vAlign w:val="bottom"/>
            <w:tcBorders>
              <w:bottom w:val="single" w:sz="8" w:color="231F20"/>
            </w:tcBorders>
            <w:vMerge w:val="continue"/>
            <w:shd w:val="clear" w:color="auto" w:fill="E3E4E5"/>
          </w:tcPr>
          <w:p>
            <w:pPr>
              <w:spacing w:after="0"/>
              <w:rPr>
                <w:sz w:val="24"/>
                <w:szCs w:val="24"/>
                <w:color w:val="auto"/>
              </w:rPr>
            </w:pPr>
          </w:p>
        </w:tc>
        <w:tc>
          <w:tcPr>
            <w:tcW w:w="840" w:type="dxa"/>
            <w:vAlign w:val="bottom"/>
            <w:tcBorders>
              <w:bottom w:val="single" w:sz="8" w:color="231F20"/>
            </w:tcBorders>
            <w:vMerge w:val="continue"/>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500" w:type="dxa"/>
            <w:vAlign w:val="bottom"/>
          </w:tcPr>
          <w:p>
            <w:pPr>
              <w:ind w:left="40"/>
              <w:spacing w:after="0" w:line="180" w:lineRule="exact"/>
              <w:rPr>
                <w:sz w:val="20"/>
                <w:szCs w:val="20"/>
                <w:color w:val="auto"/>
              </w:rPr>
            </w:pPr>
            <w:r>
              <w:rPr>
                <w:rFonts w:ascii="Times New Roman" w:cs="Times New Roman" w:eastAsia="Times New Roman" w:hAnsi="Times New Roman"/>
                <w:sz w:val="20"/>
                <w:szCs w:val="20"/>
                <w:color w:val="231F20"/>
              </w:rPr>
              <w:t>Diluted net income from continuing operations attributable to American Tower</w:t>
            </w:r>
          </w:p>
        </w:tc>
        <w:tc>
          <w:tcPr>
            <w:tcW w:w="2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5.40</w:t>
            </w:r>
          </w:p>
        </w:tc>
        <w:tc>
          <w:tcPr>
            <w:tcW w:w="3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6.91</w:t>
            </w:r>
          </w:p>
        </w:tc>
        <w:tc>
          <w:tcPr>
            <w:tcW w:w="36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3.33</w:t>
            </w:r>
          </w:p>
        </w:tc>
        <w:tc>
          <w:tcPr>
            <w:tcW w:w="0" w:type="dxa"/>
            <w:vAlign w:val="bottom"/>
          </w:tcPr>
          <w:p>
            <w:pPr>
              <w:spacing w:after="0"/>
              <w:rPr>
                <w:sz w:val="1"/>
                <w:szCs w:val="1"/>
                <w:color w:val="auto"/>
              </w:rPr>
            </w:pPr>
          </w:p>
        </w:tc>
      </w:tr>
      <w:tr>
        <w:trPr>
          <w:trHeight w:val="270"/>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Corporation common stockholders</w:t>
            </w:r>
            <w:r>
              <w:rPr>
                <w:rFonts w:ascii="Times New Roman" w:cs="Times New Roman" w:eastAsia="Times New Roman" w:hAnsi="Times New Roman"/>
                <w:sz w:val="20"/>
                <w:szCs w:val="20"/>
                <w:color w:val="BABCBE"/>
                <w:w w:val="98"/>
              </w:rPr>
              <w:t>...........................................................................</w:t>
            </w:r>
          </w:p>
        </w:tc>
        <w:tc>
          <w:tcPr>
            <w:tcW w:w="28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360" w:type="dxa"/>
            <w:vAlign w:val="bottom"/>
            <w:gridSpan w:val="2"/>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500" w:type="dxa"/>
            <w:vAlign w:val="bottom"/>
            <w:shd w:val="clear" w:color="auto" w:fill="E3E4E5"/>
          </w:tcPr>
          <w:p>
            <w:pPr>
              <w:ind w:left="40"/>
              <w:spacing w:after="0" w:line="215" w:lineRule="exact"/>
              <w:rPr>
                <w:sz w:val="20"/>
                <w:szCs w:val="20"/>
                <w:color w:val="auto"/>
              </w:rPr>
            </w:pPr>
            <w:r>
              <w:rPr>
                <w:rFonts w:ascii="Times New Roman" w:cs="Times New Roman" w:eastAsia="Times New Roman" w:hAnsi="Times New Roman"/>
                <w:sz w:val="20"/>
                <w:szCs w:val="20"/>
                <w:color w:val="231F20"/>
              </w:rPr>
              <w:t>Diluted net loss from discontinued operations attributable to American Tower</w:t>
            </w:r>
          </w:p>
        </w:tc>
        <w:tc>
          <w:tcPr>
            <w:tcW w:w="28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18"/>
                <w:szCs w:val="18"/>
                <w:color w:val="auto"/>
              </w:rPr>
            </w:pPr>
          </w:p>
        </w:tc>
        <w:tc>
          <w:tcPr>
            <w:tcW w:w="26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8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(0.15)</w:t>
            </w:r>
          </w:p>
        </w:tc>
        <w:tc>
          <w:tcPr>
            <w:tcW w:w="0" w:type="dxa"/>
            <w:vAlign w:val="bottom"/>
          </w:tcPr>
          <w:p>
            <w:pPr>
              <w:spacing w:after="0"/>
              <w:rPr>
                <w:sz w:val="1"/>
                <w:szCs w:val="1"/>
                <w:color w:val="auto"/>
              </w:rPr>
            </w:pPr>
          </w:p>
        </w:tc>
      </w:tr>
      <w:tr>
        <w:trPr>
          <w:trHeight w:val="285"/>
        </w:trPr>
        <w:tc>
          <w:tcPr>
            <w:tcW w:w="65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Corporation common stockholders</w:t>
            </w:r>
            <w:r>
              <w:rPr>
                <w:rFonts w:ascii="Times New Roman" w:cs="Times New Roman" w:eastAsia="Times New Roman" w:hAnsi="Times New Roman"/>
                <w:sz w:val="20"/>
                <w:szCs w:val="20"/>
                <w:color w:val="BABCBE"/>
                <w:w w:val="98"/>
              </w:rPr>
              <w:t>...........................................................................</w:t>
            </w:r>
          </w:p>
        </w:tc>
        <w:tc>
          <w:tcPr>
            <w:tcW w:w="28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vMerge w:val="continue"/>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vMerge w:val="continue"/>
            <w:shd w:val="clear" w:color="auto" w:fill="E3E4E5"/>
          </w:tcPr>
          <w:p>
            <w:pPr>
              <w:spacing w:after="0"/>
              <w:rPr>
                <w:sz w:val="24"/>
                <w:szCs w:val="24"/>
                <w:color w:val="auto"/>
              </w:rPr>
            </w:pPr>
          </w:p>
        </w:tc>
        <w:tc>
          <w:tcPr>
            <w:tcW w:w="80" w:type="dxa"/>
            <w:vAlign w:val="bottom"/>
            <w:tcBorders>
              <w:bottom w:val="single" w:sz="8" w:color="E3E4E5"/>
            </w:tcBorders>
            <w:shd w:val="clear" w:color="auto" w:fill="E3E4E5"/>
          </w:tcPr>
          <w:p>
            <w:pPr>
              <w:spacing w:after="0"/>
              <w:rPr>
                <w:sz w:val="24"/>
                <w:szCs w:val="24"/>
                <w:color w:val="auto"/>
              </w:rPr>
            </w:pPr>
          </w:p>
        </w:tc>
        <w:tc>
          <w:tcPr>
            <w:tcW w:w="28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vMerge w:val="continue"/>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500" w:type="dxa"/>
            <w:vAlign w:val="bottom"/>
          </w:tcPr>
          <w:p>
            <w:pPr>
              <w:ind w:left="40"/>
              <w:spacing w:after="0" w:line="188" w:lineRule="exact"/>
              <w:rPr>
                <w:sz w:val="20"/>
                <w:szCs w:val="20"/>
                <w:color w:val="auto"/>
              </w:rPr>
            </w:pPr>
            <w:r>
              <w:rPr>
                <w:rFonts w:ascii="Times New Roman" w:cs="Times New Roman" w:eastAsia="Times New Roman" w:hAnsi="Times New Roman"/>
                <w:sz w:val="20"/>
                <w:szCs w:val="20"/>
                <w:color w:val="231F20"/>
              </w:rPr>
              <w:t>Diluted net income attributable to American Tower Corporation common</w:t>
            </w:r>
          </w:p>
        </w:tc>
        <w:tc>
          <w:tcPr>
            <w:tcW w:w="28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5.40</w:t>
            </w:r>
          </w:p>
        </w:tc>
        <w:tc>
          <w:tcPr>
            <w:tcW w:w="3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4.82</w:t>
            </w:r>
          </w:p>
        </w:tc>
        <w:tc>
          <w:tcPr>
            <w:tcW w:w="36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3.18</w:t>
            </w:r>
          </w:p>
        </w:tc>
        <w:tc>
          <w:tcPr>
            <w:tcW w:w="0" w:type="dxa"/>
            <w:vAlign w:val="bottom"/>
          </w:tcPr>
          <w:p>
            <w:pPr>
              <w:spacing w:after="0"/>
              <w:rPr>
                <w:sz w:val="1"/>
                <w:szCs w:val="1"/>
                <w:color w:val="auto"/>
              </w:rPr>
            </w:pPr>
          </w:p>
        </w:tc>
      </w:tr>
      <w:tr>
        <w:trPr>
          <w:trHeight w:val="238"/>
        </w:trPr>
        <w:tc>
          <w:tcPr>
            <w:tcW w:w="65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stockholders per common share</w:t>
            </w: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-3213735</wp:posOffset>
            </wp:positionV>
            <wp:extent cx="227520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94">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-2597785</wp:posOffset>
            </wp:positionV>
            <wp:extent cx="227520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95">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-2423795</wp:posOffset>
            </wp:positionV>
            <wp:extent cx="2275205" cy="501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96">
                      <a:extLst>
                        <a:ext uri="{28A0092B-C50C-407E-A947-70E740481C1C}"/>
                      </a:extLst>
                    </a:blip>
                    <a:srcRect/>
                    <a:stretch>
                      <a:fillRect/>
                    </a:stretch>
                  </pic:blipFill>
                  <pic:spPr bwMode="auto">
                    <a:xfrm>
                      <a:off x="0" y="0"/>
                      <a:ext cx="2275205" cy="5016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-2056130</wp:posOffset>
            </wp:positionV>
            <wp:extent cx="227520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97">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-1891665</wp:posOffset>
            </wp:positionV>
            <wp:extent cx="2275205" cy="501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98">
                      <a:extLst>
                        <a:ext uri="{28A0092B-C50C-407E-A947-70E740481C1C}"/>
                      </a:extLst>
                    </a:blip>
                    <a:srcRect/>
                    <a:stretch>
                      <a:fillRect/>
                    </a:stretch>
                  </pic:blipFill>
                  <pic:spPr bwMode="auto">
                    <a:xfrm>
                      <a:off x="0" y="0"/>
                      <a:ext cx="2275205" cy="5016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-1263015</wp:posOffset>
            </wp:positionV>
            <wp:extent cx="227520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99">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-967105</wp:posOffset>
            </wp:positionV>
            <wp:extent cx="2275205" cy="501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00">
                      <a:extLst>
                        <a:ext uri="{28A0092B-C50C-407E-A947-70E740481C1C}"/>
                      </a:extLst>
                    </a:blip>
                    <a:srcRect/>
                    <a:stretch>
                      <a:fillRect/>
                    </a:stretch>
                  </pic:blipFill>
                  <pic:spPr bwMode="auto">
                    <a:xfrm>
                      <a:off x="0" y="0"/>
                      <a:ext cx="2275205" cy="5016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-339090</wp:posOffset>
            </wp:positionV>
            <wp:extent cx="227520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01">
                      <a:extLst>
                        <a:ext uri="{28A0092B-C50C-407E-A947-70E740481C1C}"/>
                      </a:extLst>
                    </a:blip>
                    <a:srcRect/>
                    <a:stretch>
                      <a:fillRect/>
                    </a:stretch>
                  </pic:blipFill>
                  <pic:spPr bwMode="auto">
                    <a:xfrm>
                      <a:off x="0" y="0"/>
                      <a:ext cx="2275205" cy="25400"/>
                    </a:xfrm>
                    <a:prstGeom prst="rect">
                      <a:avLst/>
                    </a:prstGeom>
                    <a:noFill/>
                  </pic:spPr>
                </pic:pic>
              </a:graphicData>
            </a:graphic>
          </wp:anchor>
        </w:drawing>
      </w:r>
    </w:p>
    <w:p>
      <w:pPr>
        <w:spacing w:after="0" w:line="1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Shares Excluded From Dilutive Effect</w:t>
      </w:r>
    </w:p>
    <w:p>
      <w:pPr>
        <w:spacing w:after="0" w:line="164" w:lineRule="exact"/>
        <w:rPr>
          <w:sz w:val="20"/>
          <w:szCs w:val="20"/>
          <w:color w:val="auto"/>
        </w:rPr>
      </w:pPr>
    </w:p>
    <w:p>
      <w:pPr>
        <w:ind w:left="7" w:right="520"/>
        <w:spacing w:after="0" w:line="273" w:lineRule="auto"/>
        <w:rPr>
          <w:sz w:val="20"/>
          <w:szCs w:val="20"/>
          <w:color w:val="auto"/>
        </w:rPr>
      </w:pPr>
      <w:r>
        <w:rPr>
          <w:rFonts w:ascii="Times New Roman" w:cs="Times New Roman" w:eastAsia="Times New Roman" w:hAnsi="Times New Roman"/>
          <w:sz w:val="20"/>
          <w:szCs w:val="20"/>
          <w:color w:val="231F20"/>
        </w:rPr>
        <w:t>The following shares were not included in the computation of diluted earnings per share because the effect would be anti-dilutive for the years ended December 31, (in thousands, on a weighted average basis):</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500" w:type="dxa"/>
            <w:vAlign w:val="bottom"/>
            <w:tcBorders>
              <w:bottom w:val="single" w:sz="8" w:color="E3E4E5"/>
            </w:tcBorders>
          </w:tcPr>
          <w:p>
            <w:pPr>
              <w:spacing w:after="0"/>
              <w:rPr>
                <w:sz w:val="18"/>
                <w:szCs w:val="18"/>
                <w:color w:val="auto"/>
              </w:rPr>
            </w:pPr>
          </w:p>
        </w:tc>
        <w:tc>
          <w:tcPr>
            <w:tcW w:w="84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82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00" w:type="dxa"/>
            <w:vAlign w:val="bottom"/>
            <w:tcBorders>
              <w:bottom w:val="single" w:sz="8" w:color="231F20"/>
            </w:tcBorders>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7340" w:type="dxa"/>
            <w:vAlign w:val="bottom"/>
            <w:gridSpan w:val="2"/>
            <w:shd w:val="clear" w:color="auto" w:fill="E3E4E5"/>
          </w:tcPr>
          <w:p>
            <w:pPr>
              <w:jc w:val="right"/>
              <w:ind w:right="822"/>
              <w:spacing w:after="0"/>
              <w:rPr>
                <w:sz w:val="20"/>
                <w:szCs w:val="20"/>
                <w:color w:val="auto"/>
              </w:rPr>
            </w:pPr>
            <w:r>
              <w:rPr>
                <w:rFonts w:ascii="Times New Roman" w:cs="Times New Roman" w:eastAsia="Times New Roman" w:hAnsi="Times New Roman"/>
                <w:sz w:val="20"/>
                <w:szCs w:val="20"/>
                <w:color w:val="231F20"/>
                <w:w w:val="98"/>
              </w:rPr>
              <w:t xml:space="preserve">Restricted stock awards </w:t>
            </w:r>
            <w:r>
              <w:rPr>
                <w:rFonts w:ascii="Times New Roman" w:cs="Times New Roman" w:eastAsia="Times New Roman" w:hAnsi="Times New Roman"/>
                <w:sz w:val="20"/>
                <w:szCs w:val="20"/>
                <w:color w:val="BABCBE"/>
                <w:w w:val="98"/>
              </w:rPr>
              <w:t>............................................................................................</w:t>
            </w:r>
          </w:p>
        </w:tc>
        <w:tc>
          <w:tcPr>
            <w:tcW w:w="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shd w:val="clear" w:color="auto" w:fill="E3E4E5"/>
          </w:tcPr>
          <w:p>
            <w:pPr>
              <w:spacing w:after="0"/>
              <w:rPr>
                <w:sz w:val="24"/>
                <w:szCs w:val="24"/>
                <w:color w:val="auto"/>
              </w:rPr>
            </w:pPr>
          </w:p>
        </w:tc>
        <w:tc>
          <w:tcPr>
            <w:tcW w:w="820" w:type="dxa"/>
            <w:vAlign w:val="bottom"/>
            <w:shd w:val="clear" w:color="auto" w:fill="E3E4E5"/>
          </w:tcPr>
          <w:p>
            <w:pPr>
              <w:spacing w:after="0"/>
              <w:rPr>
                <w:sz w:val="24"/>
                <w:szCs w:val="24"/>
                <w:color w:val="auto"/>
              </w:rPr>
            </w:pPr>
          </w:p>
        </w:tc>
        <w:tc>
          <w:tcPr>
            <w:tcW w:w="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1200" w:type="dxa"/>
            <w:vAlign w:val="bottom"/>
            <w:gridSpan w:val="2"/>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-198755</wp:posOffset>
            </wp:positionV>
            <wp:extent cx="150939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02">
                      <a:extLst>
                        <a:ext uri="{28A0092B-C50C-407E-A947-70E740481C1C}"/>
                      </a:extLst>
                    </a:blip>
                    <a:srcRect/>
                    <a:stretch>
                      <a:fillRect/>
                    </a:stretch>
                  </pic:blipFill>
                  <pic:spPr bwMode="auto">
                    <a:xfrm>
                      <a:off x="0" y="0"/>
                      <a:ext cx="1509395" cy="25400"/>
                    </a:xfrm>
                    <a:prstGeom prst="rect">
                      <a:avLst/>
                    </a:prstGeom>
                    <a:noFill/>
                  </pic:spPr>
                </pic:pic>
              </a:graphicData>
            </a:graphic>
          </wp:anchor>
        </w:drawing>
      </w:r>
    </w:p>
    <w:p>
      <w:pPr>
        <w:spacing w:after="0" w:line="347"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17.</w:t>
      </w:r>
      <w:r>
        <w:rPr>
          <w:sz w:val="20"/>
          <w:szCs w:val="20"/>
          <w:color w:val="auto"/>
        </w:rPr>
        <w:tab/>
      </w:r>
      <w:r>
        <w:rPr>
          <w:rFonts w:ascii="Times New Roman" w:cs="Times New Roman" w:eastAsia="Times New Roman" w:hAnsi="Times New Roman"/>
          <w:sz w:val="19"/>
          <w:szCs w:val="19"/>
          <w:b w:val="1"/>
          <w:bCs w:val="1"/>
          <w:color w:val="231F20"/>
        </w:rPr>
        <w:t>COMMITMENTS AND CONTINGENCIES</w:t>
      </w:r>
    </w:p>
    <w:p>
      <w:pPr>
        <w:spacing w:after="0" w:line="207" w:lineRule="exact"/>
        <w:rPr>
          <w:sz w:val="20"/>
          <w:szCs w:val="20"/>
          <w:color w:val="auto"/>
        </w:rPr>
      </w:pPr>
    </w:p>
    <w:p>
      <w:pPr>
        <w:ind w:left="7" w:right="460"/>
        <w:spacing w:after="0" w:line="302" w:lineRule="auto"/>
        <w:rPr>
          <w:sz w:val="20"/>
          <w:szCs w:val="20"/>
          <w:color w:val="auto"/>
        </w:rPr>
      </w:pPr>
      <w:r>
        <w:rPr>
          <w:rFonts w:ascii="Times New Roman" w:cs="Times New Roman" w:eastAsia="Times New Roman" w:hAnsi="Times New Roman"/>
          <w:sz w:val="19"/>
          <w:szCs w:val="19"/>
          <w:i w:val="1"/>
          <w:iCs w:val="1"/>
          <w:color w:val="231F20"/>
        </w:rPr>
        <w:t>Litigation</w:t>
      </w:r>
      <w:r>
        <w:rPr>
          <w:rFonts w:ascii="Times New Roman" w:cs="Times New Roman" w:eastAsia="Times New Roman" w:hAnsi="Times New Roman"/>
          <w:sz w:val="19"/>
          <w:szCs w:val="19"/>
          <w:color w:val="231F20"/>
        </w:rPr>
        <w:t>—The Company periodically becomes involved in various claims and lawsuits that are incidental to its business.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While the Company’s management, after consultation with counsel, currently believes the ultimate outcome of these legal</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F-47</w:t>
      </w:r>
    </w:p>
    <w:p>
      <w:pPr>
        <w:sectPr>
          <w:pgSz w:w="11880" w:h="15480" w:orient="portrait"/>
          <w:cols w:equalWidth="0" w:num="1">
            <w:col w:w="10047"/>
          </w:cols>
          <w:pgMar w:left="913" w:top="418" w:right="920" w:bottom="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9"/>
          <w:szCs w:val="19"/>
          <w:color w:val="231F20"/>
        </w:rPr>
        <w:t>proceedings, individually and in the aggregate, will not have a material adverse impact on its consolidated financial position, results of operations or liquidity, litigation is subject to inherent uncertainties. Were an unfavorable ruling to occur, there exists the possibility of a material adverse impact on the Company’s financial condition and results of operations.</w:t>
      </w:r>
    </w:p>
    <w:p>
      <w:pPr>
        <w:spacing w:after="0" w:line="9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i w:val="1"/>
          <w:iCs w:val="1"/>
          <w:color w:val="231F20"/>
        </w:rPr>
        <w:t>Verizon Transaction</w:t>
      </w:r>
      <w:r>
        <w:rPr>
          <w:rFonts w:ascii="Times New Roman" w:cs="Times New Roman" w:eastAsia="Times New Roman" w:hAnsi="Times New Roman"/>
          <w:sz w:val="20"/>
          <w:szCs w:val="20"/>
          <w:color w:val="231F20"/>
        </w:rPr>
        <w:t>—In March 2015, the Company entered into an agreement with various operating entities of Verizon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Communications Inc. (“Verizon”) that currently provides for the lease, sublease or management of approximately 11,100 wireless communications sites, which commenced on March 27, 2015. The average term of the lease or sublease for all communications sites at the inception of the agreement was approximately 28 years, assuming renewals or extensions of the underlying ground leases for the sites. The Company has the option to purchase the leased sites in tranches, subject to the applicable lease, sublease or management rights upon its scheduled expiration. Each tower is assigned to an annual tranche, ranging from 2034 to 2047, which represents the outside expiration date for the sublease rights to the towers in that tranche. The purchase price for each tranche is a fixed amount stated in the lease for such tranche plus the fair market value of certain alterations made to the related towers. The aggregate purchase option price for the towers leased and subleased is approximately $5.0 billion. Verizon occupied the sites as a tenant for an initial term of ten years and has exercised its first renewal option for a five-year term. Verizon has seven optional successive five-year terms remaining; each such term shall be governed by standard master lease agreement terms established as a part of the transaction.</w:t>
      </w:r>
    </w:p>
    <w:p>
      <w:pPr>
        <w:spacing w:after="0" w:line="1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i w:val="1"/>
          <w:iCs w:val="1"/>
          <w:color w:val="231F20"/>
        </w:rPr>
        <w:t>AT&amp;T Transaction</w:t>
      </w:r>
      <w:r>
        <w:rPr>
          <w:rFonts w:ascii="Times New Roman" w:cs="Times New Roman" w:eastAsia="Times New Roman" w:hAnsi="Times New Roman"/>
          <w:sz w:val="19"/>
          <w:szCs w:val="19"/>
          <w:color w:val="231F20"/>
        </w:rPr>
        <w:t>—The Company has an agreement with SBC Communications Inc., a predecessor entity to AT&amp;T Inc.</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(“AT&amp;T”), that currently provides for the lease or sublease of approximately 1,600 towers, which commenced between December 2000 and August 2004. Substantially all of the towers are part of the Trust Securitization. The average term of the lease or sublease for all sites at the inception of the agreement was approximately 27 years, assuming renewals or extensions of the underlying ground leases for the sites. The Company has the option to purchase the sites subject to the applicable lease or sublease upon its expiration. Each tower is assigned to an annual tranche, ranging from 2013 to 2032, which represents the outside expiration date for the sublease rights to that tower. The purchase price for each site is a fixed amount stated in the lease for that site plus the fair market value of certain alterations made to the related tower by AT&amp;T. As of December 31, 2025, the Company has purchased an aggregate of approximately 800 of the subleased towers which are subject to the applicable agreement, including 104 towers purchased during the year ended December 31, 2025 for an aggregate purchase price of $82.0 million. The aggregate purchase option price for the remaining towers leased and subleased is $1.2 billion and includes per annum accretion through the applicable expiration of the lease or sublease of a site. For the applicable sites, AT&amp;T has the right to continue to lease space subject to a monthly fee, which shall escalate in accordance with the standard master lease agreement for the remainder of AT&amp;T’s tenancy. AT&amp;T shall have the right to renew each lease for up to five successive five-year terms.</w:t>
      </w:r>
    </w:p>
    <w:p>
      <w:pPr>
        <w:spacing w:after="0" w:line="12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i w:val="1"/>
          <w:iCs w:val="1"/>
          <w:color w:val="231F20"/>
        </w:rPr>
        <w:t>Other Contingencies</w:t>
      </w:r>
      <w:r>
        <w:rPr>
          <w:rFonts w:ascii="Times New Roman" w:cs="Times New Roman" w:eastAsia="Times New Roman" w:hAnsi="Times New Roman"/>
          <w:sz w:val="19"/>
          <w:szCs w:val="19"/>
          <w:color w:val="231F20"/>
        </w:rPr>
        <w:t>—The Company is subject to income tax and other taxes in the geographic areas where it holds assets or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operates, and periodically receives notifications of audits, assessments or other actions by taxing authorities. Taxing authorities may issue notices or assessments while audits are being conducted. In certain jurisdictions, taxing authorities may issue assessments with minimal examination. These notices and assessments do not represent amounts that the Company is obligated to pay and are often not reflective of the actual tax liability for which the Company will ultimately be liable. In the process of responding to assessments of taxes that the Company believes are not enforceable, the Company avails itself of both administrative and judicial remedies. The Company evaluates the circumstances of each notification or assessment based on the information available and, in those instances in which the Company does not anticipate a successful defense of positions taken in its tax filings, a liability is recorded in the appropriate amount based on the underlying assessment.</w:t>
      </w:r>
    </w:p>
    <w:p>
      <w:pPr>
        <w:spacing w:after="0" w:line="11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i w:val="1"/>
          <w:iCs w:val="1"/>
          <w:color w:val="231F20"/>
        </w:rPr>
        <w:t>Guaranties and Indemnifications</w:t>
      </w:r>
      <w:r>
        <w:rPr>
          <w:rFonts w:ascii="Times New Roman" w:cs="Times New Roman" w:eastAsia="Times New Roman" w:hAnsi="Times New Roman"/>
          <w:sz w:val="20"/>
          <w:szCs w:val="20"/>
          <w:color w:val="231F20"/>
        </w:rPr>
        <w:t>—The Company enters into agreements from time to time in the ordinary course of business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pursuant to which it agrees to guarantee or indemnify third parties for certain claims. The Company has also entered into purchase and sale or disposal agreements relating to the sale or acquisition of assets containing customary indemnification provisions. The Company’s indemnification obligations under these agreements generally are limited solely to damages resulting from breaches of representations and warranties or covenants under the applicable agreements. In addition, payments under such indemnification clauses are generally conditioned on the other party making a claim that is subject to whatever defenses the Company may have and are governed by dispute resolution procedures specified in the particular agreement. Further, the Company’s obligations under these agreements may be limited in duration and amount, and in some instances, the Company may have recourse against third parties for payments made by the Company. The Company has not historically made any material payments under these agreements and, as of December 31, 2025, is not aware of any agreements that could result in a material payment.</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F-48</w:t>
      </w:r>
    </w:p>
    <w:p>
      <w:pPr>
        <w:sectPr>
          <w:pgSz w:w="11880" w:h="15480" w:orient="portrait"/>
          <w:cols w:equalWidth="0" w:num="1">
            <w:col w:w="10040"/>
          </w:cols>
          <w:pgMar w:left="920" w:top="418" w:right="920" w:bottom="0" w:gutter="0" w:footer="0" w:header="0"/>
          <w:type w:val="continuous"/>
        </w:sectPr>
      </w:pPr>
    </w:p>
    <w:bookmarkStart w:id="138" w:name="page139"/>
    <w:bookmarkEnd w:id="138"/>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75"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18.</w:t>
      </w:r>
      <w:r>
        <w:rPr>
          <w:sz w:val="20"/>
          <w:szCs w:val="20"/>
          <w:color w:val="auto"/>
        </w:rPr>
        <w:tab/>
      </w:r>
      <w:r>
        <w:rPr>
          <w:rFonts w:ascii="Times New Roman" w:cs="Times New Roman" w:eastAsia="Times New Roman" w:hAnsi="Times New Roman"/>
          <w:sz w:val="19"/>
          <w:szCs w:val="19"/>
          <w:b w:val="1"/>
          <w:bCs w:val="1"/>
          <w:color w:val="231F20"/>
        </w:rPr>
        <w:t>SUPPLEMENTAL CASH FLOW INFORMATION</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Supplemental cash flow information and non-cash investing and financing activities are as follows for the years ended</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December 31,:</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4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70"/>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rPr>
              <w:t>Supplemental cash flow information:</w:t>
            </w:r>
          </w:p>
        </w:tc>
        <w:tc>
          <w:tcPr>
            <w:tcW w:w="280" w:type="dxa"/>
            <w:vAlign w:val="bottom"/>
            <w:shd w:val="clear" w:color="auto" w:fill="E3E4E5"/>
          </w:tcPr>
          <w:p>
            <w:pPr>
              <w:spacing w:after="0"/>
              <w:rPr>
                <w:sz w:val="23"/>
                <w:szCs w:val="23"/>
                <w:color w:val="auto"/>
              </w:rPr>
            </w:pPr>
          </w:p>
        </w:tc>
        <w:tc>
          <w:tcPr>
            <w:tcW w:w="84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8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8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8"/>
              </w:rPr>
              <w:t xml:space="preserve">Cash paid for interest </w:t>
            </w:r>
            <w:r>
              <w:rPr>
                <w:rFonts w:ascii="Times New Roman" w:cs="Times New Roman" w:eastAsia="Times New Roman" w:hAnsi="Times New Roman"/>
                <w:sz w:val="20"/>
                <w:szCs w:val="20"/>
                <w:color w:val="BABCBE"/>
                <w:w w:val="98"/>
              </w:rPr>
              <w:t>........................................................................................</w:t>
            </w:r>
          </w:p>
        </w:tc>
        <w:tc>
          <w:tcPr>
            <w:tcW w:w="2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1,287.4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1,260.0</w:t>
            </w:r>
          </w:p>
        </w:tc>
        <w:tc>
          <w:tcPr>
            <w:tcW w:w="0" w:type="dxa"/>
            <w:vAlign w:val="bottom"/>
          </w:tcPr>
          <w:p>
            <w:pPr>
              <w:spacing w:after="0"/>
              <w:rPr>
                <w:sz w:val="1"/>
                <w:szCs w:val="1"/>
                <w:color w:val="auto"/>
              </w:rPr>
            </w:pPr>
          </w:p>
        </w:tc>
      </w:tr>
      <w:tr>
        <w:trPr>
          <w:trHeight w:val="214"/>
        </w:trPr>
        <w:tc>
          <w:tcPr>
            <w:tcW w:w="6480" w:type="dxa"/>
            <w:vAlign w:val="bottom"/>
            <w:shd w:val="clear" w:color="auto" w:fill="E3E4E5"/>
          </w:tcPr>
          <w:p>
            <w:pPr>
              <w:ind w:left="400"/>
              <w:spacing w:after="0" w:line="214" w:lineRule="exact"/>
              <w:rPr>
                <w:sz w:val="20"/>
                <w:szCs w:val="20"/>
                <w:color w:val="auto"/>
              </w:rPr>
            </w:pPr>
            <w:r>
              <w:rPr>
                <w:rFonts w:ascii="Times New Roman" w:cs="Times New Roman" w:eastAsia="Times New Roman" w:hAnsi="Times New Roman"/>
                <w:sz w:val="20"/>
                <w:szCs w:val="20"/>
                <w:color w:val="231F20"/>
              </w:rPr>
              <w:t>Cash paid for income taxes (net of refunds of $26.5, $31.8 and $31.5,</w:t>
            </w:r>
          </w:p>
        </w:tc>
        <w:tc>
          <w:tcPr>
            <w:tcW w:w="280" w:type="dxa"/>
            <w:vAlign w:val="bottom"/>
            <w:shd w:val="clear" w:color="auto" w:fill="E3E4E5"/>
          </w:tcPr>
          <w:p>
            <w:pPr>
              <w:spacing w:after="0"/>
              <w:rPr>
                <w:sz w:val="18"/>
                <w:szCs w:val="18"/>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328.7</w:t>
            </w:r>
          </w:p>
        </w:tc>
        <w:tc>
          <w:tcPr>
            <w:tcW w:w="8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350.8</w:t>
            </w:r>
          </w:p>
        </w:tc>
        <w:tc>
          <w:tcPr>
            <w:tcW w:w="6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306.5</w:t>
            </w:r>
          </w:p>
        </w:tc>
        <w:tc>
          <w:tcPr>
            <w:tcW w:w="0" w:type="dxa"/>
            <w:vAlign w:val="bottom"/>
          </w:tcPr>
          <w:p>
            <w:pPr>
              <w:spacing w:after="0"/>
              <w:rPr>
                <w:sz w:val="1"/>
                <w:szCs w:val="1"/>
                <w:color w:val="auto"/>
              </w:rPr>
            </w:pPr>
          </w:p>
        </w:tc>
      </w:tr>
      <w:tr>
        <w:trPr>
          <w:trHeight w:val="261"/>
        </w:trPr>
        <w:tc>
          <w:tcPr>
            <w:tcW w:w="6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w w:val="98"/>
              </w:rPr>
              <w:t>respectively)</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2"/>
                <w:szCs w:val="22"/>
                <w:color w:val="auto"/>
              </w:rPr>
            </w:pPr>
          </w:p>
        </w:tc>
        <w:tc>
          <w:tcPr>
            <w:tcW w:w="840" w:type="dxa"/>
            <w:vAlign w:val="bottom"/>
            <w:vMerge w:val="continue"/>
            <w:shd w:val="clear" w:color="auto" w:fill="E3E4E5"/>
          </w:tcPr>
          <w:p>
            <w:pPr>
              <w:spacing w:after="0"/>
              <w:rPr>
                <w:sz w:val="22"/>
                <w:szCs w:val="22"/>
                <w:color w:val="auto"/>
              </w:rPr>
            </w:pPr>
          </w:p>
        </w:tc>
        <w:tc>
          <w:tcPr>
            <w:tcW w:w="80" w:type="dxa"/>
            <w:vAlign w:val="bottom"/>
            <w:shd w:val="clear" w:color="auto" w:fill="E3E4E5"/>
          </w:tcPr>
          <w:p>
            <w:pPr>
              <w:spacing w:after="0"/>
              <w:rPr>
                <w:sz w:val="22"/>
                <w:szCs w:val="22"/>
                <w:color w:val="auto"/>
              </w:rPr>
            </w:pPr>
          </w:p>
        </w:tc>
        <w:tc>
          <w:tcPr>
            <w:tcW w:w="280" w:type="dxa"/>
            <w:vAlign w:val="bottom"/>
            <w:shd w:val="clear" w:color="auto" w:fill="E3E4E5"/>
          </w:tcPr>
          <w:p>
            <w:pPr>
              <w:spacing w:after="0"/>
              <w:rPr>
                <w:sz w:val="22"/>
                <w:szCs w:val="22"/>
                <w:color w:val="auto"/>
              </w:rPr>
            </w:pPr>
          </w:p>
        </w:tc>
        <w:tc>
          <w:tcPr>
            <w:tcW w:w="860" w:type="dxa"/>
            <w:vAlign w:val="bottom"/>
            <w:vMerge w:val="continue"/>
            <w:shd w:val="clear" w:color="auto" w:fill="E3E4E5"/>
          </w:tcPr>
          <w:p>
            <w:pPr>
              <w:spacing w:after="0"/>
              <w:rPr>
                <w:sz w:val="22"/>
                <w:szCs w:val="22"/>
                <w:color w:val="auto"/>
              </w:rPr>
            </w:pPr>
          </w:p>
        </w:tc>
        <w:tc>
          <w:tcPr>
            <w:tcW w:w="60" w:type="dxa"/>
            <w:vAlign w:val="bottom"/>
            <w:shd w:val="clear" w:color="auto" w:fill="E3E4E5"/>
          </w:tcPr>
          <w:p>
            <w:pPr>
              <w:spacing w:after="0"/>
              <w:rPr>
                <w:sz w:val="22"/>
                <w:szCs w:val="22"/>
                <w:color w:val="auto"/>
              </w:rPr>
            </w:pPr>
          </w:p>
        </w:tc>
        <w:tc>
          <w:tcPr>
            <w:tcW w:w="280" w:type="dxa"/>
            <w:vAlign w:val="bottom"/>
            <w:shd w:val="clear" w:color="auto" w:fill="E3E4E5"/>
          </w:tcPr>
          <w:p>
            <w:pPr>
              <w:spacing w:after="0"/>
              <w:rPr>
                <w:sz w:val="22"/>
                <w:szCs w:val="22"/>
                <w:color w:val="auto"/>
              </w:rPr>
            </w:pPr>
          </w:p>
        </w:tc>
        <w:tc>
          <w:tcPr>
            <w:tcW w:w="860" w:type="dxa"/>
            <w:vAlign w:val="bottom"/>
            <w:vMerge w:val="continue"/>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Non-cash investing and financing activities: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E3E4E5"/>
          </w:tcPr>
          <w:p>
            <w:pPr>
              <w:ind w:left="400"/>
              <w:spacing w:after="0" w:line="214" w:lineRule="exact"/>
              <w:rPr>
                <w:sz w:val="20"/>
                <w:szCs w:val="20"/>
                <w:color w:val="auto"/>
              </w:rPr>
            </w:pPr>
            <w:r>
              <w:rPr>
                <w:rFonts w:ascii="Times New Roman" w:cs="Times New Roman" w:eastAsia="Times New Roman" w:hAnsi="Times New Roman"/>
                <w:sz w:val="20"/>
                <w:szCs w:val="20"/>
                <w:color w:val="231F20"/>
                <w:w w:val="99"/>
              </w:rPr>
              <w:t>Increase (decrease) in accounts payable and accrued expenses for purchases</w:t>
            </w:r>
          </w:p>
        </w:tc>
        <w:tc>
          <w:tcPr>
            <w:tcW w:w="280" w:type="dxa"/>
            <w:vAlign w:val="bottom"/>
            <w:shd w:val="clear" w:color="auto" w:fill="E3E4E5"/>
          </w:tcPr>
          <w:p>
            <w:pPr>
              <w:spacing w:after="0"/>
              <w:rPr>
                <w:sz w:val="18"/>
                <w:szCs w:val="18"/>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12.7</w:t>
            </w:r>
          </w:p>
        </w:tc>
        <w:tc>
          <w:tcPr>
            <w:tcW w:w="8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shd w:val="clear" w:color="auto" w:fill="E3E4E5"/>
          </w:tcPr>
          <w:p>
            <w:pPr>
              <w:spacing w:after="0"/>
              <w:rPr>
                <w:sz w:val="18"/>
                <w:szCs w:val="18"/>
                <w:color w:val="auto"/>
              </w:rPr>
            </w:pPr>
          </w:p>
        </w:tc>
        <w:tc>
          <w:tcPr>
            <w:tcW w:w="280" w:type="dxa"/>
            <w:vAlign w:val="bottom"/>
            <w:shd w:val="clear" w:color="auto" w:fill="E3E4E5"/>
          </w:tcPr>
          <w:p>
            <w:pPr>
              <w:spacing w:after="0"/>
              <w:rPr>
                <w:sz w:val="18"/>
                <w:szCs w:val="18"/>
                <w:color w:val="auto"/>
              </w:rPr>
            </w:pPr>
          </w:p>
        </w:tc>
        <w:tc>
          <w:tcPr>
            <w:tcW w:w="86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(14.7)</w:t>
            </w:r>
          </w:p>
        </w:tc>
        <w:tc>
          <w:tcPr>
            <w:tcW w:w="0" w:type="dxa"/>
            <w:vAlign w:val="bottom"/>
          </w:tcPr>
          <w:p>
            <w:pPr>
              <w:spacing w:after="0"/>
              <w:rPr>
                <w:sz w:val="1"/>
                <w:szCs w:val="1"/>
                <w:color w:val="auto"/>
              </w:rPr>
            </w:pPr>
          </w:p>
        </w:tc>
      </w:tr>
      <w:tr>
        <w:trPr>
          <w:trHeight w:val="276"/>
        </w:trPr>
        <w:tc>
          <w:tcPr>
            <w:tcW w:w="6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w w:val="98"/>
              </w:rPr>
              <w:t xml:space="preserve">of property and equipment and construction activities </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3"/>
                <w:szCs w:val="23"/>
                <w:color w:val="auto"/>
              </w:rPr>
            </w:pPr>
          </w:p>
        </w:tc>
        <w:tc>
          <w:tcPr>
            <w:tcW w:w="840" w:type="dxa"/>
            <w:vAlign w:val="bottom"/>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80" w:type="dxa"/>
            <w:vAlign w:val="bottom"/>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80" w:type="dxa"/>
            <w:vAlign w:val="bottom"/>
            <w:shd w:val="clear" w:color="auto" w:fill="E3E4E5"/>
          </w:tcPr>
          <w:p>
            <w:pPr>
              <w:spacing w:after="0"/>
              <w:rPr>
                <w:sz w:val="23"/>
                <w:szCs w:val="23"/>
                <w:color w:val="auto"/>
              </w:rPr>
            </w:pPr>
          </w:p>
        </w:tc>
        <w:tc>
          <w:tcPr>
            <w:tcW w:w="86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400"/>
              <w:spacing w:after="0" w:line="209" w:lineRule="exact"/>
              <w:rPr>
                <w:sz w:val="20"/>
                <w:szCs w:val="20"/>
                <w:color w:val="auto"/>
              </w:rPr>
            </w:pPr>
            <w:r>
              <w:rPr>
                <w:rFonts w:ascii="Times New Roman" w:cs="Times New Roman" w:eastAsia="Times New Roman" w:hAnsi="Times New Roman"/>
                <w:sz w:val="20"/>
                <w:szCs w:val="20"/>
                <w:color w:val="231F20"/>
              </w:rPr>
              <w:t>Purchases of property and equipment under finance leases, perpetual</w:t>
            </w: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31.5</w:t>
            </w:r>
          </w:p>
        </w:tc>
        <w:tc>
          <w:tcPr>
            <w:tcW w:w="0" w:type="dxa"/>
            <w:vAlign w:val="bottom"/>
          </w:tcPr>
          <w:p>
            <w:pPr>
              <w:spacing w:after="0"/>
              <w:rPr>
                <w:sz w:val="1"/>
                <w:szCs w:val="1"/>
                <w:color w:val="auto"/>
              </w:rPr>
            </w:pPr>
          </w:p>
        </w:tc>
      </w:tr>
      <w:tr>
        <w:trPr>
          <w:trHeight w:val="270"/>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8"/>
              </w:rPr>
              <w:t xml:space="preserve">easements and capital leases </w:t>
            </w:r>
            <w:r>
              <w:rPr>
                <w:rFonts w:ascii="Times New Roman" w:cs="Times New Roman" w:eastAsia="Times New Roman" w:hAnsi="Times New Roman"/>
                <w:sz w:val="20"/>
                <w:szCs w:val="20"/>
                <w:color w:val="BABCBE"/>
                <w:w w:val="98"/>
              </w:rPr>
              <w:t>.............................................................................</w:t>
            </w:r>
          </w:p>
        </w:tc>
        <w:tc>
          <w:tcPr>
            <w:tcW w:w="28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w w:val="98"/>
              </w:rPr>
              <w:t>Seller financed acquisition</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8"/>
              </w:rPr>
              <w:t xml:space="preserve">Distributions to noncontrolling interest holders </w:t>
            </w:r>
            <w:r>
              <w:rPr>
                <w:rFonts w:ascii="Times New Roman" w:cs="Times New Roman" w:eastAsia="Times New Roman" w:hAnsi="Times New Roman"/>
                <w:sz w:val="20"/>
                <w:szCs w:val="20"/>
                <w:color w:val="BABCBE"/>
                <w:w w:val="98"/>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4"/>
        </w:trPr>
        <w:tc>
          <w:tcPr>
            <w:tcW w:w="6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w w:val="98"/>
              </w:rPr>
              <w:t>Contributions from noncontrolling interest holders</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49.9</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74"/>
        </w:trPr>
        <w:tc>
          <w:tcPr>
            <w:tcW w:w="6480" w:type="dxa"/>
            <w:vAlign w:val="bottom"/>
          </w:tcPr>
          <w:p>
            <w:pPr>
              <w:ind w:left="400"/>
              <w:spacing w:after="0"/>
              <w:rPr>
                <w:sz w:val="20"/>
                <w:szCs w:val="20"/>
                <w:color w:val="auto"/>
              </w:rPr>
            </w:pPr>
            <w:r>
              <w:rPr>
                <w:rFonts w:ascii="Times New Roman" w:cs="Times New Roman" w:eastAsia="Times New Roman" w:hAnsi="Times New Roman"/>
                <w:sz w:val="20"/>
                <w:szCs w:val="20"/>
                <w:color w:val="231F20"/>
                <w:w w:val="98"/>
              </w:rPr>
              <w:t xml:space="preserve">Contribution to equity method investment </w:t>
            </w:r>
            <w:r>
              <w:rPr>
                <w:rFonts w:ascii="Times New Roman" w:cs="Times New Roman" w:eastAsia="Times New Roman" w:hAnsi="Times New Roman"/>
                <w:sz w:val="20"/>
                <w:szCs w:val="20"/>
                <w:color w:val="BABCBE"/>
                <w:w w:val="98"/>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4"/>
        </w:trPr>
        <w:tc>
          <w:tcPr>
            <w:tcW w:w="6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231F20"/>
                <w:w w:val="98"/>
              </w:rPr>
              <w:t>Transfer of tower sites (1)</w:t>
            </w:r>
            <w:r>
              <w:rPr>
                <w:rFonts w:ascii="Times New Roman" w:cs="Times New Roman" w:eastAsia="Times New Roman" w:hAnsi="Times New Roman"/>
                <w:sz w:val="20"/>
                <w:szCs w:val="20"/>
                <w:color w:val="BABCBE"/>
                <w:w w:val="98"/>
              </w:rPr>
              <w:t>.................................................................................</w:t>
            </w:r>
          </w:p>
        </w:tc>
        <w:tc>
          <w:tcPr>
            <w:tcW w:w="28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35.8</w:t>
            </w:r>
          </w:p>
        </w:tc>
        <w:tc>
          <w:tcPr>
            <w:tcW w:w="60" w:type="dxa"/>
            <w:vAlign w:val="bottom"/>
            <w:shd w:val="clear" w:color="auto" w:fill="E3E4E5"/>
          </w:tcPr>
          <w:p>
            <w:pPr>
              <w:spacing w:after="0"/>
              <w:rPr>
                <w:sz w:val="24"/>
                <w:szCs w:val="24"/>
                <w:color w:val="auto"/>
              </w:rPr>
            </w:pPr>
          </w:p>
        </w:tc>
        <w:tc>
          <w:tcPr>
            <w:tcW w:w="28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-2345690</wp:posOffset>
            </wp:positionV>
            <wp:extent cx="227520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03">
                      <a:extLst>
                        <a:ext uri="{28A0092B-C50C-407E-A947-70E740481C1C}"/>
                      </a:extLst>
                    </a:blip>
                    <a:srcRect/>
                    <a:stretch>
                      <a:fillRect/>
                    </a:stretch>
                  </pic:blipFill>
                  <pic:spPr bwMode="auto">
                    <a:xfrm>
                      <a:off x="0" y="0"/>
                      <a:ext cx="2275205" cy="25400"/>
                    </a:xfrm>
                    <a:prstGeom prst="rect">
                      <a:avLst/>
                    </a:prstGeom>
                    <a:noFill/>
                  </pic:spPr>
                </pic:pic>
              </a:graphicData>
            </a:graphic>
          </wp:anchor>
        </w:drawing>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right="120" w:hanging="347"/>
        <w:spacing w:after="0" w:line="250" w:lineRule="auto"/>
        <w:tabs>
          <w:tab w:leader="none" w:pos="347" w:val="left"/>
        </w:tabs>
        <w:numPr>
          <w:ilvl w:val="0"/>
          <w:numId w:val="11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received 575 tower sites from a customer in Brazil in exchange for settling certain future contractual obligations owed to the Company in accordance with the customer’s judicial recovery plan.</w:t>
      </w:r>
    </w:p>
    <w:p>
      <w:pPr>
        <w:spacing w:after="0" w:line="152"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19.</w:t>
      </w:r>
      <w:r>
        <w:rPr>
          <w:sz w:val="20"/>
          <w:szCs w:val="20"/>
          <w:color w:val="auto"/>
        </w:rPr>
        <w:tab/>
      </w:r>
      <w:r>
        <w:rPr>
          <w:rFonts w:ascii="Times New Roman" w:cs="Times New Roman" w:eastAsia="Times New Roman" w:hAnsi="Times New Roman"/>
          <w:sz w:val="19"/>
          <w:szCs w:val="19"/>
          <w:b w:val="1"/>
          <w:bCs w:val="1"/>
          <w:color w:val="231F20"/>
        </w:rPr>
        <w:t>BUSINESS SEGMENTS</w:t>
      </w:r>
    </w:p>
    <w:p>
      <w:pPr>
        <w:spacing w:after="0" w:line="2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231F20"/>
        </w:rPr>
        <w:t>Property</w:t>
      </w:r>
    </w:p>
    <w:p>
      <w:pPr>
        <w:spacing w:after="0" w:line="167" w:lineRule="exact"/>
        <w:rPr>
          <w:sz w:val="20"/>
          <w:szCs w:val="20"/>
          <w:color w:val="auto"/>
        </w:rPr>
      </w:pPr>
    </w:p>
    <w:p>
      <w:pPr>
        <w:ind w:left="7" w:right="200"/>
        <w:spacing w:after="0" w:line="255" w:lineRule="auto"/>
        <w:rPr>
          <w:sz w:val="20"/>
          <w:szCs w:val="20"/>
          <w:color w:val="auto"/>
        </w:rPr>
      </w:pPr>
      <w:r>
        <w:rPr>
          <w:rFonts w:ascii="Times New Roman" w:cs="Times New Roman" w:eastAsia="Times New Roman" w:hAnsi="Times New Roman"/>
          <w:sz w:val="20"/>
          <w:szCs w:val="20"/>
          <w:i w:val="1"/>
          <w:iCs w:val="1"/>
          <w:color w:val="231F20"/>
        </w:rPr>
        <w:t>Communications Sites and Related Communications Infrastructure</w:t>
      </w:r>
      <w:r>
        <w:rPr>
          <w:rFonts w:ascii="Times New Roman" w:cs="Times New Roman" w:eastAsia="Times New Roman" w:hAnsi="Times New Roman"/>
          <w:sz w:val="20"/>
          <w:szCs w:val="20"/>
          <w:color w:val="231F20"/>
        </w:rPr>
        <w:t>—The Company’s primary business is leasing space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multitenant communications sites to wireless service providers, radio and television broadcast companies, wireless data providers, government agencies and municipalities and tenants in a number of other industries. The Company has historically reported these operations on a geographic basis.</w:t>
      </w:r>
    </w:p>
    <w:p>
      <w:pPr>
        <w:spacing w:after="0" w:line="120" w:lineRule="exact"/>
        <w:rPr>
          <w:sz w:val="20"/>
          <w:szCs w:val="20"/>
          <w:color w:val="auto"/>
        </w:rPr>
      </w:pPr>
    </w:p>
    <w:p>
      <w:pPr>
        <w:ind w:left="7" w:right="320"/>
        <w:spacing w:after="0" w:line="273" w:lineRule="auto"/>
        <w:rPr>
          <w:sz w:val="20"/>
          <w:szCs w:val="20"/>
          <w:color w:val="auto"/>
        </w:rPr>
      </w:pPr>
      <w:r>
        <w:rPr>
          <w:rFonts w:ascii="Times New Roman" w:cs="Times New Roman" w:eastAsia="Times New Roman" w:hAnsi="Times New Roman"/>
          <w:sz w:val="19"/>
          <w:szCs w:val="19"/>
          <w:i w:val="1"/>
          <w:iCs w:val="1"/>
          <w:color w:val="231F20"/>
        </w:rPr>
        <w:t>Data Centers</w:t>
      </w:r>
      <w:r>
        <w:rPr>
          <w:rFonts w:ascii="Times New Roman" w:cs="Times New Roman" w:eastAsia="Times New Roman" w:hAnsi="Times New Roman"/>
          <w:sz w:val="19"/>
          <w:szCs w:val="19"/>
          <w:color w:val="231F20"/>
        </w:rPr>
        <w:t>— The Company operates 30 data center facilities across eleven markets in the United States. The Company’s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Data Centers segment relates to data center facilities and related assets that the Company owns and operates in the United States. The Data Centers segment offers different types of leased land, infrastructure and related services from, and requires different resources, skill sets and marketing strategies than the existing property operating segment in the U.S. &amp; Canada.</w:t>
      </w:r>
    </w:p>
    <w:p>
      <w:pPr>
        <w:spacing w:after="0" w:line="10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As of December 31, 2025, the Company’s property operations consisted of the following:</w:t>
      </w:r>
    </w:p>
    <w:p>
      <w:pPr>
        <w:spacing w:after="0" w:line="162" w:lineRule="exact"/>
        <w:rPr>
          <w:sz w:val="20"/>
          <w:szCs w:val="20"/>
          <w:color w:val="auto"/>
        </w:rPr>
      </w:pPr>
    </w:p>
    <w:p>
      <w:pPr>
        <w:ind w:left="707" w:hanging="355"/>
        <w:spacing w:after="0"/>
        <w:tabs>
          <w:tab w:leader="none" w:pos="707" w:val="left"/>
        </w:tabs>
        <w:numPr>
          <w:ilvl w:val="0"/>
          <w:numId w:val="1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U.S. &amp; Canada: property operations in Canada and the United States;</w:t>
      </w:r>
    </w:p>
    <w:p>
      <w:pPr>
        <w:spacing w:after="0" w:line="26" w:lineRule="exact"/>
        <w:rPr>
          <w:rFonts w:ascii="Times New Roman" w:cs="Times New Roman" w:eastAsia="Times New Roman" w:hAnsi="Times New Roman"/>
          <w:sz w:val="20"/>
          <w:szCs w:val="20"/>
          <w:color w:val="231F20"/>
        </w:rPr>
      </w:pPr>
    </w:p>
    <w:p>
      <w:pPr>
        <w:ind w:left="707" w:right="340" w:hanging="355"/>
        <w:spacing w:after="0" w:line="245" w:lineRule="auto"/>
        <w:tabs>
          <w:tab w:leader="none" w:pos="707" w:val="left"/>
        </w:tabs>
        <w:numPr>
          <w:ilvl w:val="0"/>
          <w:numId w:val="116"/>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Africa &amp; APAC: property operations in Bangladesh, Burkina Faso, Ghana, Kenya, Niger, Nigeria, the Philippines, South Africa and Uganda;</w:t>
      </w:r>
    </w:p>
    <w:p>
      <w:pPr>
        <w:spacing w:after="0" w:line="1" w:lineRule="exact"/>
        <w:rPr>
          <w:rFonts w:ascii="Times New Roman" w:cs="Times New Roman" w:eastAsia="Times New Roman" w:hAnsi="Times New Roman"/>
          <w:sz w:val="20"/>
          <w:szCs w:val="20"/>
          <w:i w:val="1"/>
          <w:iCs w:val="1"/>
          <w:color w:val="231F20"/>
        </w:rPr>
      </w:pPr>
    </w:p>
    <w:p>
      <w:pPr>
        <w:ind w:left="707" w:hanging="355"/>
        <w:spacing w:after="0"/>
        <w:tabs>
          <w:tab w:leader="none" w:pos="707" w:val="left"/>
        </w:tabs>
        <w:numPr>
          <w:ilvl w:val="0"/>
          <w:numId w:val="1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Europe: property operations in France, Germany and Spain;</w:t>
      </w:r>
    </w:p>
    <w:p>
      <w:pPr>
        <w:spacing w:after="0" w:line="5" w:lineRule="exact"/>
        <w:rPr>
          <w:rFonts w:ascii="Times New Roman" w:cs="Times New Roman" w:eastAsia="Times New Roman" w:hAnsi="Times New Roman"/>
          <w:sz w:val="20"/>
          <w:szCs w:val="20"/>
          <w:color w:val="231F20"/>
        </w:rPr>
      </w:pPr>
    </w:p>
    <w:p>
      <w:pPr>
        <w:ind w:left="707" w:right="280" w:hanging="355"/>
        <w:spacing w:after="0" w:line="245" w:lineRule="auto"/>
        <w:tabs>
          <w:tab w:leader="none" w:pos="707" w:val="left"/>
        </w:tabs>
        <w:numPr>
          <w:ilvl w:val="0"/>
          <w:numId w:val="1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Latin America: property operations in Argentina, Brazil, Chile, Colombia, Costa Rica, Mexico, Paraguay and Peru; and</w:t>
      </w:r>
    </w:p>
    <w:p>
      <w:pPr>
        <w:ind w:left="707" w:hanging="355"/>
        <w:spacing w:after="0"/>
        <w:tabs>
          <w:tab w:leader="none" w:pos="707" w:val="left"/>
        </w:tabs>
        <w:numPr>
          <w:ilvl w:val="0"/>
          <w:numId w:val="1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Data Centers: data center property operations in the United States.</w:t>
      </w:r>
    </w:p>
    <w:p>
      <w:pPr>
        <w:spacing w:after="0" w:line="217" w:lineRule="exact"/>
        <w:rPr>
          <w:sz w:val="20"/>
          <w:szCs w:val="20"/>
          <w:color w:val="auto"/>
        </w:rPr>
      </w:pPr>
    </w:p>
    <w:p>
      <w:pPr>
        <w:ind w:left="7" w:right="200"/>
        <w:spacing w:after="0" w:line="251" w:lineRule="auto"/>
        <w:rPr>
          <w:sz w:val="20"/>
          <w:szCs w:val="20"/>
          <w:color w:val="auto"/>
        </w:rPr>
      </w:pPr>
      <w:r>
        <w:rPr>
          <w:rFonts w:ascii="Times New Roman" w:cs="Times New Roman" w:eastAsia="Times New Roman" w:hAnsi="Times New Roman"/>
          <w:sz w:val="20"/>
          <w:szCs w:val="20"/>
          <w:i w:val="1"/>
          <w:iCs w:val="1"/>
          <w:color w:val="231F20"/>
        </w:rPr>
        <w:t>Services</w:t>
      </w:r>
      <w:r>
        <w:rPr>
          <w:rFonts w:ascii="Times New Roman" w:cs="Times New Roman" w:eastAsia="Times New Roman" w:hAnsi="Times New Roman"/>
          <w:sz w:val="20"/>
          <w:szCs w:val="20"/>
          <w:color w:val="231F20"/>
        </w:rPr>
        <w:t>—The Company’s Services segment offers tower-related services in the United States, including AZP, structural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mount analyses, and construction management services, together with program management offerings that support customer deployment needs from project scoping through construction. The Company’s services operations primarily support its site leasing business, including the addition of new tenants and equipment on its communications sites. The Services segment is a strategic business unit that offers different services from, and requires different resources, skill sets and marketing strategies than, the property operating segments.</w:t>
      </w:r>
    </w:p>
    <w:p>
      <w:pPr>
        <w:spacing w:after="0" w:line="127" w:lineRule="exact"/>
        <w:rPr>
          <w:sz w:val="20"/>
          <w:szCs w:val="20"/>
          <w:color w:val="auto"/>
        </w:rPr>
      </w:pPr>
    </w:p>
    <w:p>
      <w:pPr>
        <w:ind w:left="7" w:right="60"/>
        <w:spacing w:after="0" w:line="272" w:lineRule="auto"/>
        <w:rPr>
          <w:sz w:val="20"/>
          <w:szCs w:val="20"/>
          <w:color w:val="auto"/>
        </w:rPr>
      </w:pPr>
      <w:r>
        <w:rPr>
          <w:rFonts w:ascii="Times New Roman" w:cs="Times New Roman" w:eastAsia="Times New Roman" w:hAnsi="Times New Roman"/>
          <w:sz w:val="19"/>
          <w:szCs w:val="19"/>
          <w:color w:val="231F20"/>
        </w:rPr>
        <w:t>The accounting policies applied in compiling segment information below are similar to those described in note 1. Among other factors, in evaluating financial performance in each business segment, management uses segment gross margin and segment operating profit. The Company defines segment gross margin as segment revenue less segment operating expenses excluding Depreciation, amortization and accretion; Selling, general, administrative and development expense; and Other operating</w:t>
      </w:r>
    </w:p>
    <w:p>
      <w:pPr>
        <w:sectPr>
          <w:pgSz w:w="11880" w:h="15480" w:orient="portrait"/>
          <w:cols w:equalWidth="0" w:num="1">
            <w:col w:w="10027"/>
          </w:cols>
          <w:pgMar w:left="913" w:top="418" w:right="940" w:bottom="0" w:gutter="0" w:footer="0" w:header="0"/>
        </w:sectPr>
      </w:pPr>
    </w:p>
    <w:p>
      <w:pPr>
        <w:spacing w:after="0" w:line="37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231F20"/>
        </w:rPr>
        <w:t>F-49</w:t>
      </w:r>
    </w:p>
    <w:p>
      <w:pPr>
        <w:sectPr>
          <w:pgSz w:w="11880" w:h="15480" w:orient="portrait"/>
          <w:cols w:equalWidth="0" w:num="1">
            <w:col w:w="10027"/>
          </w:cols>
          <w:pgMar w:left="913" w:top="418" w:right="940" w:bottom="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231F20"/>
        </w:rPr>
        <w:t>expenses. The Company defines segment operating profit as segment gross margin less Selling, general, administrative and development expense attributable to the segment, excluding stock-based compensation expense and corporate expenses. These measures of segment gross margin and segment operating profit are also before Interest income, Interest expense, Gain (loss) on retirement of long-term obligations, Other income (expense), Net income (loss) attributable to noncontrolling interests and Income tax benefit (provision). The categories of expenses indicated above, such as depreciation, have been excluded from segment operating performance as they are not considered in the review of information or the evaluation of results by management. The Company’s definition of segment operating profit aligns with the Company’s definition of Adjusted EBITDA.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w:t>
      </w:r>
    </w:p>
    <w:p>
      <w:pPr>
        <w:spacing w:after="0" w:line="13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231F20"/>
        </w:rPr>
        <w:t>The Company’s chief operating decision maker (the “CODM”) is the Company’s chief executive officer. The CODM uses segment gross margin and segment operating profit to evaluate the segments’ operating performance, in making capital allocation decisions, and in establishing management’s compensation. Additionally, the CODM uses these metrics to monitor budget versus actual results. There are no significant revenues resulting from transactions between the Company’s operating segments. All intercompany transactions are eliminated to reconcile segment results and assets to the consolidated statements of operations and consolidated balance sheets.</w:t>
      </w:r>
    </w:p>
    <w:p>
      <w:pPr>
        <w:spacing w:after="0" w:line="12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231F20"/>
        </w:rPr>
        <w:t>Summarized financial information concerning the Company’s reportable segments for the years ended December 31, 2025, 2024 and 2023 is shown in the following tables. The “Other” column (i) represents amounts excluded from specific segments, such as business development operations, stock-based compensation expense and corporate expenses included in Selling, general, administrative and development expense; Other operating expenses; Interest income; Interest expense; Gain (loss) on retirement of long-term obligations; and Other income (expense), and (ii) reconciles segment operating profit to Income from continuing operations before income taxes.</w:t>
      </w:r>
    </w:p>
    <w:p>
      <w:pPr>
        <w:sectPr>
          <w:pgSz w:w="11880" w:h="15480" w:orient="portrait"/>
          <w:cols w:equalWidth="0" w:num="1">
            <w:col w:w="10040"/>
          </w:cols>
          <w:pgMar w:left="920"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F-50</w:t>
      </w:r>
    </w:p>
    <w:p>
      <w:pPr>
        <w:sectPr>
          <w:pgSz w:w="11880" w:h="15480" w:orient="portrait"/>
          <w:cols w:equalWidth="0" w:num="1">
            <w:col w:w="10040"/>
          </w:cols>
          <w:pgMar w:left="920" w:top="418" w:right="920" w:bottom="0" w:gutter="0" w:footer="0" w:header="0"/>
          <w:type w:val="continuous"/>
        </w:sectPr>
      </w:pPr>
    </w:p>
    <w:bookmarkStart w:id="140" w:name="page141"/>
    <w:bookmarkEnd w:id="140"/>
    <w:p>
      <w:pPr>
        <w:jc w:val="center"/>
        <w:ind w:right="-6"/>
        <w:spacing w:after="0"/>
        <w:rPr>
          <w:sz w:val="20"/>
          <w:szCs w:val="20"/>
          <w:color w:val="auto"/>
        </w:rPr>
      </w:pPr>
      <w:r>
        <w:rPr>
          <w:rFonts w:ascii="Times New Roman" w:cs="Times New Roman" w:eastAsia="Times New Roman" w:hAnsi="Times New Roman"/>
          <w:sz w:val="17"/>
          <w:szCs w:val="17"/>
          <w:b w:val="1"/>
          <w:bCs w:val="1"/>
          <w:color w:val="231F20"/>
        </w:rPr>
        <w:t>AMERICAN TOWER CORPORATION AND SUBSIDIARIES</w:t>
      </w:r>
    </w:p>
    <w:p>
      <w:pPr>
        <w:spacing w:after="0" w:line="3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p>
      <w:pPr>
        <w:spacing w:after="0" w:line="6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revenues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operating expenses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Segment gross margin</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line="241" w:lineRule="auto"/>
        <w:rPr>
          <w:sz w:val="20"/>
          <w:szCs w:val="20"/>
          <w:color w:val="auto"/>
        </w:rPr>
      </w:pPr>
      <w:r>
        <w:rPr>
          <w:rFonts w:ascii="Times New Roman" w:cs="Times New Roman" w:eastAsia="Times New Roman" w:hAnsi="Times New Roman"/>
          <w:sz w:val="15"/>
          <w:szCs w:val="15"/>
          <w:color w:val="231F20"/>
        </w:rPr>
        <w:t xml:space="preserve">Segment selling, general, administrative and development expense (1) </w:t>
      </w:r>
      <w:r>
        <w:rPr>
          <w:rFonts w:ascii="Times New Roman" w:cs="Times New Roman" w:eastAsia="Times New Roman" w:hAnsi="Times New Roman"/>
          <w:sz w:val="15"/>
          <w:szCs w:val="15"/>
          <w:color w:val="BABCBE"/>
        </w:rPr>
        <w:t>..........................................</w:t>
      </w:r>
    </w:p>
    <w:p>
      <w:pPr>
        <w:spacing w:after="0" w:line="5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Segment operating profit</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Stock-based compensation expense </w:t>
      </w:r>
      <w:r>
        <w:rPr>
          <w:rFonts w:ascii="Times New Roman" w:cs="Times New Roman" w:eastAsia="Times New Roman" w:hAnsi="Times New Roman"/>
          <w:sz w:val="15"/>
          <w:szCs w:val="15"/>
          <w:color w:val="BABCBE"/>
        </w:rPr>
        <w:t>....</w:t>
      </w:r>
    </w:p>
    <w:p>
      <w:pPr>
        <w:spacing w:after="0" w:line="9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Other selling, general, administrative</w:t>
      </w:r>
    </w:p>
    <w:p>
      <w:pPr>
        <w:ind w:left="47"/>
        <w:spacing w:after="0"/>
        <w:rPr>
          <w:sz w:val="20"/>
          <w:szCs w:val="20"/>
          <w:color w:val="auto"/>
        </w:rPr>
      </w:pPr>
      <w:r>
        <w:rPr>
          <w:rFonts w:ascii="Times New Roman" w:cs="Times New Roman" w:eastAsia="Times New Roman" w:hAnsi="Times New Roman"/>
          <w:sz w:val="15"/>
          <w:szCs w:val="15"/>
          <w:color w:val="231F20"/>
        </w:rPr>
        <w:t xml:space="preserve">and development expense </w:t>
      </w:r>
      <w:r>
        <w:rPr>
          <w:rFonts w:ascii="Times New Roman" w:cs="Times New Roman" w:eastAsia="Times New Roman" w:hAnsi="Times New Roman"/>
          <w:sz w:val="15"/>
          <w:szCs w:val="15"/>
          <w:color w:val="BABCBE"/>
        </w:rPr>
        <w:t>...................</w:t>
      </w:r>
    </w:p>
    <w:p>
      <w:pPr>
        <w:spacing w:after="0" w:line="5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Depreciation, amortization and</w:t>
      </w:r>
    </w:p>
    <w:p>
      <w:pPr>
        <w:ind w:left="47"/>
        <w:spacing w:after="0"/>
        <w:rPr>
          <w:sz w:val="20"/>
          <w:szCs w:val="20"/>
          <w:color w:val="auto"/>
        </w:rPr>
      </w:pPr>
      <w:r>
        <w:rPr>
          <w:rFonts w:ascii="Times New Roman" w:cs="Times New Roman" w:eastAsia="Times New Roman" w:hAnsi="Times New Roman"/>
          <w:sz w:val="15"/>
          <w:szCs w:val="15"/>
          <w:color w:val="231F20"/>
        </w:rPr>
        <w:t xml:space="preserve">accretion </w:t>
      </w:r>
      <w:r>
        <w:rPr>
          <w:rFonts w:ascii="Times New Roman" w:cs="Times New Roman" w:eastAsia="Times New Roman" w:hAnsi="Times New Roman"/>
          <w:sz w:val="15"/>
          <w:szCs w:val="15"/>
          <w:color w:val="BABCBE"/>
        </w:rPr>
        <w:t>..............................................</w:t>
      </w:r>
    </w:p>
    <w:p>
      <w:pPr>
        <w:spacing w:after="0" w:line="6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Other expense (2) </w:t>
      </w:r>
      <w:r>
        <w:rPr>
          <w:rFonts w:ascii="Times New Roman" w:cs="Times New Roman" w:eastAsia="Times New Roman" w:hAnsi="Times New Roman"/>
          <w:sz w:val="15"/>
          <w:szCs w:val="15"/>
          <w:color w:val="BABCBE"/>
        </w:rPr>
        <w:t>................................</w:t>
      </w:r>
    </w:p>
    <w:p>
      <w:pPr>
        <w:spacing w:after="0" w:line="9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Income from continuing operations</w:t>
      </w:r>
    </w:p>
    <w:p>
      <w:pPr>
        <w:ind w:left="47"/>
        <w:spacing w:after="0"/>
        <w:rPr>
          <w:sz w:val="20"/>
          <w:szCs w:val="20"/>
          <w:color w:val="auto"/>
        </w:rPr>
      </w:pPr>
      <w:r>
        <w:rPr>
          <w:rFonts w:ascii="Times New Roman" w:cs="Times New Roman" w:eastAsia="Times New Roman" w:hAnsi="Times New Roman"/>
          <w:sz w:val="15"/>
          <w:szCs w:val="15"/>
          <w:color w:val="231F20"/>
        </w:rPr>
        <w:t xml:space="preserve">before income taxes </w:t>
      </w:r>
      <w:r>
        <w:rPr>
          <w:rFonts w:ascii="Times New Roman" w:cs="Times New Roman" w:eastAsia="Times New Roman" w:hAnsi="Times New Roman"/>
          <w:sz w:val="15"/>
          <w:szCs w:val="15"/>
          <w:color w:val="BABCBE"/>
        </w:rPr>
        <w:t>...........................</w:t>
      </w:r>
    </w:p>
    <w:p>
      <w:pPr>
        <w:spacing w:after="0" w:line="6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Capital expenditures (3) (4) </w:t>
      </w:r>
      <w:r>
        <w:rPr>
          <w:rFonts w:ascii="Times New Roman" w:cs="Times New Roman" w:eastAsia="Times New Roman" w:hAnsi="Times New Roman"/>
          <w:sz w:val="15"/>
          <w:szCs w:val="15"/>
          <w:color w:val="BABCBE"/>
        </w:rPr>
        <w:t>................</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620" w:type="dxa"/>
            <w:vAlign w:val="bottom"/>
          </w:tcPr>
          <w:p>
            <w:pPr>
              <w:jc w:val="right"/>
              <w:ind w:right="73"/>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U.S. &amp;</w:t>
            </w:r>
          </w:p>
        </w:tc>
        <w:tc>
          <w:tcPr>
            <w:tcW w:w="60" w:type="dxa"/>
            <w:vAlign w:val="bottom"/>
          </w:tcPr>
          <w:p>
            <w:pPr>
              <w:spacing w:after="0"/>
              <w:rPr>
                <w:sz w:val="15"/>
                <w:szCs w:val="15"/>
                <w:color w:val="auto"/>
              </w:rPr>
            </w:pPr>
          </w:p>
        </w:tc>
        <w:tc>
          <w:tcPr>
            <w:tcW w:w="7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Africa &amp;</w:t>
            </w:r>
          </w:p>
        </w:tc>
        <w:tc>
          <w:tcPr>
            <w:tcW w:w="60" w:type="dxa"/>
            <w:vAlign w:val="bottom"/>
          </w:tcPr>
          <w:p>
            <w:pPr>
              <w:spacing w:after="0"/>
              <w:rPr>
                <w:sz w:val="15"/>
                <w:szCs w:val="15"/>
                <w:color w:val="auto"/>
              </w:rPr>
            </w:pPr>
          </w:p>
        </w:tc>
        <w:tc>
          <w:tcPr>
            <w:tcW w:w="7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13"/>
              <w:spacing w:after="0" w:line="182" w:lineRule="exact"/>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Data</w:t>
            </w:r>
          </w:p>
        </w:tc>
        <w:tc>
          <w:tcPr>
            <w:tcW w:w="140" w:type="dxa"/>
            <w:vAlign w:val="bottom"/>
          </w:tcPr>
          <w:p>
            <w:pPr>
              <w:spacing w:after="0"/>
              <w:rPr>
                <w:sz w:val="15"/>
                <w:szCs w:val="15"/>
                <w:color w:val="auto"/>
              </w:rPr>
            </w:pPr>
          </w:p>
        </w:tc>
        <w:tc>
          <w:tcPr>
            <w:tcW w:w="68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5"/>
                <w:szCs w:val="15"/>
                <w:color w:val="auto"/>
              </w:rPr>
            </w:pPr>
          </w:p>
        </w:tc>
        <w:tc>
          <w:tcPr>
            <w:tcW w:w="7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231F20"/>
              </w:rPr>
              <w:t>Services</w:t>
            </w: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0"/>
        </w:trPr>
        <w:tc>
          <w:tcPr>
            <w:tcW w:w="760" w:type="dxa"/>
            <w:vAlign w:val="bottom"/>
            <w:tcBorders>
              <w:bottom w:val="single" w:sz="8" w:color="231F20"/>
            </w:tcBorders>
            <w:gridSpan w:val="2"/>
          </w:tcPr>
          <w:p>
            <w:pPr>
              <w:jc w:val="right"/>
              <w:ind w:right="33"/>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231F20"/>
                <w:w w:val="98"/>
              </w:rPr>
              <w:t>APAC</w:t>
            </w:r>
          </w:p>
        </w:tc>
        <w:tc>
          <w:tcPr>
            <w:tcW w:w="60" w:type="dxa"/>
            <w:vAlign w:val="bottom"/>
          </w:tcPr>
          <w:p>
            <w:pPr>
              <w:spacing w:after="0"/>
              <w:rPr>
                <w:sz w:val="18"/>
                <w:szCs w:val="18"/>
                <w:color w:val="auto"/>
              </w:rPr>
            </w:pPr>
          </w:p>
        </w:tc>
        <w:tc>
          <w:tcPr>
            <w:tcW w:w="760" w:type="dxa"/>
            <w:vAlign w:val="bottom"/>
            <w:tcBorders>
              <w:bottom w:val="single" w:sz="8" w:color="231F20"/>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231F20"/>
              </w:rPr>
              <w:t>America</w:t>
            </w: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Centers</w:t>
            </w:r>
          </w:p>
        </w:tc>
        <w:tc>
          <w:tcPr>
            <w:tcW w:w="60" w:type="dxa"/>
            <w:vAlign w:val="bottom"/>
          </w:tcPr>
          <w:p>
            <w:pPr>
              <w:spacing w:after="0"/>
              <w:rPr>
                <w:sz w:val="18"/>
                <w:szCs w:val="18"/>
                <w:color w:val="auto"/>
              </w:rPr>
            </w:pPr>
          </w:p>
        </w:tc>
        <w:tc>
          <w:tcPr>
            <w:tcW w:w="820" w:type="dxa"/>
            <w:vAlign w:val="bottom"/>
            <w:tcBorders>
              <w:bottom w:val="single" w:sz="8" w:color="231F20"/>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Pr>
          <w:p>
            <w:pPr>
              <w:spacing w:after="0"/>
              <w:rPr>
                <w:sz w:val="18"/>
                <w:szCs w:val="18"/>
                <w:color w:val="auto"/>
              </w:rPr>
            </w:pPr>
          </w:p>
        </w:tc>
        <w:tc>
          <w:tcPr>
            <w:tcW w:w="780" w:type="dxa"/>
            <w:vAlign w:val="bottom"/>
            <w:tcBorders>
              <w:bottom w:val="single" w:sz="8" w:color="231F20"/>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Borders>
              <w:bottom w:val="single" w:sz="8" w:color="231F20"/>
            </w:tcBorders>
            <w:vMerge w:val="continue"/>
          </w:tcPr>
          <w:p>
            <w:pPr>
              <w:spacing w:after="0"/>
              <w:rPr>
                <w:sz w:val="18"/>
                <w:szCs w:val="18"/>
                <w:color w:val="auto"/>
              </w:rPr>
            </w:pPr>
          </w:p>
        </w:tc>
        <w:tc>
          <w:tcPr>
            <w:tcW w:w="62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5,248.7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1,422.9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937.7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1,642.6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1,053.1</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10,305.0</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10,644.6</w:t>
            </w:r>
          </w:p>
        </w:tc>
        <w:tc>
          <w:tcPr>
            <w:tcW w:w="0" w:type="dxa"/>
            <w:vAlign w:val="bottom"/>
          </w:tcPr>
          <w:p>
            <w:pPr>
              <w:spacing w:after="0"/>
              <w:rPr>
                <w:sz w:val="1"/>
                <w:szCs w:val="1"/>
                <w:color w:val="auto"/>
              </w:rPr>
            </w:pPr>
          </w:p>
        </w:tc>
      </w:tr>
      <w:tr>
        <w:trPr>
          <w:trHeight w:val="283"/>
        </w:trPr>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870.0</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446.5</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344.2</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511.0</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402.4</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2,574.1</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174.0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2,748.1</w:t>
            </w:r>
          </w:p>
        </w:tc>
        <w:tc>
          <w:tcPr>
            <w:tcW w:w="0" w:type="dxa"/>
            <w:vAlign w:val="bottom"/>
          </w:tcPr>
          <w:p>
            <w:pPr>
              <w:spacing w:after="0"/>
              <w:rPr>
                <w:sz w:val="1"/>
                <w:szCs w:val="1"/>
                <w:color w:val="auto"/>
              </w:rPr>
            </w:pPr>
          </w:p>
        </w:tc>
      </w:tr>
      <w:tr>
        <w:trPr>
          <w:trHeight w:val="259"/>
        </w:trPr>
        <w:tc>
          <w:tcPr>
            <w:tcW w:w="14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4,378.7</w:t>
            </w: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976.4</w:t>
            </w:r>
          </w:p>
        </w:tc>
        <w:tc>
          <w:tcPr>
            <w:tcW w:w="6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593.5</w:t>
            </w:r>
          </w:p>
        </w:tc>
        <w:tc>
          <w:tcPr>
            <w:tcW w:w="6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1,131.6</w:t>
            </w:r>
          </w:p>
        </w:tc>
        <w:tc>
          <w:tcPr>
            <w:tcW w:w="6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650.7</w:t>
            </w: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7,730.9</w:t>
            </w: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165.6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7,896.5</w:t>
            </w:r>
          </w:p>
        </w:tc>
        <w:tc>
          <w:tcPr>
            <w:tcW w:w="0" w:type="dxa"/>
            <w:vAlign w:val="bottom"/>
          </w:tcPr>
          <w:p>
            <w:pPr>
              <w:spacing w:after="0"/>
              <w:rPr>
                <w:sz w:val="1"/>
                <w:szCs w:val="1"/>
                <w:color w:val="auto"/>
              </w:rPr>
            </w:pPr>
          </w:p>
        </w:tc>
      </w:tr>
      <w:tr>
        <w:trPr>
          <w:trHeight w:val="553"/>
        </w:trPr>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166.6</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76.1</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69.6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102.6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88.5</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503.4</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27.4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530.8</w:t>
            </w:r>
          </w:p>
        </w:tc>
        <w:tc>
          <w:tcPr>
            <w:tcW w:w="0" w:type="dxa"/>
            <w:vAlign w:val="bottom"/>
          </w:tcPr>
          <w:p>
            <w:pPr>
              <w:spacing w:after="0"/>
              <w:rPr>
                <w:sz w:val="1"/>
                <w:szCs w:val="1"/>
                <w:color w:val="auto"/>
              </w:rPr>
            </w:pPr>
          </w:p>
        </w:tc>
      </w:tr>
      <w:tr>
        <w:trPr>
          <w:trHeight w:val="240"/>
        </w:trPr>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4,212.1</w:t>
            </w:r>
          </w:p>
        </w:tc>
        <w:tc>
          <w:tcPr>
            <w:tcW w:w="6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900.3</w:t>
            </w:r>
          </w:p>
        </w:tc>
        <w:tc>
          <w:tcPr>
            <w:tcW w:w="60" w:type="dxa"/>
            <w:vAlign w:val="bottom"/>
          </w:tcPr>
          <w:p>
            <w:pPr>
              <w:spacing w:after="0"/>
              <w:rPr>
                <w:sz w:val="20"/>
                <w:szCs w:val="20"/>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523.9</w:t>
            </w:r>
          </w:p>
        </w:tc>
        <w:tc>
          <w:tcPr>
            <w:tcW w:w="6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1,029.0</w:t>
            </w:r>
          </w:p>
        </w:tc>
        <w:tc>
          <w:tcPr>
            <w:tcW w:w="6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562.2</w:t>
            </w:r>
          </w:p>
        </w:tc>
        <w:tc>
          <w:tcPr>
            <w:tcW w:w="6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7,227.5</w:t>
            </w:r>
          </w:p>
        </w:tc>
        <w:tc>
          <w:tcPr>
            <w:tcW w:w="60" w:type="dxa"/>
            <w:vAlign w:val="bottom"/>
          </w:tcPr>
          <w:p>
            <w:pPr>
              <w:spacing w:after="0"/>
              <w:rPr>
                <w:sz w:val="20"/>
                <w:szCs w:val="20"/>
                <w:color w:val="auto"/>
              </w:rPr>
            </w:pPr>
          </w:p>
        </w:tc>
        <w:tc>
          <w:tcPr>
            <w:tcW w:w="240" w:type="dxa"/>
            <w:vAlign w:val="bottom"/>
            <w:tcBorders>
              <w:bottom w:val="single" w:sz="8" w:color="231F20"/>
            </w:tcBorders>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138.2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7,365.7</w:t>
            </w:r>
          </w:p>
        </w:tc>
        <w:tc>
          <w:tcPr>
            <w:tcW w:w="0" w:type="dxa"/>
            <w:vAlign w:val="bottom"/>
          </w:tcPr>
          <w:p>
            <w:pPr>
              <w:spacing w:after="0"/>
              <w:rPr>
                <w:sz w:val="1"/>
                <w:szCs w:val="1"/>
                <w:color w:val="auto"/>
              </w:rPr>
            </w:pPr>
          </w:p>
        </w:tc>
      </w:tr>
      <w:tr>
        <w:trPr>
          <w:trHeight w:val="20"/>
        </w:trPr>
        <w:tc>
          <w:tcPr>
            <w:tcW w:w="14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174.2</w:t>
            </w: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174.2</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235.7</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2,041.6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2,041.6</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1,870.0</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1,870.0</w:t>
            </w: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3,044.2</w:t>
            </w:r>
          </w:p>
        </w:tc>
        <w:tc>
          <w:tcPr>
            <w:tcW w:w="0" w:type="dxa"/>
            <w:vAlign w:val="bottom"/>
          </w:tcPr>
          <w:p>
            <w:pPr>
              <w:spacing w:after="0"/>
              <w:rPr>
                <w:sz w:val="1"/>
                <w:szCs w:val="1"/>
                <w:color w:val="auto"/>
              </w:rPr>
            </w:pPr>
          </w:p>
        </w:tc>
      </w:tr>
      <w:tr>
        <w:trPr>
          <w:trHeight w:val="20"/>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395.5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227.8</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283.6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138.1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665.2</w:t>
            </w:r>
          </w:p>
        </w:tc>
        <w:tc>
          <w:tcPr>
            <w:tcW w:w="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1,710.2</w:t>
            </w:r>
          </w:p>
        </w:tc>
        <w:tc>
          <w:tcPr>
            <w:tcW w:w="30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10.5</w:t>
            </w: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1,720.7</w:t>
            </w:r>
          </w:p>
        </w:tc>
        <w:tc>
          <w:tcPr>
            <w:tcW w:w="0" w:type="dxa"/>
            <w:vAlign w:val="bottom"/>
          </w:tcPr>
          <w:p>
            <w:pPr>
              <w:spacing w:after="0"/>
              <w:rPr>
                <w:sz w:val="1"/>
                <w:szCs w:val="1"/>
                <w:color w:val="auto"/>
              </w:rPr>
            </w:pPr>
          </w:p>
        </w:tc>
      </w:tr>
      <w:tr>
        <w:trPr>
          <w:trHeight w:val="20"/>
        </w:trPr>
        <w:tc>
          <w:tcPr>
            <w:tcW w:w="1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-1629410</wp:posOffset>
                </wp:positionH>
                <wp:positionV relativeFrom="paragraph">
                  <wp:posOffset>-1156970</wp:posOffset>
                </wp:positionV>
                <wp:extent cx="6383655" cy="26162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61620"/>
                        </a:xfrm>
                        <a:prstGeom prst="rect">
                          <a:avLst/>
                        </a:prstGeom>
                        <a:solidFill>
                          <a:srgbClr val="E3E4E5"/>
                        </a:solidFill>
                      </wps:spPr>
                      <wps:bodyPr/>
                    </wps:wsp>
                  </a:graphicData>
                </a:graphic>
              </wp:anchor>
            </w:drawing>
          </mc:Choice>
          <mc:Fallback>
            <w:pict>
              <v:rect id="Shape 356" o:spid="_x0000_s1381" style="position:absolute;margin-left:-128.2999pt;margin-top:-91.0999pt;width:502.65pt;height:20.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2557780</wp:posOffset>
            </wp:positionH>
            <wp:positionV relativeFrom="paragraph">
              <wp:posOffset>-2681605</wp:posOffset>
            </wp:positionV>
            <wp:extent cx="628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04">
                      <a:extLst>
                        <a:ext uri="{28A0092B-C50C-407E-A947-70E740481C1C}"/>
                      </a:extLst>
                    </a:blip>
                    <a:srcRect/>
                    <a:stretch>
                      <a:fillRect/>
                    </a:stretch>
                  </pic:blipFill>
                  <pic:spPr bwMode="auto">
                    <a:xfrm>
                      <a:off x="0" y="0"/>
                      <a:ext cx="62865" cy="25400"/>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-2420620</wp:posOffset>
            </wp:positionV>
            <wp:extent cx="6397625" cy="1898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05">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-2065655</wp:posOffset>
            </wp:positionV>
            <wp:extent cx="6397625" cy="2025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06">
                      <a:extLst>
                        <a:ext uri="{28A0092B-C50C-407E-A947-70E740481C1C}"/>
                      </a:extLst>
                    </a:blip>
                    <a:srcRect/>
                    <a:stretch>
                      <a:fillRect/>
                    </a:stretch>
                  </pic:blipFill>
                  <pic:spPr bwMode="auto">
                    <a:xfrm>
                      <a:off x="0" y="0"/>
                      <a:ext cx="6397625" cy="20256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-1524000</wp:posOffset>
            </wp:positionV>
            <wp:extent cx="6397625" cy="2152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07">
                      <a:extLst>
                        <a:ext uri="{28A0092B-C50C-407E-A947-70E740481C1C}"/>
                      </a:extLst>
                    </a:blip>
                    <a:srcRect/>
                    <a:stretch>
                      <a:fillRect/>
                    </a:stretch>
                  </pic:blipFill>
                  <pic:spPr bwMode="auto">
                    <a:xfrm>
                      <a:off x="0" y="0"/>
                      <a:ext cx="6397625" cy="21526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-634365</wp:posOffset>
            </wp:positionV>
            <wp:extent cx="6397625" cy="1898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08">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-1629410</wp:posOffset>
            </wp:positionH>
            <wp:positionV relativeFrom="paragraph">
              <wp:posOffset>-220345</wp:posOffset>
            </wp:positionV>
            <wp:extent cx="6397625" cy="2273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09">
                      <a:extLst>
                        <a:ext uri="{28A0092B-C50C-407E-A947-70E740481C1C}"/>
                      </a:extLst>
                    </a:blip>
                    <a:srcRect/>
                    <a:stretch>
                      <a:fillRect/>
                    </a:stretch>
                  </pic:blipFill>
                  <pic:spPr bwMode="auto">
                    <a:xfrm>
                      <a:off x="0" y="0"/>
                      <a:ext cx="6397625" cy="227330"/>
                    </a:xfrm>
                    <a:prstGeom prst="rect">
                      <a:avLst/>
                    </a:prstGeom>
                    <a:noFill/>
                  </pic:spPr>
                </pic:pic>
              </a:graphicData>
            </a:graphic>
          </wp:anchor>
        </w:drawing>
      </w:r>
    </w:p>
    <w:p>
      <w:pPr>
        <w:spacing w:after="0" w:line="178" w:lineRule="exact"/>
        <w:rPr>
          <w:sz w:val="20"/>
          <w:szCs w:val="20"/>
          <w:color w:val="auto"/>
        </w:rPr>
      </w:pPr>
    </w:p>
    <w:p>
      <w:pPr>
        <w:sectPr>
          <w:pgSz w:w="11880" w:h="15480" w:orient="portrait"/>
          <w:cols w:equalWidth="0" w:num="2">
            <w:col w:w="2447" w:space="120"/>
            <w:col w:w="7480"/>
          </w:cols>
          <w:pgMar w:left="913" w:top="418" w:right="920" w:bottom="0" w:gutter="0" w:footer="0" w:header="0"/>
          <w:type w:val="continuous"/>
        </w:sectPr>
      </w:pPr>
    </w:p>
    <w:p>
      <w:pPr>
        <w:ind w:left="347" w:hanging="347"/>
        <w:spacing w:after="0"/>
        <w:tabs>
          <w:tab w:leader="none" w:pos="347" w:val="left"/>
        </w:tabs>
        <w:numPr>
          <w:ilvl w:val="0"/>
          <w:numId w:val="1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Segment selling, general, administrative and development expenses exclude stock-based compensation expense of $174.2 million.</w:t>
      </w:r>
    </w:p>
    <w:p>
      <w:pPr>
        <w:spacing w:after="0" w:line="3" w:lineRule="exact"/>
        <w:rPr>
          <w:rFonts w:ascii="Times New Roman" w:cs="Times New Roman" w:eastAsia="Times New Roman" w:hAnsi="Times New Roman"/>
          <w:sz w:val="16"/>
          <w:szCs w:val="16"/>
          <w:color w:val="231F20"/>
        </w:rPr>
      </w:pPr>
    </w:p>
    <w:p>
      <w:pPr>
        <w:ind w:left="347" w:right="80" w:hanging="347"/>
        <w:spacing w:after="0" w:line="261" w:lineRule="auto"/>
        <w:tabs>
          <w:tab w:leader="none" w:pos="347" w:val="left"/>
        </w:tabs>
        <w:numPr>
          <w:ilvl w:val="0"/>
          <w:numId w:val="117"/>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Primarily includes interest expense and $100.7 million in impairment charges, as further discussed in note 15, and losses from foreign currency exchange rate fluctuations, partially offset by gains from equity securities of $232.6 million. The year ended December 31, 2025 also includes a gain of</w:t>
      </w:r>
    </w:p>
    <w:p>
      <w:pPr>
        <w:spacing w:after="0" w:line="1" w:lineRule="exact"/>
        <w:rPr>
          <w:rFonts w:ascii="Times New Roman" w:cs="Times New Roman" w:eastAsia="Times New Roman" w:hAnsi="Times New Roman"/>
          <w:sz w:val="15"/>
          <w:szCs w:val="15"/>
          <w:color w:val="231F20"/>
        </w:rPr>
      </w:pPr>
    </w:p>
    <w:p>
      <w:pPr>
        <w:ind w:left="347"/>
        <w:spacing w:after="0"/>
        <w:rPr>
          <w:rFonts w:ascii="Times New Roman" w:cs="Times New Roman" w:eastAsia="Times New Roman" w:hAnsi="Times New Roman"/>
          <w:sz w:val="15"/>
          <w:szCs w:val="15"/>
          <w:color w:val="231F20"/>
        </w:rPr>
      </w:pPr>
      <w:r>
        <w:rPr>
          <w:rFonts w:ascii="Times New Roman" w:cs="Times New Roman" w:eastAsia="Times New Roman" w:hAnsi="Times New Roman"/>
          <w:sz w:val="16"/>
          <w:szCs w:val="16"/>
          <w:color w:val="231F20"/>
        </w:rPr>
        <w:t>$53.6 million on the sale of South Africa Fiber.</w:t>
      </w:r>
    </w:p>
    <w:p>
      <w:pPr>
        <w:spacing w:after="0" w:line="4" w:lineRule="exact"/>
        <w:rPr>
          <w:rFonts w:ascii="Times New Roman" w:cs="Times New Roman" w:eastAsia="Times New Roman" w:hAnsi="Times New Roman"/>
          <w:sz w:val="15"/>
          <w:szCs w:val="15"/>
          <w:color w:val="231F20"/>
        </w:rPr>
      </w:pPr>
    </w:p>
    <w:p>
      <w:pPr>
        <w:ind w:left="347" w:right="360" w:hanging="347"/>
        <w:spacing w:after="0" w:line="245" w:lineRule="auto"/>
        <w:tabs>
          <w:tab w:leader="none" w:pos="347" w:val="left"/>
        </w:tabs>
        <w:numPr>
          <w:ilvl w:val="0"/>
          <w:numId w:val="1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$4.3 million of finance lease payments included in Repayments of notes payable, credit facilities, term loans, senior notes, secured debt and finance leases in the cash flows from financing activities in the Company’s consolidated statements of cash flows.</w:t>
      </w:r>
    </w:p>
    <w:p>
      <w:pPr>
        <w:ind w:left="347" w:right="300" w:hanging="347"/>
        <w:spacing w:after="0" w:line="250" w:lineRule="auto"/>
        <w:tabs>
          <w:tab w:leader="none" w:pos="347" w:val="left"/>
        </w:tabs>
        <w:numPr>
          <w:ilvl w:val="0"/>
          <w:numId w:val="11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$36.0 million of perpetual land easement payments reported in Deferred financing costs and other financing activities in the cash flows from financing activities in the Company’s consolidated statements of cash flows.</w:t>
      </w:r>
    </w:p>
    <w:p>
      <w:pPr>
        <w:sectPr>
          <w:pgSz w:w="11880" w:h="15480" w:orient="portrait"/>
          <w:cols w:equalWidth="0" w:num="1">
            <w:col w:w="10047"/>
          </w:cols>
          <w:pgMar w:left="913" w:top="41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b w:val="1"/>
          <w:bCs w:val="1"/>
          <w:color w:val="231F20"/>
        </w:rPr>
        <w:t>Year ended December 31, 2024</w:t>
      </w:r>
    </w:p>
    <w:p>
      <w:pPr>
        <w:spacing w:after="0" w:line="6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revenues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Segment operating expenses</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gross margin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line="241" w:lineRule="auto"/>
        <w:rPr>
          <w:sz w:val="20"/>
          <w:szCs w:val="20"/>
          <w:color w:val="auto"/>
        </w:rPr>
      </w:pPr>
      <w:r>
        <w:rPr>
          <w:rFonts w:ascii="Times New Roman" w:cs="Times New Roman" w:eastAsia="Times New Roman" w:hAnsi="Times New Roman"/>
          <w:sz w:val="15"/>
          <w:szCs w:val="15"/>
          <w:color w:val="231F20"/>
        </w:rPr>
        <w:t>Segment selling, general, administrative and development expense (2)</w:t>
      </w:r>
      <w:r>
        <w:rPr>
          <w:rFonts w:ascii="Times New Roman" w:cs="Times New Roman" w:eastAsia="Times New Roman" w:hAnsi="Times New Roman"/>
          <w:sz w:val="15"/>
          <w:szCs w:val="15"/>
          <w:color w:val="BABCBE"/>
        </w:rPr>
        <w:t>..........................................</w:t>
      </w:r>
    </w:p>
    <w:p>
      <w:pPr>
        <w:spacing w:after="0" w:line="5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operating profit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Stock-based compensation expense</w:t>
      </w:r>
      <w:r>
        <w:rPr>
          <w:rFonts w:ascii="Times New Roman" w:cs="Times New Roman" w:eastAsia="Times New Roman" w:hAnsi="Times New Roman"/>
          <w:sz w:val="15"/>
          <w:szCs w:val="15"/>
          <w:color w:val="BABCBE"/>
        </w:rPr>
        <w:t>....</w:t>
      </w:r>
    </w:p>
    <w:p>
      <w:pPr>
        <w:spacing w:after="0" w:line="9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Other selling, general, administrative</w:t>
      </w:r>
    </w:p>
    <w:p>
      <w:pPr>
        <w:ind w:left="47"/>
        <w:spacing w:after="0"/>
        <w:rPr>
          <w:sz w:val="20"/>
          <w:szCs w:val="20"/>
          <w:color w:val="auto"/>
        </w:rPr>
      </w:pPr>
      <w:r>
        <w:rPr>
          <w:rFonts w:ascii="Times New Roman" w:cs="Times New Roman" w:eastAsia="Times New Roman" w:hAnsi="Times New Roman"/>
          <w:sz w:val="15"/>
          <w:szCs w:val="15"/>
          <w:color w:val="231F20"/>
        </w:rPr>
        <w:t>and development expense</w:t>
      </w:r>
      <w:r>
        <w:rPr>
          <w:rFonts w:ascii="Times New Roman" w:cs="Times New Roman" w:eastAsia="Times New Roman" w:hAnsi="Times New Roman"/>
          <w:sz w:val="15"/>
          <w:szCs w:val="15"/>
          <w:color w:val="BABCBE"/>
        </w:rPr>
        <w:t>...................</w:t>
      </w:r>
    </w:p>
    <w:p>
      <w:pPr>
        <w:spacing w:after="0" w:line="5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Depreciation, amortization and</w:t>
      </w:r>
    </w:p>
    <w:p>
      <w:pPr>
        <w:ind w:left="47"/>
        <w:spacing w:after="0"/>
        <w:rPr>
          <w:sz w:val="20"/>
          <w:szCs w:val="20"/>
          <w:color w:val="auto"/>
        </w:rPr>
      </w:pPr>
      <w:r>
        <w:rPr>
          <w:rFonts w:ascii="Times New Roman" w:cs="Times New Roman" w:eastAsia="Times New Roman" w:hAnsi="Times New Roman"/>
          <w:sz w:val="15"/>
          <w:szCs w:val="15"/>
          <w:color w:val="231F20"/>
        </w:rPr>
        <w:t>accretion</w:t>
      </w:r>
      <w:r>
        <w:rPr>
          <w:rFonts w:ascii="Times New Roman" w:cs="Times New Roman" w:eastAsia="Times New Roman" w:hAnsi="Times New Roman"/>
          <w:sz w:val="15"/>
          <w:szCs w:val="15"/>
          <w:color w:val="BABCBE"/>
        </w:rPr>
        <w:t>..............................................</w:t>
      </w:r>
    </w:p>
    <w:p>
      <w:pPr>
        <w:spacing w:after="0" w:line="6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Other expense (3)</w:t>
      </w:r>
      <w:r>
        <w:rPr>
          <w:rFonts w:ascii="Times New Roman" w:cs="Times New Roman" w:eastAsia="Times New Roman" w:hAnsi="Times New Roman"/>
          <w:sz w:val="15"/>
          <w:szCs w:val="15"/>
          <w:color w:val="BABCBE"/>
        </w:rPr>
        <w:t>................................</w:t>
      </w:r>
    </w:p>
    <w:p>
      <w:pPr>
        <w:spacing w:after="0" w:line="9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Income from continuing operations</w:t>
      </w:r>
    </w:p>
    <w:p>
      <w:pPr>
        <w:ind w:left="47"/>
        <w:spacing w:after="0"/>
        <w:rPr>
          <w:sz w:val="20"/>
          <w:szCs w:val="20"/>
          <w:color w:val="auto"/>
        </w:rPr>
      </w:pPr>
      <w:r>
        <w:rPr>
          <w:rFonts w:ascii="Times New Roman" w:cs="Times New Roman" w:eastAsia="Times New Roman" w:hAnsi="Times New Roman"/>
          <w:sz w:val="15"/>
          <w:szCs w:val="15"/>
          <w:color w:val="231F20"/>
        </w:rPr>
        <w:t xml:space="preserve">before income taxes </w:t>
      </w:r>
      <w:r>
        <w:rPr>
          <w:rFonts w:ascii="Times New Roman" w:cs="Times New Roman" w:eastAsia="Times New Roman" w:hAnsi="Times New Roman"/>
          <w:sz w:val="15"/>
          <w:szCs w:val="15"/>
          <w:color w:val="BABCBE"/>
        </w:rPr>
        <w:t>...........................</w:t>
      </w:r>
    </w:p>
    <w:p>
      <w:pPr>
        <w:spacing w:after="0" w:line="6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Capital expenditures (4) (5) (6) </w:t>
      </w:r>
      <w:r>
        <w:rPr>
          <w:rFonts w:ascii="Times New Roman" w:cs="Times New Roman" w:eastAsia="Times New Roman" w:hAnsi="Times New Roman"/>
          <w:sz w:val="15"/>
          <w:szCs w:val="15"/>
          <w:color w:val="BABCBE"/>
        </w:rPr>
        <w:t>..........</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7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640" w:type="dxa"/>
            <w:vAlign w:val="bottom"/>
          </w:tcPr>
          <w:p>
            <w:pPr>
              <w:jc w:val="right"/>
              <w:ind w:right="93"/>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U.S. &amp;</w:t>
            </w:r>
          </w:p>
        </w:tc>
        <w:tc>
          <w:tcPr>
            <w:tcW w:w="60" w:type="dxa"/>
            <w:vAlign w:val="bottom"/>
          </w:tcPr>
          <w:p>
            <w:pPr>
              <w:spacing w:after="0"/>
              <w:rPr>
                <w:sz w:val="15"/>
                <w:szCs w:val="15"/>
                <w:color w:val="auto"/>
              </w:rPr>
            </w:pPr>
          </w:p>
        </w:tc>
        <w:tc>
          <w:tcPr>
            <w:tcW w:w="7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Africa &amp;</w:t>
            </w:r>
          </w:p>
        </w:tc>
        <w:tc>
          <w:tcPr>
            <w:tcW w:w="60" w:type="dxa"/>
            <w:vAlign w:val="bottom"/>
          </w:tcPr>
          <w:p>
            <w:pPr>
              <w:spacing w:after="0"/>
              <w:rPr>
                <w:sz w:val="15"/>
                <w:szCs w:val="15"/>
                <w:color w:val="auto"/>
              </w:rPr>
            </w:pPr>
          </w:p>
        </w:tc>
        <w:tc>
          <w:tcPr>
            <w:tcW w:w="7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13"/>
              <w:spacing w:after="0" w:line="182" w:lineRule="exact"/>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Data</w:t>
            </w:r>
          </w:p>
        </w:tc>
        <w:tc>
          <w:tcPr>
            <w:tcW w:w="180" w:type="dxa"/>
            <w:vAlign w:val="bottom"/>
          </w:tcPr>
          <w:p>
            <w:pPr>
              <w:spacing w:after="0"/>
              <w:rPr>
                <w:sz w:val="15"/>
                <w:szCs w:val="15"/>
                <w:color w:val="auto"/>
              </w:rPr>
            </w:pPr>
          </w:p>
        </w:tc>
        <w:tc>
          <w:tcPr>
            <w:tcW w:w="64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5"/>
                <w:szCs w:val="15"/>
                <w:color w:val="auto"/>
              </w:rPr>
            </w:pPr>
          </w:p>
        </w:tc>
        <w:tc>
          <w:tcPr>
            <w:tcW w:w="7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231F20"/>
              </w:rPr>
              <w:t>Services</w:t>
            </w: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0"/>
        </w:trPr>
        <w:tc>
          <w:tcPr>
            <w:tcW w:w="780" w:type="dxa"/>
            <w:vAlign w:val="bottom"/>
            <w:tcBorders>
              <w:bottom w:val="single" w:sz="8" w:color="231F20"/>
            </w:tcBorders>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APAC (1)</w:t>
            </w:r>
          </w:p>
        </w:tc>
        <w:tc>
          <w:tcPr>
            <w:tcW w:w="60" w:type="dxa"/>
            <w:vAlign w:val="bottom"/>
          </w:tcPr>
          <w:p>
            <w:pPr>
              <w:spacing w:after="0"/>
              <w:rPr>
                <w:sz w:val="18"/>
                <w:szCs w:val="18"/>
                <w:color w:val="auto"/>
              </w:rPr>
            </w:pPr>
          </w:p>
        </w:tc>
        <w:tc>
          <w:tcPr>
            <w:tcW w:w="760" w:type="dxa"/>
            <w:vAlign w:val="bottom"/>
            <w:tcBorders>
              <w:bottom w:val="single" w:sz="8" w:color="231F20"/>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231F20"/>
              </w:rPr>
              <w:t>America</w:t>
            </w: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Centers</w:t>
            </w:r>
          </w:p>
        </w:tc>
        <w:tc>
          <w:tcPr>
            <w:tcW w:w="60" w:type="dxa"/>
            <w:vAlign w:val="bottom"/>
          </w:tcPr>
          <w:p>
            <w:pPr>
              <w:spacing w:after="0"/>
              <w:rPr>
                <w:sz w:val="18"/>
                <w:szCs w:val="18"/>
                <w:color w:val="auto"/>
              </w:rPr>
            </w:pPr>
          </w:p>
        </w:tc>
        <w:tc>
          <w:tcPr>
            <w:tcW w:w="820" w:type="dxa"/>
            <w:vAlign w:val="bottom"/>
            <w:tcBorders>
              <w:bottom w:val="single" w:sz="8" w:color="231F20"/>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Pr>
          <w:p>
            <w:pPr>
              <w:spacing w:after="0"/>
              <w:rPr>
                <w:sz w:val="18"/>
                <w:szCs w:val="18"/>
                <w:color w:val="auto"/>
              </w:rPr>
            </w:pPr>
          </w:p>
        </w:tc>
        <w:tc>
          <w:tcPr>
            <w:tcW w:w="780" w:type="dxa"/>
            <w:vAlign w:val="bottom"/>
            <w:tcBorders>
              <w:bottom w:val="single" w:sz="8" w:color="231F20"/>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Borders>
              <w:bottom w:val="single" w:sz="8" w:color="231F20"/>
            </w:tcBorders>
            <w:vMerge w:val="continue"/>
          </w:tcPr>
          <w:p>
            <w:pPr>
              <w:spacing w:after="0"/>
              <w:rPr>
                <w:sz w:val="18"/>
                <w:szCs w:val="18"/>
                <w:color w:val="auto"/>
              </w:rPr>
            </w:pPr>
          </w:p>
        </w:tc>
        <w:tc>
          <w:tcPr>
            <w:tcW w:w="62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5,248.1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1,208.0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1,717.9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924.8</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9,933.5</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10,127.2</w:t>
            </w:r>
          </w:p>
        </w:tc>
        <w:tc>
          <w:tcPr>
            <w:tcW w:w="0" w:type="dxa"/>
            <w:vAlign w:val="bottom"/>
          </w:tcPr>
          <w:p>
            <w:pPr>
              <w:spacing w:after="0"/>
              <w:rPr>
                <w:sz w:val="1"/>
                <w:szCs w:val="1"/>
                <w:color w:val="auto"/>
              </w:rPr>
            </w:pPr>
          </w:p>
        </w:tc>
      </w:tr>
      <w:tr>
        <w:trPr>
          <w:trHeight w:val="283"/>
        </w:trPr>
        <w:tc>
          <w:tcPr>
            <w:tcW w:w="1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870.9</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380.5</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309.4</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530.2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390.8</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2,481.8</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2,574.4</w:t>
            </w:r>
          </w:p>
        </w:tc>
        <w:tc>
          <w:tcPr>
            <w:tcW w:w="0" w:type="dxa"/>
            <w:vAlign w:val="bottom"/>
          </w:tcPr>
          <w:p>
            <w:pPr>
              <w:spacing w:after="0"/>
              <w:rPr>
                <w:sz w:val="1"/>
                <w:szCs w:val="1"/>
                <w:color w:val="auto"/>
              </w:rPr>
            </w:pPr>
          </w:p>
        </w:tc>
      </w:tr>
      <w:tr>
        <w:trPr>
          <w:trHeight w:val="259"/>
        </w:trPr>
        <w:tc>
          <w:tcPr>
            <w:tcW w:w="14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9"/>
              </w:rPr>
              <w:t>4,377.2</w:t>
            </w: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827.5</w:t>
            </w:r>
          </w:p>
        </w:tc>
        <w:tc>
          <w:tcPr>
            <w:tcW w:w="6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525.3</w:t>
            </w:r>
          </w:p>
        </w:tc>
        <w:tc>
          <w:tcPr>
            <w:tcW w:w="6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1,187.7</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534.0</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7,451.7</w:t>
            </w: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101.1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7,552.8</w:t>
            </w:r>
          </w:p>
        </w:tc>
        <w:tc>
          <w:tcPr>
            <w:tcW w:w="0" w:type="dxa"/>
            <w:vAlign w:val="bottom"/>
          </w:tcPr>
          <w:p>
            <w:pPr>
              <w:spacing w:after="0"/>
              <w:rPr>
                <w:sz w:val="1"/>
                <w:szCs w:val="1"/>
                <w:color w:val="auto"/>
              </w:rPr>
            </w:pPr>
          </w:p>
        </w:tc>
      </w:tr>
      <w:tr>
        <w:trPr>
          <w:trHeight w:val="553"/>
        </w:trPr>
        <w:tc>
          <w:tcPr>
            <w:tcW w:w="1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161.1</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68.0</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64.8</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111.0</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78.8</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483.7</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504.7</w:t>
            </w:r>
          </w:p>
        </w:tc>
        <w:tc>
          <w:tcPr>
            <w:tcW w:w="0" w:type="dxa"/>
            <w:vAlign w:val="bottom"/>
          </w:tcPr>
          <w:p>
            <w:pPr>
              <w:spacing w:after="0"/>
              <w:rPr>
                <w:sz w:val="1"/>
                <w:szCs w:val="1"/>
                <w:color w:val="auto"/>
              </w:rPr>
            </w:pPr>
          </w:p>
        </w:tc>
      </w:tr>
      <w:tr>
        <w:trPr>
          <w:trHeight w:val="240"/>
        </w:trPr>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9"/>
              </w:rPr>
              <w:t>4,216.1</w:t>
            </w:r>
          </w:p>
        </w:tc>
        <w:tc>
          <w:tcPr>
            <w:tcW w:w="60" w:type="dxa"/>
            <w:vAlign w:val="bottom"/>
          </w:tcPr>
          <w:p>
            <w:pPr>
              <w:spacing w:after="0"/>
              <w:rPr>
                <w:sz w:val="20"/>
                <w:szCs w:val="20"/>
                <w:color w:val="auto"/>
              </w:rPr>
            </w:pPr>
          </w:p>
        </w:tc>
        <w:tc>
          <w:tcPr>
            <w:tcW w:w="1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759.5</w:t>
            </w:r>
          </w:p>
        </w:tc>
        <w:tc>
          <w:tcPr>
            <w:tcW w:w="60" w:type="dxa"/>
            <w:vAlign w:val="bottom"/>
          </w:tcPr>
          <w:p>
            <w:pPr>
              <w:spacing w:after="0"/>
              <w:rPr>
                <w:sz w:val="20"/>
                <w:szCs w:val="20"/>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460.5</w:t>
            </w:r>
          </w:p>
        </w:tc>
        <w:tc>
          <w:tcPr>
            <w:tcW w:w="6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1,076.7</w:t>
            </w:r>
          </w:p>
        </w:tc>
        <w:tc>
          <w:tcPr>
            <w:tcW w:w="60" w:type="dxa"/>
            <w:vAlign w:val="bottom"/>
          </w:tcPr>
          <w:p>
            <w:pPr>
              <w:spacing w:after="0"/>
              <w:rPr>
                <w:sz w:val="20"/>
                <w:szCs w:val="20"/>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455.2</w:t>
            </w:r>
          </w:p>
        </w:tc>
        <w:tc>
          <w:tcPr>
            <w:tcW w:w="60" w:type="dxa"/>
            <w:vAlign w:val="bottom"/>
          </w:tcPr>
          <w:p>
            <w:pPr>
              <w:spacing w:after="0"/>
              <w:rPr>
                <w:sz w:val="20"/>
                <w:szCs w:val="20"/>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6,968.0</w:t>
            </w:r>
          </w:p>
        </w:tc>
        <w:tc>
          <w:tcPr>
            <w:tcW w:w="60" w:type="dxa"/>
            <w:vAlign w:val="bottom"/>
          </w:tcPr>
          <w:p>
            <w:pPr>
              <w:spacing w:after="0"/>
              <w:rPr>
                <w:sz w:val="20"/>
                <w:szCs w:val="20"/>
                <w:color w:val="auto"/>
              </w:rPr>
            </w:pPr>
          </w:p>
        </w:tc>
        <w:tc>
          <w:tcPr>
            <w:tcW w:w="240" w:type="dxa"/>
            <w:vAlign w:val="bottom"/>
            <w:tcBorders>
              <w:bottom w:val="single" w:sz="8" w:color="231F20"/>
            </w:tcBorders>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7,048.1</w:t>
            </w:r>
          </w:p>
        </w:tc>
        <w:tc>
          <w:tcPr>
            <w:tcW w:w="0" w:type="dxa"/>
            <w:vAlign w:val="bottom"/>
          </w:tcPr>
          <w:p>
            <w:pPr>
              <w:spacing w:after="0"/>
              <w:rPr>
                <w:sz w:val="1"/>
                <w:szCs w:val="1"/>
                <w:color w:val="auto"/>
              </w:rPr>
            </w:pPr>
          </w:p>
        </w:tc>
      </w:tr>
      <w:tr>
        <w:trPr>
          <w:trHeight w:val="20"/>
        </w:trPr>
        <w:tc>
          <w:tcPr>
            <w:tcW w:w="1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192.7</w:t>
            </w: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192.7</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236.0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236.0</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2,028.8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2,028.8</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965.8</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965.8</w:t>
            </w: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3,624.8</w:t>
            </w:r>
          </w:p>
        </w:tc>
        <w:tc>
          <w:tcPr>
            <w:tcW w:w="0" w:type="dxa"/>
            <w:vAlign w:val="bottom"/>
          </w:tcPr>
          <w:p>
            <w:pPr>
              <w:spacing w:after="0"/>
              <w:rPr>
                <w:sz w:val="1"/>
                <w:szCs w:val="1"/>
                <w:color w:val="auto"/>
              </w:rPr>
            </w:pPr>
          </w:p>
        </w:tc>
      </w:tr>
      <w:tr>
        <w:trPr>
          <w:trHeight w:val="20"/>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318.6</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260.9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249.6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174.2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545.0</w:t>
            </w:r>
          </w:p>
        </w:tc>
        <w:tc>
          <w:tcPr>
            <w:tcW w:w="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1,548.3</w:t>
            </w:r>
          </w:p>
        </w:tc>
        <w:tc>
          <w:tcPr>
            <w:tcW w:w="30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67.5</w:t>
            </w: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1,615.8</w:t>
            </w:r>
          </w:p>
        </w:tc>
        <w:tc>
          <w:tcPr>
            <w:tcW w:w="0" w:type="dxa"/>
            <w:vAlign w:val="bottom"/>
          </w:tcPr>
          <w:p>
            <w:pPr>
              <w:spacing w:after="0"/>
              <w:rPr>
                <w:sz w:val="1"/>
                <w:szCs w:val="1"/>
                <w:color w:val="auto"/>
              </w:rPr>
            </w:pPr>
          </w:p>
        </w:tc>
      </w:tr>
      <w:tr>
        <w:trPr>
          <w:trHeight w:val="20"/>
        </w:trPr>
        <w:tc>
          <w:tcPr>
            <w:tcW w:w="14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-1616710</wp:posOffset>
                </wp:positionH>
                <wp:positionV relativeFrom="paragraph">
                  <wp:posOffset>-1156970</wp:posOffset>
                </wp:positionV>
                <wp:extent cx="6383655" cy="26162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61620"/>
                        </a:xfrm>
                        <a:prstGeom prst="rect">
                          <a:avLst/>
                        </a:prstGeom>
                        <a:solidFill>
                          <a:srgbClr val="E3E4E5"/>
                        </a:solidFill>
                      </wps:spPr>
                      <wps:bodyPr/>
                    </wps:wsp>
                  </a:graphicData>
                </a:graphic>
              </wp:anchor>
            </w:drawing>
          </mc:Choice>
          <mc:Fallback>
            <w:pict>
              <v:rect id="Shape 363" o:spid="_x0000_s1388" style="position:absolute;margin-left:-127.2999pt;margin-top:-91.0999pt;width:502.65pt;height:20.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1002030</wp:posOffset>
            </wp:positionH>
            <wp:positionV relativeFrom="paragraph">
              <wp:posOffset>-2681605</wp:posOffset>
            </wp:positionV>
            <wp:extent cx="163068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10">
                      <a:extLst>
                        <a:ext uri="{28A0092B-C50C-407E-A947-70E740481C1C}"/>
                      </a:extLst>
                    </a:blip>
                    <a:srcRect/>
                    <a:stretch>
                      <a:fillRect/>
                    </a:stretch>
                  </pic:blipFill>
                  <pic:spPr bwMode="auto">
                    <a:xfrm>
                      <a:off x="0" y="0"/>
                      <a:ext cx="1630680" cy="2540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-2420620</wp:posOffset>
            </wp:positionV>
            <wp:extent cx="6397625" cy="1898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11">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-2065655</wp:posOffset>
            </wp:positionV>
            <wp:extent cx="6397625" cy="2025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12">
                      <a:extLst>
                        <a:ext uri="{28A0092B-C50C-407E-A947-70E740481C1C}"/>
                      </a:extLst>
                    </a:blip>
                    <a:srcRect/>
                    <a:stretch>
                      <a:fillRect/>
                    </a:stretch>
                  </pic:blipFill>
                  <pic:spPr bwMode="auto">
                    <a:xfrm>
                      <a:off x="0" y="0"/>
                      <a:ext cx="6397625" cy="2025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-1524000</wp:posOffset>
            </wp:positionV>
            <wp:extent cx="6397625" cy="2152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13">
                      <a:extLst>
                        <a:ext uri="{28A0092B-C50C-407E-A947-70E740481C1C}"/>
                      </a:extLst>
                    </a:blip>
                    <a:srcRect/>
                    <a:stretch>
                      <a:fillRect/>
                    </a:stretch>
                  </pic:blipFill>
                  <pic:spPr bwMode="auto">
                    <a:xfrm>
                      <a:off x="0" y="0"/>
                      <a:ext cx="6397625" cy="2152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-634365</wp:posOffset>
            </wp:positionV>
            <wp:extent cx="6397625" cy="1898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14">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-220345</wp:posOffset>
            </wp:positionV>
            <wp:extent cx="6397625" cy="2279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15">
                      <a:extLst>
                        <a:ext uri="{28A0092B-C50C-407E-A947-70E740481C1C}"/>
                      </a:extLst>
                    </a:blip>
                    <a:srcRect/>
                    <a:stretch>
                      <a:fillRect/>
                    </a:stretch>
                  </pic:blipFill>
                  <pic:spPr bwMode="auto">
                    <a:xfrm>
                      <a:off x="0" y="0"/>
                      <a:ext cx="6397625" cy="227965"/>
                    </a:xfrm>
                    <a:prstGeom prst="rect">
                      <a:avLst/>
                    </a:prstGeom>
                    <a:noFill/>
                  </pic:spPr>
                </pic:pic>
              </a:graphicData>
            </a:graphic>
          </wp:anchor>
        </w:drawing>
      </w:r>
    </w:p>
    <w:p>
      <w:pPr>
        <w:spacing w:after="0" w:line="178" w:lineRule="exact"/>
        <w:rPr>
          <w:sz w:val="20"/>
          <w:szCs w:val="20"/>
          <w:color w:val="auto"/>
        </w:rPr>
      </w:pPr>
    </w:p>
    <w:p>
      <w:pPr>
        <w:sectPr>
          <w:pgSz w:w="11880" w:h="15480" w:orient="portrait"/>
          <w:cols w:equalWidth="0" w:num="2">
            <w:col w:w="2427" w:space="120"/>
            <w:col w:w="7500"/>
          </w:cols>
          <w:pgMar w:left="913" w:top="418" w:right="920" w:bottom="0" w:gutter="0" w:footer="0" w:header="0"/>
          <w:type w:val="continuous"/>
        </w:sectPr>
      </w:pPr>
    </w:p>
    <w:p>
      <w:pPr>
        <w:ind w:left="347" w:hanging="347"/>
        <w:spacing w:after="0"/>
        <w:tabs>
          <w:tab w:leader="none" w:pos="347"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3"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Segment selling, general, administrative and development expenses exclude stock-based compensation expense of $192.7 million.</w:t>
      </w:r>
    </w:p>
    <w:p>
      <w:pPr>
        <w:spacing w:after="0" w:line="4" w:lineRule="exact"/>
        <w:rPr>
          <w:rFonts w:ascii="Times New Roman" w:cs="Times New Roman" w:eastAsia="Times New Roman" w:hAnsi="Times New Roman"/>
          <w:sz w:val="16"/>
          <w:szCs w:val="16"/>
          <w:color w:val="231F20"/>
        </w:rPr>
      </w:pPr>
    </w:p>
    <w:p>
      <w:pPr>
        <w:ind w:left="347" w:right="40" w:hanging="347"/>
        <w:spacing w:after="0" w:line="245" w:lineRule="auto"/>
        <w:tabs>
          <w:tab w:leader="none" w:pos="348"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interest expense and $68.6 million in impairment charges, as further discussed in note 15, partially offset by gains from foreign currency exchange rate fluctuations and an unrealized gain from equity securities of $70.4 million. The year ended December 31, 2024 also includes a net gain of $8.5 million on the sales of ATC Australia and ATC New Zealand.</w:t>
      </w:r>
    </w:p>
    <w:p>
      <w:pPr>
        <w:spacing w:after="0" w:line="1" w:lineRule="exact"/>
        <w:rPr>
          <w:rFonts w:ascii="Times New Roman" w:cs="Times New Roman" w:eastAsia="Times New Roman" w:hAnsi="Times New Roman"/>
          <w:sz w:val="16"/>
          <w:szCs w:val="16"/>
          <w:color w:val="231F20"/>
        </w:rPr>
      </w:pPr>
    </w:p>
    <w:p>
      <w:pPr>
        <w:ind w:left="347" w:right="360" w:hanging="347"/>
        <w:spacing w:after="0" w:line="245" w:lineRule="auto"/>
        <w:tabs>
          <w:tab w:leader="none" w:pos="348"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$4.7 million of finance lease payments included in Repayments of notes payable, credit facilities, term loans, senior notes, secured debt and finance leases in the cash flows from financing activities in the Company’s consolidated statements of cash flows.</w:t>
      </w:r>
    </w:p>
    <w:p>
      <w:pPr>
        <w:ind w:left="347" w:right="300" w:hanging="347"/>
        <w:spacing w:after="0" w:line="245" w:lineRule="auto"/>
        <w:tabs>
          <w:tab w:leader="none" w:pos="348"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$32.7 million of perpetual land easement payments reported in Deferred financing costs and other financing activities in the cash flows from financing activities in the Company’s consolidated statements of cash flows.</w:t>
      </w:r>
    </w:p>
    <w:p>
      <w:pPr>
        <w:ind w:left="347" w:hanging="347"/>
        <w:spacing w:after="0"/>
        <w:tabs>
          <w:tab w:leader="none" w:pos="347" w:val="left"/>
        </w:tabs>
        <w:numPr>
          <w:ilvl w:val="0"/>
          <w:numId w:val="11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capital expenditures includes capital expenditures associated with discontinued operations.</w:t>
      </w:r>
    </w:p>
    <w:p>
      <w:pPr>
        <w:sectPr>
          <w:pgSz w:w="11880" w:h="15480" w:orient="portrait"/>
          <w:cols w:equalWidth="0" w:num="1">
            <w:col w:w="10047"/>
          </w:cols>
          <w:pgMar w:left="913" w:top="41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F-51</w:t>
      </w:r>
    </w:p>
    <w:p>
      <w:pPr>
        <w:sectPr>
          <w:pgSz w:w="11880" w:h="15480" w:orient="portrait"/>
          <w:cols w:equalWidth="0" w:num="1">
            <w:col w:w="10047"/>
          </w:cols>
          <w:pgMar w:left="913" w:top="418" w:right="920" w:bottom="0" w:gutter="0" w:footer="0" w:header="0"/>
          <w:type w:val="continuous"/>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b w:val="1"/>
          <w:bCs w:val="1"/>
          <w:color w:val="231F20"/>
        </w:rPr>
        <w:t>Year ended December 31, 2023</w:t>
      </w:r>
    </w:p>
    <w:p>
      <w:pPr>
        <w:spacing w:after="0" w:line="63"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revenues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Segment operating expenses</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gross margin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line="241" w:lineRule="auto"/>
        <w:rPr>
          <w:sz w:val="20"/>
          <w:szCs w:val="20"/>
          <w:color w:val="auto"/>
        </w:rPr>
      </w:pPr>
      <w:r>
        <w:rPr>
          <w:rFonts w:ascii="Times New Roman" w:cs="Times New Roman" w:eastAsia="Times New Roman" w:hAnsi="Times New Roman"/>
          <w:sz w:val="15"/>
          <w:szCs w:val="15"/>
          <w:color w:val="231F20"/>
        </w:rPr>
        <w:t>Segment selling, general, administrative and development expense (2)</w:t>
      </w:r>
      <w:r>
        <w:rPr>
          <w:rFonts w:ascii="Times New Roman" w:cs="Times New Roman" w:eastAsia="Times New Roman" w:hAnsi="Times New Roman"/>
          <w:sz w:val="15"/>
          <w:szCs w:val="15"/>
          <w:color w:val="BABCBE"/>
        </w:rPr>
        <w:t>..........................................</w:t>
      </w:r>
    </w:p>
    <w:p>
      <w:pPr>
        <w:spacing w:after="0" w:line="5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Segment operating profit </w:t>
      </w:r>
      <w:r>
        <w:rPr>
          <w:rFonts w:ascii="Times New Roman" w:cs="Times New Roman" w:eastAsia="Times New Roman" w:hAnsi="Times New Roman"/>
          <w:sz w:val="15"/>
          <w:szCs w:val="15"/>
          <w:color w:val="BABCBE"/>
        </w:rPr>
        <w:t>....................</w:t>
      </w:r>
    </w:p>
    <w:p>
      <w:pPr>
        <w:spacing w:after="0" w:line="10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Stock-based compensation expense</w:t>
      </w:r>
      <w:r>
        <w:rPr>
          <w:rFonts w:ascii="Times New Roman" w:cs="Times New Roman" w:eastAsia="Times New Roman" w:hAnsi="Times New Roman"/>
          <w:sz w:val="15"/>
          <w:szCs w:val="15"/>
          <w:color w:val="BABCBE"/>
        </w:rPr>
        <w:t>....</w:t>
      </w:r>
    </w:p>
    <w:p>
      <w:pPr>
        <w:spacing w:after="0" w:line="9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Other selling, general, administrative</w:t>
      </w:r>
    </w:p>
    <w:p>
      <w:pPr>
        <w:ind w:left="47"/>
        <w:spacing w:after="0"/>
        <w:rPr>
          <w:sz w:val="20"/>
          <w:szCs w:val="20"/>
          <w:color w:val="auto"/>
        </w:rPr>
      </w:pPr>
      <w:r>
        <w:rPr>
          <w:rFonts w:ascii="Times New Roman" w:cs="Times New Roman" w:eastAsia="Times New Roman" w:hAnsi="Times New Roman"/>
          <w:sz w:val="15"/>
          <w:szCs w:val="15"/>
          <w:color w:val="231F20"/>
        </w:rPr>
        <w:t>and development expense</w:t>
      </w:r>
      <w:r>
        <w:rPr>
          <w:rFonts w:ascii="Times New Roman" w:cs="Times New Roman" w:eastAsia="Times New Roman" w:hAnsi="Times New Roman"/>
          <w:sz w:val="15"/>
          <w:szCs w:val="15"/>
          <w:color w:val="BABCBE"/>
        </w:rPr>
        <w:t>...................</w:t>
      </w:r>
    </w:p>
    <w:p>
      <w:pPr>
        <w:spacing w:after="0" w:line="55"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Depreciation, amortization and</w:t>
      </w:r>
    </w:p>
    <w:p>
      <w:pPr>
        <w:ind w:left="47"/>
        <w:spacing w:after="0"/>
        <w:rPr>
          <w:sz w:val="20"/>
          <w:szCs w:val="20"/>
          <w:color w:val="auto"/>
        </w:rPr>
      </w:pPr>
      <w:r>
        <w:rPr>
          <w:rFonts w:ascii="Times New Roman" w:cs="Times New Roman" w:eastAsia="Times New Roman" w:hAnsi="Times New Roman"/>
          <w:sz w:val="15"/>
          <w:szCs w:val="15"/>
          <w:color w:val="231F20"/>
        </w:rPr>
        <w:t>accretion</w:t>
      </w:r>
      <w:r>
        <w:rPr>
          <w:rFonts w:ascii="Times New Roman" w:cs="Times New Roman" w:eastAsia="Times New Roman" w:hAnsi="Times New Roman"/>
          <w:sz w:val="15"/>
          <w:szCs w:val="15"/>
          <w:color w:val="BABCBE"/>
        </w:rPr>
        <w:t>..............................................</w:t>
      </w:r>
    </w:p>
    <w:p>
      <w:pPr>
        <w:spacing w:after="0" w:line="6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Other expense (3)</w:t>
      </w:r>
      <w:r>
        <w:rPr>
          <w:rFonts w:ascii="Times New Roman" w:cs="Times New Roman" w:eastAsia="Times New Roman" w:hAnsi="Times New Roman"/>
          <w:sz w:val="15"/>
          <w:szCs w:val="15"/>
          <w:color w:val="BABCBE"/>
        </w:rPr>
        <w:t>................................</w:t>
      </w:r>
    </w:p>
    <w:p>
      <w:pPr>
        <w:spacing w:after="0" w:line="98"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6"/>
          <w:szCs w:val="16"/>
          <w:color w:val="231F20"/>
        </w:rPr>
        <w:t>Income from continuing operations</w:t>
      </w:r>
    </w:p>
    <w:p>
      <w:pPr>
        <w:ind w:left="47"/>
        <w:spacing w:after="0"/>
        <w:rPr>
          <w:sz w:val="20"/>
          <w:szCs w:val="20"/>
          <w:color w:val="auto"/>
        </w:rPr>
      </w:pPr>
      <w:r>
        <w:rPr>
          <w:rFonts w:ascii="Times New Roman" w:cs="Times New Roman" w:eastAsia="Times New Roman" w:hAnsi="Times New Roman"/>
          <w:sz w:val="15"/>
          <w:szCs w:val="15"/>
          <w:color w:val="231F20"/>
        </w:rPr>
        <w:t xml:space="preserve">before income taxes </w:t>
      </w:r>
      <w:r>
        <w:rPr>
          <w:rFonts w:ascii="Times New Roman" w:cs="Times New Roman" w:eastAsia="Times New Roman" w:hAnsi="Times New Roman"/>
          <w:sz w:val="15"/>
          <w:szCs w:val="15"/>
          <w:color w:val="BABCBE"/>
        </w:rPr>
        <w:t>............................</w:t>
      </w:r>
    </w:p>
    <w:p>
      <w:pPr>
        <w:spacing w:after="0" w:line="6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15"/>
          <w:szCs w:val="15"/>
          <w:color w:val="231F20"/>
        </w:rPr>
        <w:t xml:space="preserve">Capital expenditures (4) (5) (6) </w:t>
      </w:r>
      <w:r>
        <w:rPr>
          <w:rFonts w:ascii="Times New Roman" w:cs="Times New Roman" w:eastAsia="Times New Roman" w:hAnsi="Times New Roman"/>
          <w:sz w:val="15"/>
          <w:szCs w:val="15"/>
          <w:color w:val="BABCBE"/>
        </w:rPr>
        <w:t>..........</w:t>
      </w:r>
    </w:p>
    <w:p>
      <w:pPr>
        <w:spacing w:after="0" w:line="14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20" w:lineRule="exact"/>
        <w:rPr>
          <w:sz w:val="20"/>
          <w:szCs w:val="20"/>
          <w:color w:val="auto"/>
        </w:rPr>
      </w:pPr>
      <w:r>
        <w:rPr>
          <w:sz w:val="20"/>
          <w:szCs w:val="20"/>
          <w:color w:val="auto"/>
        </w:rPr>
        <w:br w:type="column"/>
      </w:r>
    </w:p>
    <w:p>
      <w:pPr>
        <w:jc w:val="center"/>
        <w:ind w:left="80" w:right="2540"/>
        <w:spacing w:after="0" w:line="283" w:lineRule="auto"/>
        <w:rPr>
          <w:sz w:val="20"/>
          <w:szCs w:val="20"/>
          <w:color w:val="auto"/>
        </w:rPr>
      </w:pPr>
      <w:r>
        <w:rPr>
          <w:rFonts w:ascii="Times New Roman" w:cs="Times New Roman" w:eastAsia="Times New Roman" w:hAnsi="Times New Roman"/>
          <w:sz w:val="17"/>
          <w:szCs w:val="17"/>
          <w:b w:val="1"/>
          <w:bCs w:val="1"/>
          <w:color w:val="231F20"/>
        </w:rPr>
        <w:t>AMERICAN TOWER CORPORATION AND SUBSIDIARIES NOTES TO CONSOLIDATED FINANCIAL STATEMENTS (Tabular amounts in millions, unless otherwise disclosed)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bottom w:val="single" w:sz="8" w:color="231F20"/>
            </w:tcBorders>
          </w:tcPr>
          <w:p>
            <w:pPr>
              <w:spacing w:after="0"/>
              <w:rPr>
                <w:sz w:val="18"/>
                <w:szCs w:val="18"/>
                <w:color w:val="auto"/>
              </w:rPr>
            </w:pPr>
          </w:p>
        </w:tc>
        <w:tc>
          <w:tcPr>
            <w:tcW w:w="64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4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640" w:type="dxa"/>
            <w:vAlign w:val="bottom"/>
          </w:tcPr>
          <w:p>
            <w:pPr>
              <w:jc w:val="right"/>
              <w:ind w:right="93"/>
              <w:spacing w:after="0" w:line="182" w:lineRule="exact"/>
              <w:rPr>
                <w:sz w:val="20"/>
                <w:szCs w:val="20"/>
                <w:color w:val="auto"/>
              </w:rPr>
            </w:pPr>
            <w:r>
              <w:rPr>
                <w:rFonts w:ascii="Times New Roman" w:cs="Times New Roman" w:eastAsia="Times New Roman" w:hAnsi="Times New Roman"/>
                <w:sz w:val="16"/>
                <w:szCs w:val="16"/>
                <w:b w:val="1"/>
                <w:bCs w:val="1"/>
                <w:color w:val="231F20"/>
                <w:w w:val="96"/>
              </w:rPr>
              <w:t>U.S. &amp;</w:t>
            </w:r>
          </w:p>
        </w:tc>
        <w:tc>
          <w:tcPr>
            <w:tcW w:w="60" w:type="dxa"/>
            <w:vAlign w:val="bottom"/>
          </w:tcPr>
          <w:p>
            <w:pPr>
              <w:spacing w:after="0"/>
              <w:rPr>
                <w:sz w:val="15"/>
                <w:szCs w:val="15"/>
                <w:color w:val="auto"/>
              </w:rPr>
            </w:pPr>
          </w:p>
        </w:tc>
        <w:tc>
          <w:tcPr>
            <w:tcW w:w="7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231F20"/>
              </w:rPr>
              <w:t>Africa &amp;</w:t>
            </w:r>
          </w:p>
        </w:tc>
        <w:tc>
          <w:tcPr>
            <w:tcW w:w="60" w:type="dxa"/>
            <w:vAlign w:val="bottom"/>
          </w:tcPr>
          <w:p>
            <w:pPr>
              <w:spacing w:after="0"/>
              <w:rPr>
                <w:sz w:val="15"/>
                <w:szCs w:val="15"/>
                <w:color w:val="auto"/>
              </w:rPr>
            </w:pPr>
          </w:p>
        </w:tc>
        <w:tc>
          <w:tcPr>
            <w:tcW w:w="7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231F20"/>
              </w:rPr>
              <w:t>Europe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13"/>
              <w:spacing w:after="0" w:line="182" w:lineRule="exact"/>
              <w:rPr>
                <w:sz w:val="20"/>
                <w:szCs w:val="20"/>
                <w:color w:val="auto"/>
              </w:rPr>
            </w:pPr>
            <w:r>
              <w:rPr>
                <w:rFonts w:ascii="Times New Roman" w:cs="Times New Roman" w:eastAsia="Times New Roman" w:hAnsi="Times New Roman"/>
                <w:sz w:val="16"/>
                <w:szCs w:val="16"/>
                <w:b w:val="1"/>
                <w:bCs w:val="1"/>
                <w:color w:val="231F20"/>
              </w:rPr>
              <w:t>Latin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231F20"/>
                <w:w w:val="97"/>
              </w:rPr>
              <w:t>Data</w:t>
            </w:r>
          </w:p>
        </w:tc>
        <w:tc>
          <w:tcPr>
            <w:tcW w:w="180" w:type="dxa"/>
            <w:vAlign w:val="bottom"/>
          </w:tcPr>
          <w:p>
            <w:pPr>
              <w:spacing w:after="0"/>
              <w:rPr>
                <w:sz w:val="15"/>
                <w:szCs w:val="15"/>
                <w:color w:val="auto"/>
              </w:rPr>
            </w:pPr>
          </w:p>
        </w:tc>
        <w:tc>
          <w:tcPr>
            <w:tcW w:w="64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6"/>
                <w:szCs w:val="16"/>
                <w:b w:val="1"/>
                <w:bCs w:val="1"/>
                <w:color w:val="231F20"/>
              </w:rPr>
              <w:t>Total</w:t>
            </w:r>
          </w:p>
        </w:tc>
        <w:tc>
          <w:tcPr>
            <w:tcW w:w="60" w:type="dxa"/>
            <w:vAlign w:val="bottom"/>
          </w:tcPr>
          <w:p>
            <w:pPr>
              <w:spacing w:after="0"/>
              <w:rPr>
                <w:sz w:val="15"/>
                <w:szCs w:val="15"/>
                <w:color w:val="auto"/>
              </w:rPr>
            </w:pPr>
          </w:p>
        </w:tc>
        <w:tc>
          <w:tcPr>
            <w:tcW w:w="7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231F20"/>
              </w:rPr>
              <w:t>Services</w:t>
            </w: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10"/>
        </w:trPr>
        <w:tc>
          <w:tcPr>
            <w:tcW w:w="780" w:type="dxa"/>
            <w:vAlign w:val="bottom"/>
            <w:tcBorders>
              <w:bottom w:val="single" w:sz="8" w:color="231F20"/>
            </w:tcBorders>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231F20"/>
              </w:rPr>
              <w:t>Canada</w:t>
            </w: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231F20"/>
              </w:rPr>
              <w:t>APAC (1)</w:t>
            </w:r>
          </w:p>
        </w:tc>
        <w:tc>
          <w:tcPr>
            <w:tcW w:w="60" w:type="dxa"/>
            <w:vAlign w:val="bottom"/>
          </w:tcPr>
          <w:p>
            <w:pPr>
              <w:spacing w:after="0"/>
              <w:rPr>
                <w:sz w:val="18"/>
                <w:szCs w:val="18"/>
                <w:color w:val="auto"/>
              </w:rPr>
            </w:pPr>
          </w:p>
        </w:tc>
        <w:tc>
          <w:tcPr>
            <w:tcW w:w="760" w:type="dxa"/>
            <w:vAlign w:val="bottom"/>
            <w:tcBorders>
              <w:bottom w:val="single" w:sz="8" w:color="231F20"/>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231F20"/>
              </w:rPr>
              <w:t>America</w:t>
            </w:r>
          </w:p>
        </w:tc>
        <w:tc>
          <w:tcPr>
            <w:tcW w:w="60" w:type="dxa"/>
            <w:vAlign w:val="bottom"/>
          </w:tcPr>
          <w:p>
            <w:pPr>
              <w:spacing w:after="0"/>
              <w:rPr>
                <w:sz w:val="18"/>
                <w:szCs w:val="18"/>
                <w:color w:val="auto"/>
              </w:rPr>
            </w:pPr>
          </w:p>
        </w:tc>
        <w:tc>
          <w:tcPr>
            <w:tcW w:w="7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Centers</w:t>
            </w:r>
          </w:p>
        </w:tc>
        <w:tc>
          <w:tcPr>
            <w:tcW w:w="60" w:type="dxa"/>
            <w:vAlign w:val="bottom"/>
          </w:tcPr>
          <w:p>
            <w:pPr>
              <w:spacing w:after="0"/>
              <w:rPr>
                <w:sz w:val="18"/>
                <w:szCs w:val="18"/>
                <w:color w:val="auto"/>
              </w:rPr>
            </w:pPr>
          </w:p>
        </w:tc>
        <w:tc>
          <w:tcPr>
            <w:tcW w:w="820" w:type="dxa"/>
            <w:vAlign w:val="bottom"/>
            <w:tcBorders>
              <w:bottom w:val="single" w:sz="8" w:color="231F20"/>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231F20"/>
              </w:rPr>
              <w:t>Property</w:t>
            </w:r>
          </w:p>
        </w:tc>
        <w:tc>
          <w:tcPr>
            <w:tcW w:w="60" w:type="dxa"/>
            <w:vAlign w:val="bottom"/>
          </w:tcPr>
          <w:p>
            <w:pPr>
              <w:spacing w:after="0"/>
              <w:rPr>
                <w:sz w:val="18"/>
                <w:szCs w:val="18"/>
                <w:color w:val="auto"/>
              </w:rPr>
            </w:pPr>
          </w:p>
        </w:tc>
        <w:tc>
          <w:tcPr>
            <w:tcW w:w="780" w:type="dxa"/>
            <w:vAlign w:val="bottom"/>
            <w:tcBorders>
              <w:bottom w:val="single" w:sz="8" w:color="231F20"/>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Borders>
              <w:bottom w:val="single" w:sz="8" w:color="231F20"/>
            </w:tcBorders>
            <w:vMerge w:val="continue"/>
          </w:tcPr>
          <w:p>
            <w:pPr>
              <w:spacing w:after="0"/>
              <w:rPr>
                <w:sz w:val="18"/>
                <w:szCs w:val="18"/>
                <w:color w:val="auto"/>
              </w:rPr>
            </w:pPr>
          </w:p>
        </w:tc>
        <w:tc>
          <w:tcPr>
            <w:tcW w:w="62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5,216.2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1,244.4</w:t>
            </w:r>
          </w:p>
        </w:tc>
        <w:tc>
          <w:tcPr>
            <w:tcW w:w="34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3"/>
              </w:rPr>
              <w:t>775.6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1,798.3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834.7</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9,869.2</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143.0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10,012.2</w:t>
            </w:r>
          </w:p>
        </w:tc>
        <w:tc>
          <w:tcPr>
            <w:tcW w:w="0" w:type="dxa"/>
            <w:vAlign w:val="bottom"/>
          </w:tcPr>
          <w:p>
            <w:pPr>
              <w:spacing w:after="0"/>
              <w:rPr>
                <w:sz w:val="1"/>
                <w:szCs w:val="1"/>
                <w:color w:val="auto"/>
              </w:rPr>
            </w:pPr>
          </w:p>
        </w:tc>
      </w:tr>
      <w:tr>
        <w:trPr>
          <w:trHeight w:val="283"/>
        </w:trPr>
        <w:tc>
          <w:tcPr>
            <w:tcW w:w="1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849.9</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438.4</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3"/>
              </w:rPr>
              <w:t>299.5</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566.0</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347.6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2,501.4</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2,561.5</w:t>
            </w:r>
          </w:p>
        </w:tc>
        <w:tc>
          <w:tcPr>
            <w:tcW w:w="0" w:type="dxa"/>
            <w:vAlign w:val="bottom"/>
          </w:tcPr>
          <w:p>
            <w:pPr>
              <w:spacing w:after="0"/>
              <w:rPr>
                <w:sz w:val="1"/>
                <w:szCs w:val="1"/>
                <w:color w:val="auto"/>
              </w:rPr>
            </w:pPr>
          </w:p>
        </w:tc>
      </w:tr>
      <w:tr>
        <w:trPr>
          <w:trHeight w:val="259"/>
        </w:trPr>
        <w:tc>
          <w:tcPr>
            <w:tcW w:w="14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9"/>
              </w:rPr>
              <w:t>4,366.3</w:t>
            </w: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806.0</w:t>
            </w: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3"/>
              </w:rPr>
              <w:t>476.1</w:t>
            </w:r>
          </w:p>
        </w:tc>
        <w:tc>
          <w:tcPr>
            <w:tcW w:w="6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1,232.3</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487.1</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7,367.8</w:t>
            </w: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82.9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7,450.7</w:t>
            </w:r>
          </w:p>
        </w:tc>
        <w:tc>
          <w:tcPr>
            <w:tcW w:w="0" w:type="dxa"/>
            <w:vAlign w:val="bottom"/>
          </w:tcPr>
          <w:p>
            <w:pPr>
              <w:spacing w:after="0"/>
              <w:rPr>
                <w:sz w:val="1"/>
                <w:szCs w:val="1"/>
                <w:color w:val="auto"/>
              </w:rPr>
            </w:pPr>
          </w:p>
        </w:tc>
      </w:tr>
      <w:tr>
        <w:trPr>
          <w:trHeight w:val="553"/>
        </w:trPr>
        <w:tc>
          <w:tcPr>
            <w:tcW w:w="14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165.1</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87.3</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65.6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107.9</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72.4</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498.3</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521.2</w:t>
            </w:r>
          </w:p>
        </w:tc>
        <w:tc>
          <w:tcPr>
            <w:tcW w:w="0" w:type="dxa"/>
            <w:vAlign w:val="bottom"/>
          </w:tcPr>
          <w:p>
            <w:pPr>
              <w:spacing w:after="0"/>
              <w:rPr>
                <w:sz w:val="1"/>
                <w:szCs w:val="1"/>
                <w:color w:val="auto"/>
              </w:rPr>
            </w:pPr>
          </w:p>
        </w:tc>
      </w:tr>
      <w:tr>
        <w:trPr>
          <w:trHeight w:val="240"/>
        </w:trPr>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9"/>
              </w:rPr>
              <w:t>4,201.2</w:t>
            </w:r>
          </w:p>
        </w:tc>
        <w:tc>
          <w:tcPr>
            <w:tcW w:w="60" w:type="dxa"/>
            <w:vAlign w:val="bottom"/>
          </w:tcPr>
          <w:p>
            <w:pPr>
              <w:spacing w:after="0"/>
              <w:rPr>
                <w:sz w:val="20"/>
                <w:szCs w:val="20"/>
                <w:color w:val="auto"/>
              </w:rPr>
            </w:pPr>
          </w:p>
        </w:tc>
        <w:tc>
          <w:tcPr>
            <w:tcW w:w="1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718.7</w:t>
            </w:r>
          </w:p>
        </w:tc>
        <w:tc>
          <w:tcPr>
            <w:tcW w:w="60" w:type="dxa"/>
            <w:vAlign w:val="bottom"/>
          </w:tcPr>
          <w:p>
            <w:pPr>
              <w:spacing w:after="0"/>
              <w:rPr>
                <w:sz w:val="20"/>
                <w:szCs w:val="20"/>
                <w:color w:val="auto"/>
              </w:rPr>
            </w:pPr>
          </w:p>
        </w:tc>
        <w:tc>
          <w:tcPr>
            <w:tcW w:w="280" w:type="dxa"/>
            <w:vAlign w:val="bottom"/>
            <w:tcBorders>
              <w:bottom w:val="single" w:sz="8" w:color="231F20"/>
            </w:tcBorders>
          </w:tcPr>
          <w:p>
            <w:pPr>
              <w:jc w:val="right"/>
              <w:ind w:right="57"/>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3"/>
              </w:rPr>
              <w:t>410.5</w:t>
            </w:r>
          </w:p>
        </w:tc>
        <w:tc>
          <w:tcPr>
            <w:tcW w:w="6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w w:val="96"/>
              </w:rPr>
              <w:t>1,124.4</w:t>
            </w:r>
          </w:p>
        </w:tc>
        <w:tc>
          <w:tcPr>
            <w:tcW w:w="60" w:type="dxa"/>
            <w:vAlign w:val="bottom"/>
          </w:tcPr>
          <w:p>
            <w:pPr>
              <w:spacing w:after="0"/>
              <w:rPr>
                <w:sz w:val="20"/>
                <w:szCs w:val="20"/>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414.7</w:t>
            </w:r>
          </w:p>
        </w:tc>
        <w:tc>
          <w:tcPr>
            <w:tcW w:w="60" w:type="dxa"/>
            <w:vAlign w:val="bottom"/>
          </w:tcPr>
          <w:p>
            <w:pPr>
              <w:spacing w:after="0"/>
              <w:rPr>
                <w:sz w:val="20"/>
                <w:szCs w:val="20"/>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6,869.5</w:t>
            </w:r>
          </w:p>
        </w:tc>
        <w:tc>
          <w:tcPr>
            <w:tcW w:w="60" w:type="dxa"/>
            <w:vAlign w:val="bottom"/>
          </w:tcPr>
          <w:p>
            <w:pPr>
              <w:spacing w:after="0"/>
              <w:rPr>
                <w:sz w:val="20"/>
                <w:szCs w:val="20"/>
                <w:color w:val="auto"/>
              </w:rPr>
            </w:pPr>
          </w:p>
        </w:tc>
        <w:tc>
          <w:tcPr>
            <w:tcW w:w="240" w:type="dxa"/>
            <w:vAlign w:val="bottom"/>
            <w:tcBorders>
              <w:bottom w:val="single" w:sz="8" w:color="231F20"/>
            </w:tcBorders>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6,929.5</w:t>
            </w:r>
          </w:p>
        </w:tc>
        <w:tc>
          <w:tcPr>
            <w:tcW w:w="0" w:type="dxa"/>
            <w:vAlign w:val="bottom"/>
          </w:tcPr>
          <w:p>
            <w:pPr>
              <w:spacing w:after="0"/>
              <w:rPr>
                <w:sz w:val="1"/>
                <w:szCs w:val="1"/>
                <w:color w:val="auto"/>
              </w:rPr>
            </w:pPr>
          </w:p>
        </w:tc>
      </w:tr>
      <w:tr>
        <w:trPr>
          <w:trHeight w:val="20"/>
        </w:trPr>
        <w:tc>
          <w:tcPr>
            <w:tcW w:w="1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183.3</w:t>
            </w: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183.3</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241.5</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2,928.5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2,928.5</w:t>
            </w: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2,046.9</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2,046.9</w:t>
            </w:r>
          </w:p>
        </w:tc>
        <w:tc>
          <w:tcPr>
            <w:tcW w:w="0" w:type="dxa"/>
            <w:vAlign w:val="bottom"/>
          </w:tcPr>
          <w:p>
            <w:pPr>
              <w:spacing w:after="0"/>
              <w:rPr>
                <w:sz w:val="1"/>
                <w:szCs w:val="1"/>
                <w:color w:val="auto"/>
              </w:rPr>
            </w:pPr>
          </w:p>
        </w:tc>
      </w:tr>
      <w:tr>
        <w:trPr>
          <w:trHeight w:val="372"/>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1,529.3</w:t>
            </w:r>
          </w:p>
        </w:tc>
        <w:tc>
          <w:tcPr>
            <w:tcW w:w="0" w:type="dxa"/>
            <w:vAlign w:val="bottom"/>
          </w:tcPr>
          <w:p>
            <w:pPr>
              <w:spacing w:after="0"/>
              <w:rPr>
                <w:sz w:val="1"/>
                <w:szCs w:val="1"/>
                <w:color w:val="auto"/>
              </w:rPr>
            </w:pPr>
          </w:p>
        </w:tc>
      </w:tr>
      <w:tr>
        <w:trPr>
          <w:trHeight w:val="20"/>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410.6</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435.7</w:t>
            </w:r>
          </w:p>
        </w:tc>
        <w:tc>
          <w:tcPr>
            <w:tcW w:w="34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w w:val="93"/>
              </w:rPr>
              <w:t>218.0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205.2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428.1</w:t>
            </w:r>
          </w:p>
        </w:tc>
        <w:tc>
          <w:tcPr>
            <w:tcW w:w="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1,697.6</w:t>
            </w:r>
          </w:p>
        </w:tc>
        <w:tc>
          <w:tcPr>
            <w:tcW w:w="30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231F20"/>
              </w:rPr>
              <w:t>—  $</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132.2</w:t>
            </w: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1,829.8</w:t>
            </w:r>
          </w:p>
        </w:tc>
        <w:tc>
          <w:tcPr>
            <w:tcW w:w="0" w:type="dxa"/>
            <w:vAlign w:val="bottom"/>
          </w:tcPr>
          <w:p>
            <w:pPr>
              <w:spacing w:after="0"/>
              <w:rPr>
                <w:sz w:val="1"/>
                <w:szCs w:val="1"/>
                <w:color w:val="auto"/>
              </w:rPr>
            </w:pPr>
          </w:p>
        </w:tc>
      </w:tr>
      <w:tr>
        <w:trPr>
          <w:trHeight w:val="20"/>
        </w:trPr>
        <w:tc>
          <w:tcPr>
            <w:tcW w:w="14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-1616710</wp:posOffset>
                </wp:positionH>
                <wp:positionV relativeFrom="paragraph">
                  <wp:posOffset>-1156970</wp:posOffset>
                </wp:positionV>
                <wp:extent cx="6383655" cy="26162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3655" cy="261620"/>
                        </a:xfrm>
                        <a:prstGeom prst="rect">
                          <a:avLst/>
                        </a:prstGeom>
                        <a:solidFill>
                          <a:srgbClr val="E3E4E5"/>
                        </a:solidFill>
                      </wps:spPr>
                      <wps:bodyPr/>
                    </wps:wsp>
                  </a:graphicData>
                </a:graphic>
              </wp:anchor>
            </w:drawing>
          </mc:Choice>
          <mc:Fallback>
            <w:pict>
              <v:rect id="Shape 370" o:spid="_x0000_s1395" style="position:absolute;margin-left:-127.2999pt;margin-top:-91.0999pt;width:502.65pt;height:20.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1002030</wp:posOffset>
            </wp:positionH>
            <wp:positionV relativeFrom="paragraph">
              <wp:posOffset>-2681605</wp:posOffset>
            </wp:positionV>
            <wp:extent cx="163068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16">
                      <a:extLst>
                        <a:ext uri="{28A0092B-C50C-407E-A947-70E740481C1C}"/>
                      </a:extLst>
                    </a:blip>
                    <a:srcRect/>
                    <a:stretch>
                      <a:fillRect/>
                    </a:stretch>
                  </pic:blipFill>
                  <pic:spPr bwMode="auto">
                    <a:xfrm>
                      <a:off x="0" y="0"/>
                      <a:ext cx="1630680" cy="2540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-2420620</wp:posOffset>
            </wp:positionV>
            <wp:extent cx="6397625" cy="1898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17">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-2065655</wp:posOffset>
            </wp:positionV>
            <wp:extent cx="6397625" cy="2025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18">
                      <a:extLst>
                        <a:ext uri="{28A0092B-C50C-407E-A947-70E740481C1C}"/>
                      </a:extLst>
                    </a:blip>
                    <a:srcRect/>
                    <a:stretch>
                      <a:fillRect/>
                    </a:stretch>
                  </pic:blipFill>
                  <pic:spPr bwMode="auto">
                    <a:xfrm>
                      <a:off x="0" y="0"/>
                      <a:ext cx="6397625" cy="2025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-1524000</wp:posOffset>
            </wp:positionV>
            <wp:extent cx="6397625" cy="2152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19">
                      <a:extLst>
                        <a:ext uri="{28A0092B-C50C-407E-A947-70E740481C1C}"/>
                      </a:extLst>
                    </a:blip>
                    <a:srcRect/>
                    <a:stretch>
                      <a:fillRect/>
                    </a:stretch>
                  </pic:blipFill>
                  <pic:spPr bwMode="auto">
                    <a:xfrm>
                      <a:off x="0" y="0"/>
                      <a:ext cx="6397625" cy="2152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-634365</wp:posOffset>
            </wp:positionV>
            <wp:extent cx="6397625" cy="1898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20">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-220345</wp:posOffset>
            </wp:positionV>
            <wp:extent cx="6397625" cy="2279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21">
                      <a:extLst>
                        <a:ext uri="{28A0092B-C50C-407E-A947-70E740481C1C}"/>
                      </a:extLst>
                    </a:blip>
                    <a:srcRect/>
                    <a:stretch>
                      <a:fillRect/>
                    </a:stretch>
                  </pic:blipFill>
                  <pic:spPr bwMode="auto">
                    <a:xfrm>
                      <a:off x="0" y="0"/>
                      <a:ext cx="6397625" cy="227965"/>
                    </a:xfrm>
                    <a:prstGeom prst="rect">
                      <a:avLst/>
                    </a:prstGeom>
                    <a:noFill/>
                  </pic:spPr>
                </pic:pic>
              </a:graphicData>
            </a:graphic>
          </wp:anchor>
        </w:drawing>
      </w:r>
    </w:p>
    <w:p>
      <w:pPr>
        <w:spacing w:after="0" w:line="178" w:lineRule="exact"/>
        <w:rPr>
          <w:sz w:val="20"/>
          <w:szCs w:val="20"/>
          <w:color w:val="auto"/>
        </w:rPr>
      </w:pPr>
    </w:p>
    <w:p>
      <w:pPr>
        <w:sectPr>
          <w:pgSz w:w="11880" w:h="15480" w:orient="portrait"/>
          <w:cols w:equalWidth="0" w:num="2">
            <w:col w:w="2427" w:space="120"/>
            <w:col w:w="7500"/>
          </w:cols>
          <w:pgMar w:left="913" w:top="418" w:right="920" w:bottom="0" w:gutter="0" w:footer="0" w:header="0"/>
        </w:sectPr>
      </w:pPr>
    </w:p>
    <w:p>
      <w:pPr>
        <w:ind w:left="347" w:hanging="347"/>
        <w:spacing w:after="0"/>
        <w:tabs>
          <w:tab w:leader="none" w:pos="347"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Excludes the operating results of ATC TIPL, which are reported as discontinued operations. See note 21 for further discussion.</w:t>
      </w:r>
    </w:p>
    <w:p>
      <w:pPr>
        <w:spacing w:after="0" w:line="3"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Segment selling, general, administrative and development expenses exclude stock-based compensation expense of $183.3 million.</w:t>
      </w:r>
    </w:p>
    <w:p>
      <w:pPr>
        <w:spacing w:after="0" w:line="4" w:lineRule="exact"/>
        <w:rPr>
          <w:rFonts w:ascii="Times New Roman" w:cs="Times New Roman" w:eastAsia="Times New Roman" w:hAnsi="Times New Roman"/>
          <w:sz w:val="16"/>
          <w:szCs w:val="16"/>
          <w:color w:val="231F20"/>
        </w:rPr>
      </w:pPr>
    </w:p>
    <w:p>
      <w:pPr>
        <w:jc w:val="both"/>
        <w:ind w:left="347" w:right="620" w:hanging="347"/>
        <w:spacing w:after="0" w:line="245" w:lineRule="auto"/>
        <w:tabs>
          <w:tab w:leader="none" w:pos="348"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interest expense and $200.0 million in impairment charges, $80.0 million of goodwill impairment charges in Spain, as further discussed in note 15, and losses from foreign currency exchange rate fluctuations. The year ended December 31, 2023 also includes a net loss of $78.9 million on the sales of Mexico Fiber and ATC Poland.</w:t>
      </w:r>
    </w:p>
    <w:p>
      <w:pPr>
        <w:spacing w:after="0" w:line="1" w:lineRule="exact"/>
        <w:rPr>
          <w:rFonts w:ascii="Times New Roman" w:cs="Times New Roman" w:eastAsia="Times New Roman" w:hAnsi="Times New Roman"/>
          <w:sz w:val="16"/>
          <w:szCs w:val="16"/>
          <w:color w:val="231F20"/>
        </w:rPr>
      </w:pPr>
    </w:p>
    <w:p>
      <w:pPr>
        <w:ind w:left="347" w:right="360" w:hanging="347"/>
        <w:spacing w:after="0" w:line="245" w:lineRule="auto"/>
        <w:tabs>
          <w:tab w:leader="none" w:pos="348"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$6.2 million of finance lease payments included in Repayments of notes payable, credit facilities, term loans, senior notes, secured debt and finance leases in the cash flows from financing activities in the Company’s consolidated statements of cash flows.</w:t>
      </w:r>
    </w:p>
    <w:p>
      <w:pPr>
        <w:ind w:left="347" w:right="300" w:hanging="347"/>
        <w:spacing w:after="0" w:line="245" w:lineRule="auto"/>
        <w:tabs>
          <w:tab w:leader="none" w:pos="348"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$38.7 million of perpetual land easement payments reported in Deferred financing costs and other financing activities in the cash flows from financing activities in the Company’s consolidated statements of cash flows.</w:t>
      </w:r>
    </w:p>
    <w:p>
      <w:pPr>
        <w:ind w:left="347" w:hanging="347"/>
        <w:spacing w:after="0"/>
        <w:tabs>
          <w:tab w:leader="none" w:pos="347" w:val="left"/>
        </w:tabs>
        <w:numPr>
          <w:ilvl w:val="0"/>
          <w:numId w:val="11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capital expenditures includes capital expenditures associated with discontinued operations.</w:t>
      </w:r>
    </w:p>
    <w:p>
      <w:pPr>
        <w:spacing w:after="0" w:line="1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Additional information relating to the total assets of the Company’s operating segments is as follows for the years ended</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December 31,:</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772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0"/>
        </w:trPr>
        <w:tc>
          <w:tcPr>
            <w:tcW w:w="7720" w:type="dxa"/>
            <w:vAlign w:val="bottom"/>
            <w:shd w:val="clear" w:color="auto" w:fill="E3E4E5"/>
          </w:tcPr>
          <w:p>
            <w:pPr>
              <w:jc w:val="right"/>
              <w:ind w:right="6282"/>
              <w:spacing w:after="0"/>
              <w:rPr>
                <w:sz w:val="20"/>
                <w:szCs w:val="20"/>
                <w:color w:val="auto"/>
              </w:rPr>
            </w:pPr>
            <w:r>
              <w:rPr>
                <w:rFonts w:ascii="Times New Roman" w:cs="Times New Roman" w:eastAsia="Times New Roman" w:hAnsi="Times New Roman"/>
                <w:sz w:val="20"/>
                <w:szCs w:val="20"/>
                <w:color w:val="231F20"/>
                <w:w w:val="98"/>
              </w:rPr>
              <w:t>Total Assets (1):</w:t>
            </w:r>
          </w:p>
        </w:tc>
        <w:tc>
          <w:tcPr>
            <w:tcW w:w="24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U.S. &amp; Canada property</w:t>
            </w:r>
            <w:r>
              <w:rPr>
                <w:rFonts w:ascii="Times New Roman" w:cs="Times New Roman" w:eastAsia="Times New Roman" w:hAnsi="Times New Roman"/>
                <w:sz w:val="20"/>
                <w:szCs w:val="20"/>
                <w:color w:val="BABCBE"/>
              </w:rPr>
              <w:t>................................................................................................................</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26,798.3</w:t>
            </w: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26,750.1</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Africa &amp; APAC property</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4,147.2</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3,993.1</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Europe property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12,850.4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11,267.2</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Latin America property</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8,415.6</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7,470.7</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Data Centers</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10,703.9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10,431.6</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Services</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124.7</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113.7</w:t>
            </w:r>
          </w:p>
        </w:tc>
      </w:tr>
      <w:tr>
        <w:trPr>
          <w:trHeight w:val="269"/>
        </w:trPr>
        <w:tc>
          <w:tcPr>
            <w:tcW w:w="772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Other (2)</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150.3</w:t>
            </w:r>
          </w:p>
        </w:tc>
        <w:tc>
          <w:tcPr>
            <w:tcW w:w="8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1,051.0</w:t>
            </w:r>
          </w:p>
        </w:tc>
      </w:tr>
      <w:tr>
        <w:trPr>
          <w:trHeight w:val="279"/>
        </w:trPr>
        <w:tc>
          <w:tcPr>
            <w:tcW w:w="77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assets </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63,190.4</w:t>
            </w:r>
          </w:p>
        </w:tc>
        <w:tc>
          <w:tcPr>
            <w:tcW w:w="8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61,077.4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-1626870</wp:posOffset>
            </wp:positionV>
            <wp:extent cx="150939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22">
                      <a:extLst>
                        <a:ext uri="{28A0092B-C50C-407E-A947-70E740481C1C}"/>
                      </a:extLst>
                    </a:blip>
                    <a:srcRect/>
                    <a:stretch>
                      <a:fillRect/>
                    </a:stretch>
                  </pic:blipFill>
                  <pic:spPr bwMode="auto">
                    <a:xfrm>
                      <a:off x="0" y="0"/>
                      <a:ext cx="1509395" cy="25400"/>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-208280</wp:posOffset>
            </wp:positionV>
            <wp:extent cx="150939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23">
                      <a:extLst>
                        <a:ext uri="{28A0092B-C50C-407E-A947-70E740481C1C}"/>
                      </a:extLst>
                    </a:blip>
                    <a:srcRect/>
                    <a:stretch>
                      <a:fillRect/>
                    </a:stretch>
                  </pic:blipFill>
                  <pic:spPr bwMode="auto">
                    <a:xfrm>
                      <a:off x="0" y="0"/>
                      <a:ext cx="1509395" cy="25400"/>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-43180</wp:posOffset>
            </wp:positionV>
            <wp:extent cx="1509395" cy="501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24">
                      <a:extLst>
                        <a:ext uri="{28A0092B-C50C-407E-A947-70E740481C1C}"/>
                      </a:extLst>
                    </a:blip>
                    <a:srcRect/>
                    <a:stretch>
                      <a:fillRect/>
                    </a:stretch>
                  </pic:blipFill>
                  <pic:spPr bwMode="auto">
                    <a:xfrm>
                      <a:off x="0" y="0"/>
                      <a:ext cx="1509395"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2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are translated at the applicable period end exchange rate, which may impact comparability between periods.</w:t>
      </w:r>
    </w:p>
    <w:p>
      <w:pPr>
        <w:spacing w:after="0" w:line="3" w:lineRule="exact"/>
        <w:rPr>
          <w:rFonts w:ascii="Times New Roman" w:cs="Times New Roman" w:eastAsia="Times New Roman" w:hAnsi="Times New Roman"/>
          <w:sz w:val="16"/>
          <w:szCs w:val="16"/>
          <w:color w:val="231F20"/>
        </w:rPr>
      </w:pPr>
    </w:p>
    <w:p>
      <w:pPr>
        <w:ind w:left="347" w:right="280" w:hanging="347"/>
        <w:spacing w:after="0" w:line="250" w:lineRule="auto"/>
        <w:tabs>
          <w:tab w:leader="none" w:pos="347" w:val="left"/>
        </w:tabs>
        <w:numPr>
          <w:ilvl w:val="0"/>
          <w:numId w:val="12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include corporate assets such as cash and cash equivalents, certain tangible and intangible assets and income tax accounts that have not been allocated to specific segments.</w:t>
      </w:r>
    </w:p>
    <w:p>
      <w:pPr>
        <w:sectPr>
          <w:pgSz w:w="11880" w:h="15480" w:orient="portrait"/>
          <w:cols w:equalWidth="0" w:num="1">
            <w:col w:w="10047"/>
          </w:cols>
          <w:pgMar w:left="913" w:top="41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F-52</w:t>
      </w:r>
    </w:p>
    <w:p>
      <w:pPr>
        <w:sectPr>
          <w:pgSz w:w="11880" w:h="15480" w:orient="portrait"/>
          <w:cols w:equalWidth="0" w:num="1">
            <w:col w:w="10047"/>
          </w:cols>
          <w:pgMar w:left="913" w:top="418" w:right="920" w:bottom="0" w:gutter="0" w:footer="0" w:header="0"/>
          <w:type w:val="continuous"/>
        </w:sectPr>
      </w:pPr>
    </w:p>
    <w:bookmarkStart w:id="142" w:name="page143"/>
    <w:bookmarkEnd w:id="142"/>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ind w:left="7" w:right="400"/>
        <w:spacing w:after="0" w:line="273" w:lineRule="auto"/>
        <w:rPr>
          <w:sz w:val="20"/>
          <w:szCs w:val="20"/>
          <w:color w:val="auto"/>
        </w:rPr>
      </w:pPr>
      <w:r>
        <w:rPr>
          <w:rFonts w:ascii="Times New Roman" w:cs="Times New Roman" w:eastAsia="Times New Roman" w:hAnsi="Times New Roman"/>
          <w:sz w:val="20"/>
          <w:szCs w:val="20"/>
          <w:color w:val="231F20"/>
        </w:rPr>
        <w:t>Summarized geographic information related to the Company’s operating revenues for the years ended December 31, 2025, 2024 and 2023 and long-lived assets as of December 31, 2025 and 2024 is as follows:</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80" w:type="dxa"/>
            <w:vAlign w:val="bottom"/>
            <w:tcBorders>
              <w:bottom w:val="single" w:sz="8" w:color="E3E4E5"/>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70"/>
        </w:trPr>
        <w:tc>
          <w:tcPr>
            <w:tcW w:w="6480" w:type="dxa"/>
            <w:vAlign w:val="bottom"/>
            <w:shd w:val="clear" w:color="auto" w:fill="E3E4E5"/>
          </w:tcPr>
          <w:p>
            <w:pPr>
              <w:jc w:val="right"/>
              <w:ind w:right="4682"/>
              <w:spacing w:after="0"/>
              <w:rPr>
                <w:sz w:val="20"/>
                <w:szCs w:val="20"/>
                <w:color w:val="auto"/>
              </w:rPr>
            </w:pPr>
            <w:r>
              <w:rPr>
                <w:rFonts w:ascii="Times New Roman" w:cs="Times New Roman" w:eastAsia="Times New Roman" w:hAnsi="Times New Roman"/>
                <w:sz w:val="20"/>
                <w:szCs w:val="20"/>
                <w:color w:val="231F20"/>
                <w:w w:val="99"/>
              </w:rPr>
              <w:t>Operating Revenues:</w:t>
            </w:r>
          </w:p>
        </w:tc>
        <w:tc>
          <w:tcPr>
            <w:tcW w:w="26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c>
          <w:tcPr>
            <w:tcW w:w="6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r>
      <w:tr>
        <w:trPr>
          <w:trHeight w:val="274"/>
        </w:trPr>
        <w:tc>
          <w:tcPr>
            <w:tcW w:w="648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U.S. &amp; Canada:</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Canada (1) </w:t>
            </w:r>
            <w:r>
              <w:rPr>
                <w:rFonts w:ascii="Times New Roman" w:cs="Times New Roman" w:eastAsia="Times New Roman" w:hAnsi="Times New Roman"/>
                <w:sz w:val="20"/>
                <w:szCs w:val="20"/>
                <w:color w:val="BABCBE"/>
              </w:rPr>
              <w:t>......................................................................................................</w:t>
            </w:r>
          </w:p>
        </w:tc>
        <w:tc>
          <w:tcPr>
            <w:tcW w:w="260" w:type="dxa"/>
            <w:vAlign w:val="bottom"/>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12.0</w:t>
            </w:r>
          </w:p>
        </w:tc>
        <w:tc>
          <w:tcPr>
            <w:tcW w:w="340" w:type="dxa"/>
            <w:vAlign w:val="bottom"/>
            <w:gridSpan w:val="2"/>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13.3</w:t>
            </w:r>
          </w:p>
        </w:tc>
        <w:tc>
          <w:tcPr>
            <w:tcW w:w="320" w:type="dxa"/>
            <w:vAlign w:val="bottom"/>
            <w:gridSpan w:val="2"/>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United States (2)</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6,629.4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6,353.3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6,182.2</w:t>
            </w:r>
          </w:p>
        </w:tc>
      </w:tr>
      <w:tr>
        <w:trPr>
          <w:trHeight w:val="284"/>
        </w:trPr>
        <w:tc>
          <w:tcPr>
            <w:tcW w:w="648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Africa &amp; APAC (1)(3):</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Australia (4)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Bangladesh </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5.7</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New Zealand (4)</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Philippines</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Burkina Faso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Ghana </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182.8</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126.7</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128.6</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Kenya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120.0</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Niger</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52.4</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51.3</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48.4</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Nigeria</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461.7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384.4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495.4</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South Africa (4)</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172.6</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174.0</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157.9</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Uganda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237.2</w:t>
            </w:r>
          </w:p>
        </w:tc>
      </w:tr>
      <w:tr>
        <w:trPr>
          <w:trHeight w:val="284"/>
        </w:trPr>
        <w:tc>
          <w:tcPr>
            <w:tcW w:w="648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Europe (1):</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France</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113.4</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Germany</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455.5</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402.2</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363.6</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Poland (4)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0.6</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Spain</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351.9</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310.8</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298.0</w:t>
            </w:r>
          </w:p>
        </w:tc>
      </w:tr>
      <w:tr>
        <w:trPr>
          <w:trHeight w:val="274"/>
        </w:trPr>
        <w:tc>
          <w:tcPr>
            <w:tcW w:w="648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Latin America (1):</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Argentina</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43.6</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36.2</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43.8</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Brazil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708.3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786.1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787.3</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Chile </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117.4</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103.7</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106.3</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Colombia </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117.0</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Costa Rica </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25.7</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25.3</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24.7</w:t>
            </w:r>
          </w:p>
        </w:tc>
      </w:tr>
      <w:tr>
        <w:trPr>
          <w:trHeight w:val="274"/>
        </w:trPr>
        <w:tc>
          <w:tcPr>
            <w:tcW w:w="6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Mexico</w:t>
            </w:r>
            <w:r>
              <w:rPr>
                <w:rFonts w:ascii="Times New Roman" w:cs="Times New Roman" w:eastAsia="Times New Roman" w:hAnsi="Times New Roman"/>
                <w:sz w:val="20"/>
                <w:szCs w:val="20"/>
                <w:color w:val="BABCBE"/>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544.9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611.8</w:t>
            </w:r>
          </w:p>
        </w:tc>
      </w:tr>
      <w:tr>
        <w:trPr>
          <w:trHeight w:val="284"/>
        </w:trPr>
        <w:tc>
          <w:tcPr>
            <w:tcW w:w="6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Paraguay</w:t>
            </w:r>
            <w:r>
              <w:rPr>
                <w:rFonts w:ascii="Times New Roman" w:cs="Times New Roman" w:eastAsia="Times New Roman" w:hAnsi="Times New Roman"/>
                <w:sz w:val="20"/>
                <w:szCs w:val="20"/>
                <w:color w:val="BABCBE"/>
              </w:rPr>
              <w:t>.........................................................................................................</w:t>
            </w: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17.6</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6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16.3</w:t>
            </w:r>
          </w:p>
        </w:tc>
      </w:tr>
      <w:tr>
        <w:trPr>
          <w:trHeight w:val="269"/>
        </w:trPr>
        <w:tc>
          <w:tcPr>
            <w:tcW w:w="648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Peru </w:t>
            </w:r>
            <w:r>
              <w:rPr>
                <w:rFonts w:ascii="Times New Roman" w:cs="Times New Roman" w:eastAsia="Times New Roman" w:hAnsi="Times New Roman"/>
                <w:sz w:val="20"/>
                <w:szCs w:val="20"/>
                <w:color w:val="BABCBE"/>
              </w:rPr>
              <w:t>................................................................................................................</w:t>
            </w:r>
          </w:p>
        </w:tc>
        <w:tc>
          <w:tcPr>
            <w:tcW w:w="2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98.9</w:t>
            </w:r>
          </w:p>
        </w:tc>
        <w:tc>
          <w:tcPr>
            <w:tcW w:w="8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60" w:type="dxa"/>
            <w:vAlign w:val="bottom"/>
            <w:tcBorders>
              <w:bottom w:val="single" w:sz="8" w:color="E3E4E5"/>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91.1</w:t>
            </w:r>
          </w:p>
        </w:tc>
      </w:tr>
      <w:tr>
        <w:trPr>
          <w:trHeight w:val="279"/>
        </w:trPr>
        <w:tc>
          <w:tcPr>
            <w:tcW w:w="64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Total operating revenues</w:t>
            </w:r>
            <w:r>
              <w:rPr>
                <w:rFonts w:ascii="Times New Roman" w:cs="Times New Roman" w:eastAsia="Times New Roman" w:hAnsi="Times New Roman"/>
                <w:sz w:val="20"/>
                <w:szCs w:val="20"/>
                <w:color w:val="BABCBE"/>
              </w:rPr>
              <w:t>............................................................................</w:t>
            </w:r>
          </w:p>
        </w:tc>
        <w:tc>
          <w:tcPr>
            <w:tcW w:w="260" w:type="dxa"/>
            <w:vAlign w:val="bottom"/>
            <w:tcBorders>
              <w:bottom w:val="single" w:sz="8" w:color="231F20"/>
            </w:tcBorders>
            <w:shd w:val="clear" w:color="auto" w:fill="E3E4E5"/>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10,644.6</w:t>
            </w:r>
          </w:p>
        </w:tc>
        <w:tc>
          <w:tcPr>
            <w:tcW w:w="8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10,127.2</w:t>
            </w:r>
          </w:p>
        </w:tc>
        <w:tc>
          <w:tcPr>
            <w:tcW w:w="6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-5528945</wp:posOffset>
            </wp:positionV>
            <wp:extent cx="227520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25">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-208280</wp:posOffset>
            </wp:positionV>
            <wp:extent cx="227520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26">
                      <a:extLst>
                        <a:ext uri="{28A0092B-C50C-407E-A947-70E740481C1C}"/>
                      </a:extLst>
                    </a:blip>
                    <a:srcRect/>
                    <a:stretch>
                      <a:fillRect/>
                    </a:stretch>
                  </pic:blipFill>
                  <pic:spPr bwMode="auto">
                    <a:xfrm>
                      <a:off x="0" y="0"/>
                      <a:ext cx="2275205" cy="2540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-43180</wp:posOffset>
            </wp:positionV>
            <wp:extent cx="2275205" cy="501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27">
                      <a:extLst>
                        <a:ext uri="{28A0092B-C50C-407E-A947-70E740481C1C}"/>
                      </a:extLst>
                    </a:blip>
                    <a:srcRect/>
                    <a:stretch>
                      <a:fillRect/>
                    </a:stretch>
                  </pic:blipFill>
                  <pic:spPr bwMode="auto">
                    <a:xfrm>
                      <a:off x="0" y="0"/>
                      <a:ext cx="2275205" cy="50165"/>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are translated at the applicable exchange rate, which may impact comparability between periods.</w:t>
      </w:r>
    </w:p>
    <w:p>
      <w:pPr>
        <w:spacing w:after="0" w:line="3"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include revenue from the Company’s Services and Data Centers segments.</w:t>
      </w:r>
    </w:p>
    <w:p>
      <w:pPr>
        <w:spacing w:after="0" w:line="4" w:lineRule="exact"/>
        <w:rPr>
          <w:rFonts w:ascii="Times New Roman" w:cs="Times New Roman" w:eastAsia="Times New Roman" w:hAnsi="Times New Roman"/>
          <w:sz w:val="16"/>
          <w:szCs w:val="16"/>
          <w:color w:val="231F20"/>
        </w:rPr>
      </w:pPr>
    </w:p>
    <w:p>
      <w:pPr>
        <w:ind w:left="347" w:right="160" w:hanging="347"/>
        <w:spacing w:after="0" w:line="245" w:lineRule="auto"/>
        <w:tabs>
          <w:tab w:leader="none" w:pos="348" w:val="left"/>
        </w:tabs>
        <w:numPr>
          <w:ilvl w:val="0"/>
          <w:numId w:val="1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years ended December 31, 2024 and 2023, excludes the operating results of ATC TIPL, which are reported as discontinued operations. See note 21 for further discussion.</w:t>
      </w:r>
    </w:p>
    <w:p>
      <w:pPr>
        <w:ind w:left="347" w:right="120" w:hanging="347"/>
        <w:spacing w:after="0" w:line="248" w:lineRule="auto"/>
        <w:tabs>
          <w:tab w:leader="none" w:pos="348" w:val="left"/>
        </w:tabs>
        <w:numPr>
          <w:ilvl w:val="0"/>
          <w:numId w:val="12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During the year ended December 31, 2025, the Company completed the sale of South Africa Fiber. During the year ended December 31, 2024, the Company completed the sales of ATC Australia and ATC New Zealand. During the year ended December 31, 2023, the Company completed the sale of ATC Poland.</w:t>
      </w:r>
    </w:p>
    <w:p>
      <w:pPr>
        <w:sectPr>
          <w:pgSz w:w="11880" w:h="15480" w:orient="portrait"/>
          <w:cols w:equalWidth="0" w:num="1">
            <w:col w:w="10027"/>
          </w:cols>
          <w:pgMar w:left="913" w:top="41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231F20"/>
        </w:rPr>
        <w:t>F-53</w:t>
      </w:r>
    </w:p>
    <w:p>
      <w:pPr>
        <w:sectPr>
          <w:pgSz w:w="11880" w:h="15480" w:orient="portrait"/>
          <w:cols w:equalWidth="0" w:num="1">
            <w:col w:w="10027"/>
          </w:cols>
          <w:pgMar w:left="913" w:top="418" w:right="940" w:bottom="0" w:gutter="0" w:footer="0" w:header="0"/>
          <w:type w:val="continuous"/>
        </w:sectPr>
      </w:pPr>
    </w:p>
    <w:bookmarkStart w:id="143" w:name="page144"/>
    <w:bookmarkEnd w:id="143"/>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155"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7720" w:type="dxa"/>
            <w:vAlign w:val="bottom"/>
            <w:tcBorders>
              <w:bottom w:val="single" w:sz="8" w:color="E3E4E5"/>
            </w:tcBorders>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26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70"/>
        </w:trPr>
        <w:tc>
          <w:tcPr>
            <w:tcW w:w="7720" w:type="dxa"/>
            <w:vAlign w:val="bottom"/>
            <w:shd w:val="clear" w:color="auto" w:fill="E3E4E5"/>
          </w:tcPr>
          <w:p>
            <w:pPr>
              <w:jc w:val="right"/>
              <w:ind w:right="5742"/>
              <w:spacing w:after="0"/>
              <w:rPr>
                <w:sz w:val="20"/>
                <w:szCs w:val="20"/>
                <w:color w:val="auto"/>
              </w:rPr>
            </w:pPr>
            <w:r>
              <w:rPr>
                <w:rFonts w:ascii="Times New Roman" w:cs="Times New Roman" w:eastAsia="Times New Roman" w:hAnsi="Times New Roman"/>
                <w:sz w:val="20"/>
                <w:szCs w:val="20"/>
                <w:color w:val="231F20"/>
                <w:w w:val="99"/>
              </w:rPr>
              <w:t>Long-Lived Assets (1):</w:t>
            </w:r>
          </w:p>
        </w:tc>
        <w:tc>
          <w:tcPr>
            <w:tcW w:w="240" w:type="dxa"/>
            <w:vAlign w:val="bottom"/>
            <w:shd w:val="clear" w:color="auto" w:fill="E3E4E5"/>
          </w:tcPr>
          <w:p>
            <w:pPr>
              <w:spacing w:after="0"/>
              <w:rPr>
                <w:sz w:val="23"/>
                <w:szCs w:val="23"/>
                <w:color w:val="auto"/>
              </w:rPr>
            </w:pPr>
          </w:p>
        </w:tc>
        <w:tc>
          <w:tcPr>
            <w:tcW w:w="880" w:type="dxa"/>
            <w:vAlign w:val="bottom"/>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260" w:type="dxa"/>
            <w:vAlign w:val="bottom"/>
            <w:shd w:val="clear" w:color="auto" w:fill="E3E4E5"/>
          </w:tcPr>
          <w:p>
            <w:pPr>
              <w:spacing w:after="0"/>
              <w:rPr>
                <w:sz w:val="23"/>
                <w:szCs w:val="23"/>
                <w:color w:val="auto"/>
              </w:rPr>
            </w:pPr>
          </w:p>
        </w:tc>
        <w:tc>
          <w:tcPr>
            <w:tcW w:w="860" w:type="dxa"/>
            <w:vAlign w:val="bottom"/>
            <w:shd w:val="clear" w:color="auto" w:fill="E3E4E5"/>
          </w:tcPr>
          <w:p>
            <w:pPr>
              <w:spacing w:after="0"/>
              <w:rPr>
                <w:sz w:val="23"/>
                <w:szCs w:val="23"/>
                <w:color w:val="auto"/>
              </w:rPr>
            </w:pPr>
          </w:p>
        </w:tc>
      </w:tr>
      <w:tr>
        <w:trPr>
          <w:trHeight w:val="274"/>
        </w:trPr>
        <w:tc>
          <w:tcPr>
            <w:tcW w:w="772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U.S. &amp; Canada:</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Canada (2) </w:t>
            </w:r>
            <w:r>
              <w:rPr>
                <w:rFonts w:ascii="Times New Roman" w:cs="Times New Roman" w:eastAsia="Times New Roman" w:hAnsi="Times New Roman"/>
                <w:sz w:val="20"/>
                <w:szCs w:val="20"/>
                <w:color w:val="BABCBE"/>
              </w:rPr>
              <w:t>...............................................................................................................................</w:t>
            </w:r>
          </w:p>
        </w:tc>
        <w:tc>
          <w:tcPr>
            <w:tcW w:w="24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205.8</w:t>
            </w:r>
          </w:p>
        </w:tc>
        <w:tc>
          <w:tcPr>
            <w:tcW w:w="34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200.5</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United States (3)</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28,333.1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28,214.3</w:t>
            </w:r>
          </w:p>
        </w:tc>
      </w:tr>
      <w:tr>
        <w:trPr>
          <w:trHeight w:val="284"/>
        </w:trPr>
        <w:tc>
          <w:tcPr>
            <w:tcW w:w="77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Africa &amp; APAC (2):</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spacing w:after="0"/>
              <w:rPr>
                <w:sz w:val="24"/>
                <w:szCs w:val="24"/>
                <w:color w:val="auto"/>
              </w:rPr>
            </w:pP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Bangladesh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Philippines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27.7</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30.2</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Burkina Faso</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230.9</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Ghana</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225.9</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244.9</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Kenya</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665.4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672.7</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Niger</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193.8</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177.1</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Nigeria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325.4</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South Africa (4)</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258.8</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327.4</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Uganda</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939.1</w:t>
            </w:r>
          </w:p>
        </w:tc>
      </w:tr>
      <w:tr>
        <w:trPr>
          <w:trHeight w:val="284"/>
        </w:trPr>
        <w:tc>
          <w:tcPr>
            <w:tcW w:w="77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Europe (2):</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spacing w:after="0"/>
              <w:rPr>
                <w:sz w:val="24"/>
                <w:szCs w:val="24"/>
                <w:color w:val="auto"/>
              </w:rPr>
            </w:pP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France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1,432.6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1,265.6</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Germany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6,208.4</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5,429.5</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Spain</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3,213.9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2,834.8</w:t>
            </w:r>
          </w:p>
        </w:tc>
      </w:tr>
      <w:tr>
        <w:trPr>
          <w:trHeight w:val="284"/>
        </w:trPr>
        <w:tc>
          <w:tcPr>
            <w:tcW w:w="7720" w:type="dxa"/>
            <w:vAlign w:val="bottom"/>
            <w:shd w:val="clear" w:color="auto" w:fill="E3E4E5"/>
          </w:tcPr>
          <w:p>
            <w:pPr>
              <w:ind w:left="260"/>
              <w:spacing w:after="0"/>
              <w:rPr>
                <w:sz w:val="20"/>
                <w:szCs w:val="20"/>
                <w:color w:val="auto"/>
              </w:rPr>
            </w:pPr>
            <w:r>
              <w:rPr>
                <w:rFonts w:ascii="Times New Roman" w:cs="Times New Roman" w:eastAsia="Times New Roman" w:hAnsi="Times New Roman"/>
                <w:sz w:val="20"/>
                <w:szCs w:val="20"/>
                <w:color w:val="231F20"/>
              </w:rPr>
              <w:t>Latin America (2):</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spacing w:after="0"/>
              <w:rPr>
                <w:sz w:val="24"/>
                <w:szCs w:val="24"/>
                <w:color w:val="auto"/>
              </w:rPr>
            </w:pP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Argentina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185.3</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Brazil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1,756.2</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1,592.1</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Chile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560.4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510.1</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Colombia </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264.7</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231.2</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Costa Rica</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106.8</w:t>
            </w:r>
          </w:p>
        </w:tc>
      </w:tr>
      <w:tr>
        <w:trPr>
          <w:trHeight w:val="284"/>
        </w:trPr>
        <w:tc>
          <w:tcPr>
            <w:tcW w:w="77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Mexico</w:t>
            </w:r>
            <w:r>
              <w:rPr>
                <w:rFonts w:ascii="Times New Roman" w:cs="Times New Roman" w:eastAsia="Times New Roman" w:hAnsi="Times New Roman"/>
                <w:sz w:val="20"/>
                <w:szCs w:val="20"/>
                <w:color w:val="BABCBE"/>
              </w:rPr>
              <w:t>.....................................................................................................................................</w:t>
            </w:r>
          </w:p>
        </w:tc>
        <w:tc>
          <w:tcPr>
            <w:tcW w:w="240" w:type="dxa"/>
            <w:vAlign w:val="bottom"/>
            <w:shd w:val="clear" w:color="auto" w:fill="E3E4E5"/>
          </w:tcPr>
          <w:p>
            <w:pPr>
              <w:spacing w:after="0"/>
              <w:rPr>
                <w:sz w:val="24"/>
                <w:szCs w:val="24"/>
                <w:color w:val="auto"/>
              </w:rPr>
            </w:pP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931.2</w:t>
            </w:r>
          </w:p>
        </w:tc>
        <w:tc>
          <w:tcPr>
            <w:tcW w:w="80" w:type="dxa"/>
            <w:vAlign w:val="bottom"/>
            <w:shd w:val="clear" w:color="auto" w:fill="E3E4E5"/>
          </w:tcPr>
          <w:p>
            <w:pPr>
              <w:spacing w:after="0"/>
              <w:rPr>
                <w:sz w:val="24"/>
                <w:szCs w:val="24"/>
                <w:color w:val="auto"/>
              </w:rPr>
            </w:pPr>
          </w:p>
        </w:tc>
        <w:tc>
          <w:tcPr>
            <w:tcW w:w="260" w:type="dxa"/>
            <w:vAlign w:val="bottom"/>
            <w:shd w:val="clear" w:color="auto" w:fill="E3E4E5"/>
          </w:tcPr>
          <w:p>
            <w:pPr>
              <w:spacing w:after="0"/>
              <w:rPr>
                <w:sz w:val="24"/>
                <w:szCs w:val="24"/>
                <w:color w:val="auto"/>
              </w:rPr>
            </w:pPr>
          </w:p>
        </w:tc>
        <w:tc>
          <w:tcPr>
            <w:tcW w:w="8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859.1</w:t>
            </w:r>
          </w:p>
        </w:tc>
      </w:tr>
      <w:tr>
        <w:trPr>
          <w:trHeight w:val="274"/>
        </w:trPr>
        <w:tc>
          <w:tcPr>
            <w:tcW w:w="7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Paraguay </w:t>
            </w:r>
            <w:r>
              <w:rPr>
                <w:rFonts w:ascii="Times New Roman" w:cs="Times New Roman" w:eastAsia="Times New Roman" w:hAnsi="Times New Roman"/>
                <w:sz w:val="20"/>
                <w:szCs w:val="20"/>
                <w:color w:val="BABCBE"/>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86.4</w:t>
            </w:r>
          </w:p>
        </w:tc>
      </w:tr>
      <w:tr>
        <w:trPr>
          <w:trHeight w:val="294"/>
        </w:trPr>
        <w:tc>
          <w:tcPr>
            <w:tcW w:w="772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Peru</w:t>
            </w:r>
            <w:r>
              <w:rPr>
                <w:rFonts w:ascii="Times New Roman" w:cs="Times New Roman" w:eastAsia="Times New Roman" w:hAnsi="Times New Roman"/>
                <w:sz w:val="20"/>
                <w:szCs w:val="20"/>
                <w:color w:val="BABCBE"/>
              </w:rPr>
              <w:t>..........................................................................................................................................</w:t>
            </w:r>
          </w:p>
        </w:tc>
        <w:tc>
          <w:tcPr>
            <w:tcW w:w="240" w:type="dxa"/>
            <w:vAlign w:val="bottom"/>
            <w:tcBorders>
              <w:bottom w:val="single" w:sz="8" w:color="231F20"/>
            </w:tcBorders>
            <w:shd w:val="clear" w:color="auto" w:fill="E3E4E5"/>
          </w:tcPr>
          <w:p>
            <w:pPr>
              <w:spacing w:after="0"/>
              <w:rPr>
                <w:sz w:val="24"/>
                <w:szCs w:val="24"/>
                <w:color w:val="auto"/>
              </w:rPr>
            </w:pPr>
          </w:p>
        </w:tc>
        <w:tc>
          <w:tcPr>
            <w:tcW w:w="8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873.6</w:t>
            </w:r>
          </w:p>
        </w:tc>
        <w:tc>
          <w:tcPr>
            <w:tcW w:w="80" w:type="dxa"/>
            <w:vAlign w:val="bottom"/>
            <w:tcBorders>
              <w:bottom w:val="single" w:sz="8" w:color="E3E4E5"/>
            </w:tcBorders>
            <w:shd w:val="clear" w:color="auto" w:fill="E3E4E5"/>
          </w:tcPr>
          <w:p>
            <w:pPr>
              <w:spacing w:after="0"/>
              <w:rPr>
                <w:sz w:val="24"/>
                <w:szCs w:val="24"/>
                <w:color w:val="auto"/>
              </w:rPr>
            </w:pPr>
          </w:p>
        </w:tc>
        <w:tc>
          <w:tcPr>
            <w:tcW w:w="260" w:type="dxa"/>
            <w:vAlign w:val="bottom"/>
            <w:tcBorders>
              <w:bottom w:val="single" w:sz="8" w:color="231F20"/>
            </w:tcBorders>
            <w:shd w:val="clear" w:color="auto" w:fill="E3E4E5"/>
          </w:tcPr>
          <w:p>
            <w:pPr>
              <w:spacing w:after="0"/>
              <w:rPr>
                <w:sz w:val="24"/>
                <w:szCs w:val="24"/>
                <w:color w:val="auto"/>
              </w:rPr>
            </w:pPr>
          </w:p>
        </w:tc>
        <w:tc>
          <w:tcPr>
            <w:tcW w:w="8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805.6</w:t>
            </w:r>
          </w:p>
        </w:tc>
      </w:tr>
      <w:tr>
        <w:trPr>
          <w:trHeight w:val="220"/>
        </w:trPr>
        <w:tc>
          <w:tcPr>
            <w:tcW w:w="77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 xml:space="preserve">Total long-lived assets </w:t>
            </w:r>
            <w:r>
              <w:rPr>
                <w:rFonts w:ascii="Times New Roman" w:cs="Times New Roman" w:eastAsia="Times New Roman" w:hAnsi="Times New Roman"/>
                <w:sz w:val="20"/>
                <w:szCs w:val="20"/>
                <w:color w:val="BABCBE"/>
              </w:rPr>
              <w:t>........................................................................................................</w:t>
            </w:r>
          </w:p>
        </w:tc>
        <w:tc>
          <w:tcPr>
            <w:tcW w:w="24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47,142.5</w:t>
            </w:r>
          </w:p>
        </w:tc>
        <w:tc>
          <w:tcPr>
            <w:tcW w:w="3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231F20"/>
              </w:rPr>
              <w:t>45,299.2</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4888230</wp:posOffset>
            </wp:positionH>
            <wp:positionV relativeFrom="paragraph">
              <wp:posOffset>-4996815</wp:posOffset>
            </wp:positionV>
            <wp:extent cx="150939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28">
                      <a:extLst>
                        <a:ext uri="{28A0092B-C50C-407E-A947-70E740481C1C}"/>
                      </a:extLst>
                    </a:blip>
                    <a:srcRect/>
                    <a:stretch>
                      <a:fillRect/>
                    </a:stretch>
                  </pic:blipFill>
                  <pic:spPr bwMode="auto">
                    <a:xfrm>
                      <a:off x="0" y="0"/>
                      <a:ext cx="1509395" cy="25400"/>
                    </a:xfrm>
                    <a:prstGeom prst="rect">
                      <a:avLst/>
                    </a:prstGeom>
                    <a:noFill/>
                  </pic:spPr>
                </pic:pic>
              </a:graphicData>
            </a:graphic>
          </wp:anchor>
        </w:drawing>
        <w:drawing>
          <wp:anchor simplePos="0" relativeHeight="251657728" behindDoc="1" locked="0" layoutInCell="0" allowOverlap="1">
            <wp:simplePos x="0" y="0"/>
            <wp:positionH relativeFrom="column">
              <wp:posOffset>4888230</wp:posOffset>
            </wp:positionH>
            <wp:positionV relativeFrom="paragraph">
              <wp:posOffset>-208280</wp:posOffset>
            </wp:positionV>
            <wp:extent cx="150939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29">
                      <a:extLst>
                        <a:ext uri="{28A0092B-C50C-407E-A947-70E740481C1C}"/>
                      </a:extLst>
                    </a:blip>
                    <a:srcRect/>
                    <a:stretch>
                      <a:fillRect/>
                    </a:stretch>
                  </pic:blipFill>
                  <pic:spPr bwMode="auto">
                    <a:xfrm>
                      <a:off x="0" y="0"/>
                      <a:ext cx="1509395"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pacing w:after="0" w:line="7" w:lineRule="exact"/>
        <w:rPr>
          <w:sz w:val="20"/>
          <w:szCs w:val="20"/>
          <w:color w:val="auto"/>
        </w:rPr>
      </w:pPr>
    </w:p>
    <w:p>
      <w:pPr>
        <w:ind w:left="347" w:hanging="347"/>
        <w:spacing w:after="0"/>
        <w:tabs>
          <w:tab w:leader="none" w:pos="347"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Property and equipment, net, Goodwill and Other intangible assets, net.</w:t>
      </w:r>
    </w:p>
    <w:p>
      <w:pPr>
        <w:spacing w:after="0" w:line="3"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are translated at the applicable period end exchange rate, which may impact comparability between periods.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Balances include the Company’s data centers assets located in the United States and corporate assets.</w:t>
      </w:r>
    </w:p>
    <w:p>
      <w:pPr>
        <w:spacing w:after="0" w:line="4"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 of December 31, 2024, included assets associated with South Africa Fiber, which was sold during the year ended December 31, 2025.</w:t>
      </w:r>
    </w:p>
    <w:p>
      <w:pPr>
        <w:spacing w:after="0" w:line="132" w:lineRule="exact"/>
        <w:rPr>
          <w:sz w:val="20"/>
          <w:szCs w:val="20"/>
          <w:color w:val="auto"/>
        </w:rPr>
      </w:pPr>
    </w:p>
    <w:p>
      <w:pPr>
        <w:ind w:left="7" w:right="100"/>
        <w:spacing w:after="0" w:line="273" w:lineRule="auto"/>
        <w:rPr>
          <w:sz w:val="20"/>
          <w:szCs w:val="20"/>
          <w:color w:val="auto"/>
        </w:rPr>
      </w:pPr>
      <w:r>
        <w:rPr>
          <w:rFonts w:ascii="Times New Roman" w:cs="Times New Roman" w:eastAsia="Times New Roman" w:hAnsi="Times New Roman"/>
          <w:sz w:val="20"/>
          <w:szCs w:val="20"/>
          <w:color w:val="231F20"/>
        </w:rPr>
        <w:t>The following customers within the property and services segments individually accounted for 10% or more of the Company’s consolidated operating revenues for the years ended December 31,:</w:t>
      </w:r>
    </w:p>
    <w:p>
      <w:pPr>
        <w:spacing w:after="0" w:line="20"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80" w:type="dxa"/>
            <w:vAlign w:val="bottom"/>
            <w:tcBorders>
              <w:bottom w:val="single" w:sz="8" w:color="E3E4E5"/>
            </w:tcBorders>
          </w:tcPr>
          <w:p>
            <w:pPr>
              <w:spacing w:after="0"/>
              <w:rPr>
                <w:sz w:val="18"/>
                <w:szCs w:val="18"/>
                <w:color w:val="auto"/>
              </w:rPr>
            </w:pPr>
          </w:p>
        </w:tc>
        <w:tc>
          <w:tcPr>
            <w:tcW w:w="1120" w:type="dxa"/>
            <w:vAlign w:val="bottom"/>
            <w:tcBorders>
              <w:bottom w:val="single" w:sz="8" w:color="231F20"/>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3E4E5"/>
            </w:tcBorders>
          </w:tcPr>
          <w:p>
            <w:pPr>
              <w:spacing w:after="0"/>
              <w:rPr>
                <w:sz w:val="18"/>
                <w:szCs w:val="18"/>
                <w:color w:val="auto"/>
              </w:rPr>
            </w:pPr>
          </w:p>
        </w:tc>
        <w:tc>
          <w:tcPr>
            <w:tcW w:w="114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3E4E5"/>
            </w:tcBorders>
          </w:tcPr>
          <w:p>
            <w:pPr>
              <w:spacing w:after="0"/>
              <w:rPr>
                <w:sz w:val="18"/>
                <w:szCs w:val="18"/>
                <w:color w:val="auto"/>
              </w:rPr>
            </w:pPr>
          </w:p>
        </w:tc>
        <w:tc>
          <w:tcPr>
            <w:tcW w:w="114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69"/>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T-Mobile </w:t>
            </w:r>
            <w:r>
              <w:rPr>
                <w:rFonts w:ascii="Times New Roman" w:cs="Times New Roman" w:eastAsia="Times New Roman" w:hAnsi="Times New Roman"/>
                <w:sz w:val="20"/>
                <w:szCs w:val="20"/>
                <w:color w:val="BABCBE"/>
                <w:w w:val="98"/>
              </w:rPr>
              <w:t>..................................................................................................................</w:t>
            </w:r>
          </w:p>
        </w:tc>
        <w:tc>
          <w:tcPr>
            <w:tcW w:w="11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18 %</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19 %</w:t>
            </w:r>
          </w:p>
        </w:tc>
        <w:tc>
          <w:tcPr>
            <w:tcW w:w="1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19 %</w:t>
            </w:r>
          </w:p>
        </w:tc>
      </w:tr>
      <w:tr>
        <w:trPr>
          <w:trHeight w:val="274"/>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AT&amp;T</w:t>
            </w:r>
            <w:r>
              <w:rPr>
                <w:rFonts w:ascii="Times New Roman" w:cs="Times New Roman" w:eastAsia="Times New Roman" w:hAnsi="Times New Roman"/>
                <w:sz w:val="20"/>
                <w:szCs w:val="20"/>
                <w:color w:val="BABCBE"/>
                <w:w w:val="9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18 %</w:t>
            </w:r>
          </w:p>
        </w:tc>
      </w:tr>
      <w:tr>
        <w:trPr>
          <w:trHeight w:val="284"/>
        </w:trPr>
        <w:tc>
          <w:tcPr>
            <w:tcW w:w="64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Verizon Wireless</w:t>
            </w:r>
            <w:r>
              <w:rPr>
                <w:rFonts w:ascii="Times New Roman" w:cs="Times New Roman" w:eastAsia="Times New Roman" w:hAnsi="Times New Roman"/>
                <w:sz w:val="20"/>
                <w:szCs w:val="20"/>
                <w:color w:val="BABCBE"/>
                <w:w w:val="98"/>
              </w:rPr>
              <w:t>......................................................................................................</w:t>
            </w:r>
          </w:p>
        </w:tc>
        <w:tc>
          <w:tcPr>
            <w:tcW w:w="11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14 %</w:t>
            </w:r>
          </w:p>
        </w:tc>
        <w:tc>
          <w:tcPr>
            <w:tcW w:w="12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13 %</w:t>
            </w:r>
          </w:p>
        </w:tc>
        <w:tc>
          <w:tcPr>
            <w:tcW w:w="120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14 %</w:t>
            </w:r>
          </w:p>
        </w:tc>
      </w:tr>
      <w:tr>
        <w:trPr>
          <w:trHeight w:val="269"/>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Telefónica</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-715010</wp:posOffset>
            </wp:positionV>
            <wp:extent cx="227520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30">
                      <a:extLst>
                        <a:ext uri="{28A0092B-C50C-407E-A947-70E740481C1C}"/>
                      </a:extLst>
                    </a:blip>
                    <a:srcRect/>
                    <a:stretch>
                      <a:fillRect/>
                    </a:stretch>
                  </pic:blipFill>
                  <pic:spPr bwMode="auto">
                    <a:xfrm>
                      <a:off x="0" y="0"/>
                      <a:ext cx="2275205" cy="25400"/>
                    </a:xfrm>
                    <a:prstGeom prst="rect">
                      <a:avLst/>
                    </a:prstGeom>
                    <a:noFill/>
                  </pic:spPr>
                </pic:pic>
              </a:graphicData>
            </a:graphic>
          </wp:anchor>
        </w:drawing>
      </w:r>
    </w:p>
    <w:p>
      <w:pPr>
        <w:spacing w:after="0" w:line="216" w:lineRule="exact"/>
        <w:rPr>
          <w:sz w:val="20"/>
          <w:szCs w:val="20"/>
          <w:color w:val="auto"/>
        </w:rPr>
      </w:pPr>
    </w:p>
    <w:p>
      <w:pPr>
        <w:ind w:left="7"/>
        <w:spacing w:after="0"/>
        <w:tabs>
          <w:tab w:leader="none" w:pos="427" w:val="left"/>
        </w:tabs>
        <w:rPr>
          <w:sz w:val="20"/>
          <w:szCs w:val="20"/>
          <w:color w:val="auto"/>
        </w:rPr>
      </w:pPr>
      <w:r>
        <w:rPr>
          <w:rFonts w:ascii="Times New Roman" w:cs="Times New Roman" w:eastAsia="Times New Roman" w:hAnsi="Times New Roman"/>
          <w:sz w:val="20"/>
          <w:szCs w:val="20"/>
          <w:b w:val="1"/>
          <w:bCs w:val="1"/>
          <w:color w:val="231F20"/>
        </w:rPr>
        <w:t>20.</w:t>
      </w:r>
      <w:r>
        <w:rPr>
          <w:sz w:val="20"/>
          <w:szCs w:val="20"/>
          <w:color w:val="auto"/>
        </w:rPr>
        <w:tab/>
      </w:r>
      <w:r>
        <w:rPr>
          <w:rFonts w:ascii="Times New Roman" w:cs="Times New Roman" w:eastAsia="Times New Roman" w:hAnsi="Times New Roman"/>
          <w:sz w:val="19"/>
          <w:szCs w:val="19"/>
          <w:b w:val="1"/>
          <w:bCs w:val="1"/>
          <w:color w:val="231F20"/>
        </w:rPr>
        <w:t>RELATED PARTY TRANSACTIONS</w:t>
      </w:r>
    </w:p>
    <w:p>
      <w:pPr>
        <w:spacing w:after="0" w:line="2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During the years ended December 31, 2025, 2024 and 2023, the Company had no significant related party transactions.</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F-54</w:t>
      </w:r>
    </w:p>
    <w:p>
      <w:pPr>
        <w:sectPr>
          <w:pgSz w:w="11880" w:h="15480" w:orient="portrait"/>
          <w:cols w:equalWidth="0" w:num="1">
            <w:col w:w="10047"/>
          </w:cols>
          <w:pgMar w:left="913" w:top="418" w:right="920" w:bottom="0" w:gutter="0" w:footer="0" w:header="0"/>
          <w:type w:val="continuous"/>
        </w:sectPr>
      </w:pPr>
    </w:p>
    <w:bookmarkStart w:id="144" w:name="page145"/>
    <w:bookmarkEnd w:id="144"/>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75" w:lineRule="exact"/>
        <w:rPr>
          <w:sz w:val="20"/>
          <w:szCs w:val="20"/>
          <w:color w:val="auto"/>
        </w:rPr>
      </w:pPr>
    </w:p>
    <w:p>
      <w:pPr>
        <w:ind w:left="707" w:hanging="707"/>
        <w:spacing w:after="0"/>
        <w:tabs>
          <w:tab w:leader="none" w:pos="707" w:val="left"/>
        </w:tabs>
        <w:numPr>
          <w:ilvl w:val="0"/>
          <w:numId w:val="12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DISCONTINUED OPERATIONS</w:t>
      </w:r>
    </w:p>
    <w:p>
      <w:pPr>
        <w:spacing w:after="0" w:line="169" w:lineRule="exact"/>
        <w:rPr>
          <w:sz w:val="20"/>
          <w:szCs w:val="20"/>
          <w:color w:val="auto"/>
        </w:rPr>
      </w:pPr>
    </w:p>
    <w:p>
      <w:pPr>
        <w:ind w:left="7" w:right="40"/>
        <w:spacing w:after="0" w:line="265" w:lineRule="auto"/>
        <w:rPr>
          <w:sz w:val="20"/>
          <w:szCs w:val="20"/>
          <w:color w:val="auto"/>
        </w:rPr>
      </w:pPr>
      <w:r>
        <w:rPr>
          <w:rFonts w:ascii="Times New Roman" w:cs="Times New Roman" w:eastAsia="Times New Roman" w:hAnsi="Times New Roman"/>
          <w:sz w:val="19"/>
          <w:szCs w:val="19"/>
          <w:color w:val="231F20"/>
        </w:rPr>
        <w:t>On January 4, 2024, the Company, through its subsidiaries ATC Asia Pacific Pte. Ltd. and ATC Telecom Infrastructure Private Limited (“ATC TIPL”), entered into an agreement with Data Infrastructure Trust (“DIT”), an infrastructure investment trust sponsored by an affiliate of Brookfield Asset Management, pursuant to which DIT agreed to acquire a 100% ownership interest in ATC TIPL (the “ATC TIPL Transaction”). Per the terms of the agreement, total aggregate consideration represented up to approximately 210 billion Indian Rupees (“INR”) (approximately $2.5 billion), including the value of the VIL OCDs and the VIL Shares (each as defined and further discussed below), payments on certain existing customer receivables, the repayment of existing intercompany debt and the repayment, or assumption, of the Company’s existing term loan in India, by DIT.</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31F20"/>
        </w:rPr>
        <w:t>During the year ended December 31, 2024, ATC TIPL distributed approximately 29.6 billion INR (approximately</w:t>
      </w:r>
    </w:p>
    <w:p>
      <w:pPr>
        <w:spacing w:after="0" w:line="27" w:lineRule="exact"/>
        <w:rPr>
          <w:sz w:val="20"/>
          <w:szCs w:val="20"/>
          <w:color w:val="auto"/>
        </w:rPr>
      </w:pPr>
    </w:p>
    <w:p>
      <w:pPr>
        <w:ind w:left="7" w:right="420"/>
        <w:spacing w:after="0" w:line="248" w:lineRule="auto"/>
        <w:rPr>
          <w:sz w:val="20"/>
          <w:szCs w:val="20"/>
          <w:color w:val="auto"/>
        </w:rPr>
      </w:pPr>
      <w:r>
        <w:rPr>
          <w:rFonts w:ascii="Times New Roman" w:cs="Times New Roman" w:eastAsia="Times New Roman" w:hAnsi="Times New Roman"/>
          <w:sz w:val="20"/>
          <w:szCs w:val="20"/>
          <w:color w:val="231F20"/>
        </w:rPr>
        <w:t>$354.1 million) to the Company, which included the value of the VIL Shares and the VIL OCDs and the satisfaction of the economic benefit associated with the rights to payments on certain existing customer receivables. The distributions were deducted from the total aggregate consideration received by the Company at closing.</w:t>
      </w:r>
    </w:p>
    <w:p>
      <w:pPr>
        <w:spacing w:after="0" w:line="128" w:lineRule="exact"/>
        <w:rPr>
          <w:sz w:val="20"/>
          <w:szCs w:val="20"/>
          <w:color w:val="auto"/>
        </w:rPr>
      </w:pPr>
    </w:p>
    <w:p>
      <w:pPr>
        <w:ind w:left="7" w:right="320"/>
        <w:spacing w:after="0" w:line="256" w:lineRule="auto"/>
        <w:rPr>
          <w:sz w:val="20"/>
          <w:szCs w:val="20"/>
          <w:color w:val="auto"/>
        </w:rPr>
      </w:pPr>
      <w:r>
        <w:rPr>
          <w:rFonts w:ascii="Times New Roman" w:cs="Times New Roman" w:eastAsia="Times New Roman" w:hAnsi="Times New Roman"/>
          <w:sz w:val="20"/>
          <w:szCs w:val="20"/>
          <w:color w:val="231F20"/>
        </w:rPr>
        <w:t>The ATC TIPL Transaction received all government and regulatory approvals during the three months ended September 30, 2024, and on September 12, 2024, the Company completed the sale of ATC TIPL and received total consideration of</w:t>
      </w:r>
    </w:p>
    <w:p>
      <w:pPr>
        <w:spacing w:after="0" w:line="1" w:lineRule="exact"/>
        <w:rPr>
          <w:sz w:val="20"/>
          <w:szCs w:val="20"/>
          <w:color w:val="auto"/>
        </w:rPr>
      </w:pPr>
    </w:p>
    <w:p>
      <w:pPr>
        <w:ind w:left="7" w:right="600"/>
        <w:spacing w:after="0" w:line="250" w:lineRule="auto"/>
        <w:rPr>
          <w:sz w:val="20"/>
          <w:szCs w:val="20"/>
          <w:color w:val="auto"/>
        </w:rPr>
      </w:pPr>
      <w:r>
        <w:rPr>
          <w:rFonts w:ascii="Times New Roman" w:cs="Times New Roman" w:eastAsia="Times New Roman" w:hAnsi="Times New Roman"/>
          <w:sz w:val="20"/>
          <w:szCs w:val="20"/>
          <w:color w:val="231F20"/>
        </w:rPr>
        <w:t>182 billion INR (approximately $2.2 billion). The Company used the proceeds from the ATC TIPL Transaction to repay existing indebtedness under the 2021 Multicurrency Credit Facility.</w:t>
      </w:r>
    </w:p>
    <w:p>
      <w:pPr>
        <w:spacing w:after="0" w:line="127" w:lineRule="exact"/>
        <w:rPr>
          <w:sz w:val="20"/>
          <w:szCs w:val="20"/>
          <w:color w:val="auto"/>
        </w:rPr>
      </w:pPr>
    </w:p>
    <w:p>
      <w:pPr>
        <w:ind w:left="7" w:right="240"/>
        <w:spacing w:after="0" w:line="254" w:lineRule="auto"/>
        <w:rPr>
          <w:sz w:val="20"/>
          <w:szCs w:val="20"/>
          <w:color w:val="auto"/>
        </w:rPr>
      </w:pPr>
      <w:r>
        <w:rPr>
          <w:rFonts w:ascii="Times New Roman" w:cs="Times New Roman" w:eastAsia="Times New Roman" w:hAnsi="Times New Roman"/>
          <w:sz w:val="20"/>
          <w:szCs w:val="20"/>
          <w:color w:val="231F20"/>
        </w:rPr>
        <w:t>The Company recorded a loss on the sale of ATC TIPL of $1.2 billion, which primarily included the reclassification of the Company’s cumulative translation adjustment in India upon exiting the market of $1.1 billion. The loss on sale of ATC TIPL was included in Loss from discontinued operations, net of taxes in the consolidated statements of operations for year ended December 31, 2024.</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294"/>
        </w:trPr>
        <w:tc>
          <w:tcPr>
            <w:tcW w:w="7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Proceeds received at closing</w:t>
            </w:r>
            <w:r>
              <w:rPr>
                <w:rFonts w:ascii="Times New Roman" w:cs="Times New Roman" w:eastAsia="Times New Roman" w:hAnsi="Times New Roman"/>
                <w:sz w:val="20"/>
                <w:szCs w:val="20"/>
                <w:color w:val="BABCBE"/>
                <w:w w:val="98"/>
              </w:rPr>
              <w:t>.......................................................................................................</w:t>
            </w:r>
          </w:p>
        </w:tc>
        <w:tc>
          <w:tcPr>
            <w:tcW w:w="1040" w:type="dxa"/>
            <w:vAlign w:val="bottom"/>
            <w:shd w:val="clear" w:color="auto" w:fill="E3E4E5"/>
          </w:tcPr>
          <w:p>
            <w:pPr>
              <w:jc w:val="right"/>
              <w:ind w:right="782"/>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2,158.8</w:t>
            </w:r>
          </w:p>
        </w:tc>
      </w:tr>
      <w:tr>
        <w:trPr>
          <w:trHeight w:val="284"/>
        </w:trPr>
        <w:tc>
          <w:tcPr>
            <w:tcW w:w="73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8"/>
              </w:rPr>
              <w:t>Net assets at closing</w:t>
            </w:r>
            <w:r>
              <w:rPr>
                <w:rFonts w:ascii="Times New Roman" w:cs="Times New Roman" w:eastAsia="Times New Roman" w:hAnsi="Times New Roman"/>
                <w:sz w:val="20"/>
                <w:szCs w:val="20"/>
                <w:color w:val="BABCBE"/>
                <w:w w:val="98"/>
              </w:rPr>
              <w:t>....................................................................................................................</w:t>
            </w:r>
          </w:p>
        </w:tc>
        <w:tc>
          <w:tcPr>
            <w:tcW w:w="104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(2,257.6)</w:t>
            </w:r>
          </w:p>
        </w:tc>
      </w:tr>
      <w:tr>
        <w:trPr>
          <w:trHeight w:val="284"/>
        </w:trPr>
        <w:tc>
          <w:tcPr>
            <w:tcW w:w="7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Loss on sale</w:t>
            </w:r>
            <w:r>
              <w:rPr>
                <w:rFonts w:ascii="Times New Roman" w:cs="Times New Roman" w:eastAsia="Times New Roman" w:hAnsi="Times New Roman"/>
                <w:sz w:val="20"/>
                <w:szCs w:val="20"/>
                <w:color w:val="BABCBE"/>
                <w:w w:val="98"/>
              </w:rPr>
              <w:t>.................................................................................................................................</w:t>
            </w:r>
          </w:p>
        </w:tc>
        <w:tc>
          <w:tcPr>
            <w:tcW w:w="1040" w:type="dxa"/>
            <w:vAlign w:val="bottom"/>
            <w:shd w:val="clear" w:color="auto" w:fill="E3E4E5"/>
          </w:tcPr>
          <w:p>
            <w:pPr>
              <w:jc w:val="right"/>
              <w:ind w:right="782"/>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(98.8)</w:t>
            </w:r>
          </w:p>
        </w:tc>
      </w:tr>
      <w:tr>
        <w:trPr>
          <w:trHeight w:val="288"/>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Deal costs</w:t>
            </w:r>
            <w:r>
              <w:rPr>
                <w:rFonts w:ascii="Times New Roman" w:cs="Times New Roman" w:eastAsia="Times New Roman" w:hAnsi="Times New Roman"/>
                <w:sz w:val="20"/>
                <w:szCs w:val="20"/>
                <w:color w:val="BABCBE"/>
                <w:w w:val="98"/>
              </w:rPr>
              <w:t>....................................................................................................................................</w:t>
            </w:r>
          </w:p>
        </w:tc>
        <w:tc>
          <w:tcPr>
            <w:tcW w:w="10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w:t>
            </w:r>
          </w:p>
        </w:tc>
      </w:tr>
      <w:tr>
        <w:trPr>
          <w:trHeight w:val="300"/>
        </w:trPr>
        <w:tc>
          <w:tcPr>
            <w:tcW w:w="7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Contingent liability for tax indemnification </w:t>
            </w:r>
            <w:r>
              <w:rPr>
                <w:rFonts w:ascii="Times New Roman" w:cs="Times New Roman" w:eastAsia="Times New Roman" w:hAnsi="Times New Roman"/>
                <w:sz w:val="20"/>
                <w:szCs w:val="20"/>
                <w:color w:val="BABCBE"/>
                <w:w w:val="98"/>
              </w:rPr>
              <w:t>...............................................................................</w:t>
            </w:r>
          </w:p>
        </w:tc>
        <w:tc>
          <w:tcPr>
            <w:tcW w:w="1040" w:type="dxa"/>
            <w:vAlign w:val="bottom"/>
            <w:shd w:val="clear" w:color="auto" w:fill="E3E4E5"/>
          </w:tcPr>
          <w:p>
            <w:pPr>
              <w:spacing w:after="0"/>
              <w:rPr>
                <w:sz w:val="24"/>
                <w:szCs w:val="24"/>
                <w:color w:val="auto"/>
              </w:rPr>
            </w:pPr>
          </w:p>
        </w:tc>
        <w:tc>
          <w:tcPr>
            <w:tcW w:w="16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(53.9)</w:t>
            </w:r>
          </w:p>
        </w:tc>
      </w:tr>
      <w:tr>
        <w:trPr>
          <w:trHeight w:val="284"/>
        </w:trPr>
        <w:tc>
          <w:tcPr>
            <w:tcW w:w="7380" w:type="dxa"/>
            <w:vAlign w:val="bottom"/>
            <w:tcBorders>
              <w:bottom w:val="single" w:sz="8" w:color="E3E4E5"/>
            </w:tcBorders>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Reclassification of cumulative translation adjustment </w:t>
            </w:r>
            <w:r>
              <w:rPr>
                <w:rFonts w:ascii="Times New Roman" w:cs="Times New Roman" w:eastAsia="Times New Roman" w:hAnsi="Times New Roman"/>
                <w:sz w:val="20"/>
                <w:szCs w:val="20"/>
                <w:color w:val="BABCBE"/>
                <w:w w:val="98"/>
              </w:rPr>
              <w:t>...............................................................</w:t>
            </w:r>
          </w:p>
        </w:tc>
        <w:tc>
          <w:tcPr>
            <w:tcW w:w="104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(1,072.3)</w:t>
            </w:r>
          </w:p>
        </w:tc>
      </w:tr>
      <w:tr>
        <w:trPr>
          <w:trHeight w:val="294"/>
        </w:trPr>
        <w:tc>
          <w:tcPr>
            <w:tcW w:w="738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Total loss on sale included in loss from discontinued operations, net of taxes </w:t>
            </w:r>
            <w:r>
              <w:rPr>
                <w:rFonts w:ascii="Times New Roman" w:cs="Times New Roman" w:eastAsia="Times New Roman" w:hAnsi="Times New Roman"/>
                <w:sz w:val="20"/>
                <w:szCs w:val="20"/>
                <w:color w:val="BABCBE"/>
                <w:w w:val="98"/>
              </w:rPr>
              <w:t>..........................</w:t>
            </w:r>
          </w:p>
        </w:tc>
        <w:tc>
          <w:tcPr>
            <w:tcW w:w="1040" w:type="dxa"/>
            <w:vAlign w:val="bottom"/>
            <w:tcBorders>
              <w:bottom w:val="single" w:sz="8" w:color="231F20"/>
            </w:tcBorders>
            <w:shd w:val="clear" w:color="auto" w:fill="E3E4E5"/>
          </w:tcPr>
          <w:p>
            <w:pPr>
              <w:jc w:val="right"/>
              <w:ind w:right="782"/>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-963930</wp:posOffset>
            </wp:positionV>
            <wp:extent cx="171513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31">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-217170</wp:posOffset>
            </wp:positionV>
            <wp:extent cx="17151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32">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-43180</wp:posOffset>
            </wp:positionV>
            <wp:extent cx="1715135" cy="501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33">
                      <a:extLst>
                        <a:ext uri="{28A0092B-C50C-407E-A947-70E740481C1C}"/>
                      </a:extLst>
                    </a:blip>
                    <a:srcRect/>
                    <a:stretch>
                      <a:fillRect/>
                    </a:stretch>
                  </pic:blipFill>
                  <pic:spPr bwMode="auto">
                    <a:xfrm>
                      <a:off x="0" y="0"/>
                      <a:ext cx="1715135" cy="50165"/>
                    </a:xfrm>
                    <a:prstGeom prst="rect">
                      <a:avLst/>
                    </a:prstGeom>
                    <a:noFill/>
                  </pic:spPr>
                </pic:pic>
              </a:graphicData>
            </a:graphic>
          </wp:anchor>
        </w:drawing>
      </w:r>
    </w:p>
    <w:p>
      <w:pPr>
        <w:spacing w:after="0" w:line="145" w:lineRule="exact"/>
        <w:rPr>
          <w:sz w:val="20"/>
          <w:szCs w:val="20"/>
          <w:color w:val="auto"/>
        </w:rPr>
      </w:pPr>
    </w:p>
    <w:p>
      <w:pPr>
        <w:ind w:left="7" w:right="100"/>
        <w:spacing w:after="0" w:line="273" w:lineRule="auto"/>
        <w:rPr>
          <w:sz w:val="20"/>
          <w:szCs w:val="20"/>
          <w:color w:val="auto"/>
        </w:rPr>
      </w:pPr>
      <w:r>
        <w:rPr>
          <w:rFonts w:ascii="Times New Roman" w:cs="Times New Roman" w:eastAsia="Times New Roman" w:hAnsi="Times New Roman"/>
          <w:sz w:val="20"/>
          <w:szCs w:val="20"/>
          <w:color w:val="231F20"/>
        </w:rPr>
        <w:t>The following table presents key components of Loss from discontinued operations, net of taxes in the consolidated statements of operations:</w:t>
      </w:r>
    </w:p>
    <w:p>
      <w:pPr>
        <w:spacing w:after="0" w:line="79"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1980" w:type="dxa"/>
            <w:vAlign w:val="bottom"/>
            <w:tcBorders>
              <w:bottom w:val="single" w:sz="8" w:color="231F20"/>
            </w:tcBorders>
            <w:gridSpan w:val="6"/>
          </w:tcPr>
          <w:p>
            <w:pPr>
              <w:ind w:lef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40" w:type="dxa"/>
            <w:vAlign w:val="bottom"/>
            <w:tcBorders>
              <w:bottom w:val="single" w:sz="8" w:color="231F20"/>
            </w:tcBorders>
          </w:tcPr>
          <w:p>
            <w:pPr>
              <w:spacing w:after="0"/>
              <w:rPr>
                <w:sz w:val="18"/>
                <w:szCs w:val="18"/>
                <w:color w:val="auto"/>
              </w:rPr>
            </w:pPr>
          </w:p>
        </w:tc>
      </w:tr>
      <w:tr>
        <w:trPr>
          <w:trHeight w:val="274"/>
        </w:trPr>
        <w:tc>
          <w:tcPr>
            <w:tcW w:w="6400" w:type="dxa"/>
            <w:vAlign w:val="bottom"/>
            <w:tcBorders>
              <w:bottom w:val="single" w:sz="8" w:color="E3E4E5"/>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60" w:type="dxa"/>
            <w:vAlign w:val="bottom"/>
            <w:tcBorders>
              <w:bottom w:val="single" w:sz="8" w:color="231F20"/>
            </w:tcBorders>
          </w:tcPr>
          <w:p>
            <w:pPr>
              <w:spacing w:after="0"/>
              <w:rPr>
                <w:sz w:val="23"/>
                <w:szCs w:val="23"/>
                <w:color w:val="auto"/>
              </w:rPr>
            </w:pPr>
          </w:p>
        </w:tc>
        <w:tc>
          <w:tcPr>
            <w:tcW w:w="60" w:type="dxa"/>
            <w:vAlign w:val="bottom"/>
            <w:tcBorders>
              <w:bottom w:val="single" w:sz="8" w:color="E3E4E5"/>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231F20"/>
              </w:rPr>
              <w:t>2024 (1)</w:t>
            </w:r>
          </w:p>
        </w:tc>
        <w:tc>
          <w:tcPr>
            <w:tcW w:w="6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84"/>
        </w:trPr>
        <w:tc>
          <w:tcPr>
            <w:tcW w:w="6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Revenue </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jc w:val="right"/>
              <w:ind w:right="567"/>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911.2</w:t>
            </w:r>
          </w:p>
        </w:tc>
        <w:tc>
          <w:tcPr>
            <w:tcW w:w="38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1,132.0</w:t>
            </w:r>
          </w:p>
        </w:tc>
      </w:tr>
      <w:tr>
        <w:trPr>
          <w:trHeight w:val="288"/>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Cost of operations</w:t>
            </w:r>
            <w:r>
              <w:rPr>
                <w:rFonts w:ascii="Times New Roman" w:cs="Times New Roman" w:eastAsia="Times New Roman" w:hAnsi="Times New Roman"/>
                <w:sz w:val="20"/>
                <w:szCs w:val="20"/>
                <w:color w:val="BABCBE"/>
                <w:w w:val="98"/>
              </w:rPr>
              <w:t>...................................................................................................</w:t>
            </w:r>
          </w:p>
        </w:tc>
        <w:tc>
          <w:tcPr>
            <w:tcW w:w="8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(699.1)</w:t>
            </w:r>
          </w:p>
        </w:tc>
      </w:tr>
      <w:tr>
        <w:trPr>
          <w:trHeight w:val="300"/>
        </w:trPr>
        <w:tc>
          <w:tcPr>
            <w:tcW w:w="6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Depreciation, amortization and accretion</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spacing w:after="0"/>
              <w:rPr>
                <w:sz w:val="24"/>
                <w:szCs w:val="24"/>
                <w:color w:val="auto"/>
              </w:rPr>
            </w:pPr>
          </w:p>
        </w:tc>
        <w:tc>
          <w:tcPr>
            <w:tcW w:w="360" w:type="dxa"/>
            <w:vAlign w:val="bottom"/>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(96.0)</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(158.0)</w:t>
            </w:r>
          </w:p>
        </w:tc>
      </w:tr>
      <w:tr>
        <w:trPr>
          <w:trHeight w:val="288"/>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Selling, general, administrative and development expense </w:t>
            </w:r>
            <w:r>
              <w:rPr>
                <w:rFonts w:ascii="Times New Roman" w:cs="Times New Roman" w:eastAsia="Times New Roman" w:hAnsi="Times New Roman"/>
                <w:sz w:val="20"/>
                <w:szCs w:val="20"/>
                <w:color w:val="BABCBE"/>
                <w:w w:val="98"/>
              </w:rPr>
              <w:t>....................................</w:t>
            </w:r>
          </w:p>
        </w:tc>
        <w:tc>
          <w:tcPr>
            <w:tcW w:w="8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(46.5)</w:t>
            </w:r>
          </w:p>
        </w:tc>
      </w:tr>
      <w:tr>
        <w:trPr>
          <w:trHeight w:val="300"/>
        </w:trPr>
        <w:tc>
          <w:tcPr>
            <w:tcW w:w="6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Other operating expense </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spacing w:after="0"/>
              <w:rPr>
                <w:sz w:val="24"/>
                <w:szCs w:val="24"/>
                <w:color w:val="auto"/>
              </w:rPr>
            </w:pPr>
          </w:p>
        </w:tc>
        <w:tc>
          <w:tcPr>
            <w:tcW w:w="360" w:type="dxa"/>
            <w:vAlign w:val="bottom"/>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(7.0)</w:t>
            </w:r>
          </w:p>
        </w:tc>
      </w:tr>
      <w:tr>
        <w:trPr>
          <w:trHeight w:val="288"/>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Loss on sale of ATC TIPL (2) </w:t>
            </w:r>
            <w:r>
              <w:rPr>
                <w:rFonts w:ascii="Times New Roman" w:cs="Times New Roman" w:eastAsia="Times New Roman" w:hAnsi="Times New Roman"/>
                <w:sz w:val="20"/>
                <w:szCs w:val="20"/>
                <w:color w:val="BABCBE"/>
                <w:w w:val="98"/>
              </w:rPr>
              <w:t>................................................................................</w:t>
            </w:r>
          </w:p>
        </w:tc>
        <w:tc>
          <w:tcPr>
            <w:tcW w:w="8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9"/>
        </w:trPr>
        <w:tc>
          <w:tcPr>
            <w:tcW w:w="64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Goodwill impairment</w:t>
            </w:r>
            <w:r>
              <w:rPr>
                <w:rFonts w:ascii="Times New Roman" w:cs="Times New Roman" w:eastAsia="Times New Roman" w:hAnsi="Times New Roman"/>
                <w:sz w:val="20"/>
                <w:szCs w:val="20"/>
                <w:color w:val="BABCBE"/>
                <w:w w:val="98"/>
              </w:rPr>
              <w:t>..............................................................................................</w:t>
            </w:r>
          </w:p>
        </w:tc>
        <w:tc>
          <w:tcPr>
            <w:tcW w:w="820" w:type="dxa"/>
            <w:vAlign w:val="bottom"/>
            <w:tcBorders>
              <w:bottom w:val="single" w:sz="8" w:color="231F20"/>
            </w:tcBorders>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(322.0)</w:t>
            </w:r>
          </w:p>
        </w:tc>
      </w:tr>
      <w:tr>
        <w:trPr>
          <w:trHeight w:val="259"/>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Operating loss </w:t>
            </w:r>
            <w:r>
              <w:rPr>
                <w:rFonts w:ascii="Times New Roman" w:cs="Times New Roman" w:eastAsia="Times New Roman" w:hAnsi="Times New Roman"/>
                <w:sz w:val="20"/>
                <w:szCs w:val="20"/>
                <w:color w:val="BABCBE"/>
                <w:w w:val="98"/>
              </w:rPr>
              <w:t>.........................................................................................................</w:t>
            </w:r>
          </w:p>
        </w:tc>
        <w:tc>
          <w:tcPr>
            <w:tcW w:w="82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(969.5)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(100.6)</w:t>
            </w:r>
          </w:p>
        </w:tc>
      </w:tr>
      <w:tr>
        <w:trPr>
          <w:trHeight w:val="300"/>
        </w:trPr>
        <w:tc>
          <w:tcPr>
            <w:tcW w:w="640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Interest income </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spacing w:after="0"/>
              <w:rPr>
                <w:sz w:val="24"/>
                <w:szCs w:val="24"/>
                <w:color w:val="auto"/>
              </w:rPr>
            </w:pPr>
          </w:p>
        </w:tc>
        <w:tc>
          <w:tcPr>
            <w:tcW w:w="360" w:type="dxa"/>
            <w:vAlign w:val="bottom"/>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24.8</w:t>
            </w:r>
          </w:p>
        </w:tc>
      </w:tr>
      <w:tr>
        <w:trPr>
          <w:trHeight w:val="288"/>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Interest expense </w:t>
            </w:r>
            <w:r>
              <w:rPr>
                <w:rFonts w:ascii="Times New Roman" w:cs="Times New Roman" w:eastAsia="Times New Roman" w:hAnsi="Times New Roman"/>
                <w:sz w:val="20"/>
                <w:szCs w:val="20"/>
                <w:color w:val="BABCBE"/>
                <w:w w:val="98"/>
              </w:rPr>
              <w:t>......................................................................................................</w:t>
            </w:r>
          </w:p>
        </w:tc>
        <w:tc>
          <w:tcPr>
            <w:tcW w:w="8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r>
      <w:tr>
        <w:trPr>
          <w:trHeight w:val="309"/>
        </w:trPr>
        <w:tc>
          <w:tcPr>
            <w:tcW w:w="64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Other income, net </w:t>
            </w:r>
            <w:r>
              <w:rPr>
                <w:rFonts w:ascii="Times New Roman" w:cs="Times New Roman" w:eastAsia="Times New Roman" w:hAnsi="Times New Roman"/>
                <w:sz w:val="20"/>
                <w:szCs w:val="20"/>
                <w:color w:val="BABCBE"/>
                <w:w w:val="98"/>
              </w:rPr>
              <w:t>...................................................................................................</w:t>
            </w:r>
          </w:p>
        </w:tc>
        <w:tc>
          <w:tcPr>
            <w:tcW w:w="820" w:type="dxa"/>
            <w:vAlign w:val="bottom"/>
            <w:tcBorders>
              <w:bottom w:val="single" w:sz="8" w:color="231F20"/>
            </w:tcBorders>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46.5</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77.8</w:t>
            </w:r>
          </w:p>
        </w:tc>
      </w:tr>
      <w:tr>
        <w:trPr>
          <w:trHeight w:val="259"/>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Loss from discontinued operations before taxes </w:t>
            </w:r>
            <w:r>
              <w:rPr>
                <w:rFonts w:ascii="Times New Roman" w:cs="Times New Roman" w:eastAsia="Times New Roman" w:hAnsi="Times New Roman"/>
                <w:sz w:val="20"/>
                <w:szCs w:val="20"/>
                <w:color w:val="BABCBE"/>
                <w:w w:val="98"/>
              </w:rPr>
              <w:t>....................................................</w:t>
            </w:r>
          </w:p>
        </w:tc>
        <w:tc>
          <w:tcPr>
            <w:tcW w:w="820" w:type="dxa"/>
            <w:vAlign w:val="bottom"/>
          </w:tcPr>
          <w:p>
            <w:pPr>
              <w:jc w:val="right"/>
              <w:ind w:right="567"/>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(899.9)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r>
      <w:tr>
        <w:trPr>
          <w:trHeight w:val="309"/>
        </w:trPr>
        <w:tc>
          <w:tcPr>
            <w:tcW w:w="6400" w:type="dxa"/>
            <w:vAlign w:val="bottom"/>
            <w:tcBorders>
              <w:bottom w:val="single" w:sz="8" w:color="E3E4E5"/>
            </w:tcBorders>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Income tax provision </w:t>
            </w:r>
            <w:r>
              <w:rPr>
                <w:rFonts w:ascii="Times New Roman" w:cs="Times New Roman" w:eastAsia="Times New Roman" w:hAnsi="Times New Roman"/>
                <w:sz w:val="20"/>
                <w:szCs w:val="20"/>
                <w:color w:val="BABCBE"/>
                <w:w w:val="98"/>
              </w:rPr>
              <w:t>..............................................................................................</w:t>
            </w:r>
          </w:p>
        </w:tc>
        <w:tc>
          <w:tcPr>
            <w:tcW w:w="820" w:type="dxa"/>
            <w:vAlign w:val="bottom"/>
            <w:tcBorders>
              <w:bottom w:val="single" w:sz="8" w:color="231F20"/>
            </w:tcBorders>
            <w:shd w:val="clear" w:color="auto" w:fill="E3E4E5"/>
          </w:tcPr>
          <w:p>
            <w:pPr>
              <w:spacing w:after="0"/>
              <w:rPr>
                <w:sz w:val="24"/>
                <w:szCs w:val="24"/>
                <w:color w:val="auto"/>
              </w:rPr>
            </w:pPr>
          </w:p>
        </w:tc>
        <w:tc>
          <w:tcPr>
            <w:tcW w:w="360" w:type="dxa"/>
            <w:vAlign w:val="bottom"/>
            <w:tcBorders>
              <w:bottom w:val="single" w:sz="8" w:color="231F20"/>
            </w:tcBorders>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bottom w:val="single" w:sz="8" w:color="E3E4E5"/>
            </w:tcBorders>
            <w:shd w:val="clear" w:color="auto" w:fill="E3E4E5"/>
          </w:tcPr>
          <w:p>
            <w:pPr>
              <w:spacing w:after="0"/>
              <w:rPr>
                <w:sz w:val="24"/>
                <w:szCs w:val="24"/>
                <w:color w:val="auto"/>
              </w:rPr>
            </w:pPr>
          </w:p>
        </w:tc>
        <w:tc>
          <w:tcPr>
            <w:tcW w:w="240" w:type="dxa"/>
            <w:vAlign w:val="bottom"/>
            <w:tcBorders>
              <w:bottom w:val="single" w:sz="8" w:color="231F20"/>
            </w:tcBorders>
            <w:shd w:val="clear" w:color="auto" w:fill="E3E4E5"/>
          </w:tcPr>
          <w:p>
            <w:pPr>
              <w:spacing w:after="0"/>
              <w:rPr>
                <w:sz w:val="24"/>
                <w:szCs w:val="24"/>
                <w:color w:val="auto"/>
              </w:rPr>
            </w:pPr>
          </w:p>
        </w:tc>
        <w:tc>
          <w:tcPr>
            <w:tcW w:w="9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(78.4)</w:t>
            </w:r>
          </w:p>
        </w:tc>
        <w:tc>
          <w:tcPr>
            <w:tcW w:w="6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8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(63.4)</w:t>
            </w:r>
          </w:p>
        </w:tc>
      </w:tr>
      <w:tr>
        <w:trPr>
          <w:trHeight w:val="235"/>
        </w:trPr>
        <w:tc>
          <w:tcPr>
            <w:tcW w:w="640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Loss from discontinued operations, net of taxes </w:t>
            </w:r>
            <w:r>
              <w:rPr>
                <w:rFonts w:ascii="Times New Roman" w:cs="Times New Roman" w:eastAsia="Times New Roman" w:hAnsi="Times New Roman"/>
                <w:sz w:val="20"/>
                <w:szCs w:val="20"/>
                <w:color w:val="BABCBE"/>
                <w:w w:val="98"/>
              </w:rPr>
              <w:t>....................................................</w:t>
            </w:r>
          </w:p>
        </w:tc>
        <w:tc>
          <w:tcPr>
            <w:tcW w:w="820" w:type="dxa"/>
            <w:vAlign w:val="bottom"/>
          </w:tcPr>
          <w:p>
            <w:pPr>
              <w:jc w:val="right"/>
              <w:ind w:right="567"/>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(978.3)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(71.4)</w:t>
            </w:r>
          </w:p>
        </w:tc>
      </w:tr>
      <w:tr>
        <w:trPr>
          <w:trHeight w:val="20"/>
        </w:trPr>
        <w:tc>
          <w:tcPr>
            <w:tcW w:w="6400" w:type="dxa"/>
            <w:vAlign w:val="bottom"/>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-2644140</wp:posOffset>
            </wp:positionV>
            <wp:extent cx="234061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34">
                      <a:extLst>
                        <a:ext uri="{28A0092B-C50C-407E-A947-70E740481C1C}"/>
                      </a:extLst>
                    </a:blip>
                    <a:srcRect/>
                    <a:stretch>
                      <a:fillRect/>
                    </a:stretch>
                  </pic:blipFill>
                  <pic:spPr bwMode="auto">
                    <a:xfrm>
                      <a:off x="0" y="0"/>
                      <a:ext cx="2340610" cy="25400"/>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-1337310</wp:posOffset>
            </wp:positionV>
            <wp:extent cx="234061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35">
                      <a:extLst>
                        <a:ext uri="{28A0092B-C50C-407E-A947-70E740481C1C}"/>
                      </a:extLst>
                    </a:blip>
                    <a:srcRect/>
                    <a:stretch>
                      <a:fillRect/>
                    </a:stretch>
                  </pic:blipFill>
                  <pic:spPr bwMode="auto">
                    <a:xfrm>
                      <a:off x="0" y="0"/>
                      <a:ext cx="2340610" cy="25400"/>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-590550</wp:posOffset>
            </wp:positionV>
            <wp:extent cx="2340610"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36">
                      <a:extLst>
                        <a:ext uri="{28A0092B-C50C-407E-A947-70E740481C1C}"/>
                      </a:extLst>
                    </a:blip>
                    <a:srcRect/>
                    <a:stretch>
                      <a:fillRect/>
                    </a:stretch>
                  </pic:blipFill>
                  <pic:spPr bwMode="auto">
                    <a:xfrm>
                      <a:off x="0" y="0"/>
                      <a:ext cx="2340610" cy="25400"/>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-217170</wp:posOffset>
            </wp:positionV>
            <wp:extent cx="234061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37">
                      <a:extLst>
                        <a:ext uri="{28A0092B-C50C-407E-A947-70E740481C1C}"/>
                      </a:extLst>
                    </a:blip>
                    <a:srcRect/>
                    <a:stretch>
                      <a:fillRect/>
                    </a:stretch>
                  </pic:blipFill>
                  <pic:spPr bwMode="auto">
                    <a:xfrm>
                      <a:off x="0" y="0"/>
                      <a:ext cx="2340610" cy="25400"/>
                    </a:xfrm>
                    <a:prstGeom prst="rect">
                      <a:avLst/>
                    </a:prstGeom>
                    <a:noFill/>
                  </pic:spPr>
                </pic:pic>
              </a:graphicData>
            </a:graphic>
          </wp:anchor>
        </w:drawing>
      </w:r>
    </w:p>
    <w:p>
      <w:pPr>
        <w:spacing w:after="0" w:line="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231F20"/>
        </w:rPr>
        <w:t>_______________</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F-55</w:t>
      </w:r>
    </w:p>
    <w:p>
      <w:pPr>
        <w:sectPr>
          <w:pgSz w:w="11880" w:h="15480" w:orient="portrait"/>
          <w:cols w:equalWidth="0" w:num="1">
            <w:col w:w="10047"/>
          </w:cols>
          <w:pgMar w:left="913" w:top="418" w:right="920" w:bottom="0" w:gutter="0" w:footer="0" w:header="0"/>
          <w:type w:val="continuous"/>
        </w:sectPr>
      </w:pPr>
    </w:p>
    <w:bookmarkStart w:id="145" w:name="page146"/>
    <w:bookmarkEnd w:id="145"/>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94" w:lineRule="exact"/>
        <w:rPr>
          <w:sz w:val="20"/>
          <w:szCs w:val="20"/>
          <w:color w:val="auto"/>
        </w:rPr>
      </w:pPr>
    </w:p>
    <w:p>
      <w:pPr>
        <w:ind w:left="347" w:hanging="347"/>
        <w:spacing w:after="0"/>
        <w:tabs>
          <w:tab w:leader="none" w:pos="347" w:val="left"/>
        </w:tabs>
        <w:numPr>
          <w:ilvl w:val="0"/>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results of operations for ATC TIPL through September 12, 2024.</w:t>
      </w:r>
    </w:p>
    <w:p>
      <w:pPr>
        <w:spacing w:after="0" w:line="21"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2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the reclassification of the Company’s cumulative translation adjustment in India upon exiting the market of $1.1 billion.</w:t>
      </w:r>
    </w:p>
    <w:p>
      <w:pPr>
        <w:spacing w:after="0" w:line="1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231F20"/>
        </w:rPr>
        <w:t>Goodwill Impairments</w:t>
      </w:r>
    </w:p>
    <w:p>
      <w:pPr>
        <w:spacing w:after="0" w:line="164" w:lineRule="exact"/>
        <w:rPr>
          <w:sz w:val="20"/>
          <w:szCs w:val="20"/>
          <w:color w:val="auto"/>
        </w:rPr>
      </w:pPr>
    </w:p>
    <w:p>
      <w:pPr>
        <w:ind w:left="7" w:right="20"/>
        <w:spacing w:after="0" w:line="273" w:lineRule="auto"/>
        <w:rPr>
          <w:sz w:val="20"/>
          <w:szCs w:val="20"/>
          <w:color w:val="auto"/>
        </w:rPr>
      </w:pPr>
      <w:r>
        <w:rPr>
          <w:rFonts w:ascii="Times New Roman" w:cs="Times New Roman" w:eastAsia="Times New Roman" w:hAnsi="Times New Roman"/>
          <w:sz w:val="20"/>
          <w:szCs w:val="20"/>
          <w:color w:val="231F20"/>
        </w:rPr>
        <w:t>The Company reviews goodwill for impairment annually (as of December 31) or whenever events or circumstances indicate the carrying amount of an asset may not be recoverable, as further discussed in note 1.</w:t>
      </w:r>
    </w:p>
    <w:p>
      <w:pPr>
        <w:spacing w:after="0" w:line="104" w:lineRule="exact"/>
        <w:rPr>
          <w:sz w:val="20"/>
          <w:szCs w:val="20"/>
          <w:color w:val="auto"/>
        </w:rPr>
      </w:pPr>
    </w:p>
    <w:p>
      <w:pPr>
        <w:ind w:left="7" w:right="100"/>
        <w:spacing w:after="0" w:line="249" w:lineRule="auto"/>
        <w:rPr>
          <w:sz w:val="20"/>
          <w:szCs w:val="20"/>
          <w:color w:val="auto"/>
        </w:rPr>
      </w:pPr>
      <w:r>
        <w:rPr>
          <w:rFonts w:ascii="Times New Roman" w:cs="Times New Roman" w:eastAsia="Times New Roman" w:hAnsi="Times New Roman"/>
          <w:sz w:val="20"/>
          <w:szCs w:val="20"/>
          <w:color w:val="231F20"/>
        </w:rPr>
        <w:t>The Company concluded that a triggering event occurred during the year ended December 31, 2023 with respect to its India reporting unit primarily due to indications of value received from third parties in connection with the Company’s review of various strategic alternatives for its India operations, which concluded in the ATC TIPL Transaction. As a result, the Company performed an interim quantitative goodwill impairment test as of September 30, 2023, using, among other things, the information obtained from third parties to compare the estimated fair value of the India reporting unit to its carrying amount, including goodwill. The result of the Company’s interim goodwill impairment test as of September 30, 2023 indicated that the carrying amount of the Company's India reporting unit exceeded its estimated fair value. As a result, the Company recorded a goodwill impairment charge of $322.0 million during the three months ended September 30, 2023.</w:t>
      </w:r>
    </w:p>
    <w:p>
      <w:pPr>
        <w:spacing w:after="0" w:line="130" w:lineRule="exact"/>
        <w:rPr>
          <w:sz w:val="20"/>
          <w:szCs w:val="20"/>
          <w:color w:val="auto"/>
        </w:rPr>
      </w:pPr>
    </w:p>
    <w:p>
      <w:pPr>
        <w:ind w:left="7" w:right="180"/>
        <w:spacing w:after="0" w:line="273" w:lineRule="auto"/>
        <w:rPr>
          <w:sz w:val="20"/>
          <w:szCs w:val="20"/>
          <w:color w:val="auto"/>
        </w:rPr>
      </w:pPr>
      <w:r>
        <w:rPr>
          <w:rFonts w:ascii="Times New Roman" w:cs="Times New Roman" w:eastAsia="Times New Roman" w:hAnsi="Times New Roman"/>
          <w:sz w:val="20"/>
          <w:szCs w:val="20"/>
          <w:color w:val="231F20"/>
        </w:rPr>
        <w:t>The cash flows related to discontinued operations have not been segregated and are included in the consolidated statements of cash flows. The following table presents key cash flow and non-cash information related to discontinued operations:</w:t>
      </w:r>
    </w:p>
    <w:p>
      <w:pPr>
        <w:spacing w:after="0" w:line="236" w:lineRule="exact"/>
        <w:rPr>
          <w:sz w:val="20"/>
          <w:szCs w:val="20"/>
          <w:color w:val="auto"/>
        </w:rPr>
      </w:pPr>
    </w:p>
    <w:tbl>
      <w:tblPr>
        <w:tblLayout w:type="fixed"/>
        <w:tblInd w:w="7"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2000" w:type="dxa"/>
            <w:vAlign w:val="bottom"/>
            <w:tcBorders>
              <w:bottom w:val="single" w:sz="8" w:color="231F20"/>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380" w:type="dxa"/>
            <w:vAlign w:val="bottom"/>
            <w:tcBorders>
              <w:bottom w:val="single" w:sz="8" w:color="E3E4E5"/>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40" w:type="dxa"/>
            <w:vAlign w:val="bottom"/>
            <w:tcBorders>
              <w:bottom w:val="single" w:sz="8" w:color="231F20"/>
            </w:tcBorders>
          </w:tcPr>
          <w:p>
            <w:pPr>
              <w:spacing w:after="0"/>
              <w:rPr>
                <w:sz w:val="23"/>
                <w:szCs w:val="23"/>
                <w:color w:val="auto"/>
              </w:rPr>
            </w:pPr>
          </w:p>
        </w:tc>
        <w:tc>
          <w:tcPr>
            <w:tcW w:w="80" w:type="dxa"/>
            <w:vAlign w:val="bottom"/>
            <w:tcBorders>
              <w:bottom w:val="single" w:sz="8" w:color="E3E4E5"/>
            </w:tcBorders>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2024 (1)</w:t>
            </w:r>
          </w:p>
        </w:tc>
        <w:tc>
          <w:tcPr>
            <w:tcW w:w="8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84"/>
        </w:trPr>
        <w:tc>
          <w:tcPr>
            <w:tcW w:w="6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Proceeds from the sale of ATC TIPL</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jc w:val="right"/>
              <w:ind w:right="592"/>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3"/>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  $</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2,158.8</w:t>
            </w:r>
          </w:p>
        </w:tc>
        <w:tc>
          <w:tcPr>
            <w:tcW w:w="400" w:type="dxa"/>
            <w:vAlign w:val="bottom"/>
            <w:gridSpan w:val="2"/>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8"/>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Capital expenditures</w:t>
            </w:r>
            <w:r>
              <w:rPr>
                <w:rFonts w:ascii="Times New Roman" w:cs="Times New Roman" w:eastAsia="Times New Roman" w:hAnsi="Times New Roman"/>
                <w:sz w:val="20"/>
                <w:szCs w:val="20"/>
                <w:color w:val="BABCBE"/>
                <w:w w:val="98"/>
              </w:rPr>
              <w:t>...............................................................................................</w:t>
            </w:r>
          </w:p>
        </w:tc>
        <w:tc>
          <w:tcPr>
            <w:tcW w:w="82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(111.9)</w:t>
            </w:r>
          </w:p>
        </w:tc>
        <w:tc>
          <w:tcPr>
            <w:tcW w:w="0" w:type="dxa"/>
            <w:vAlign w:val="bottom"/>
          </w:tcPr>
          <w:p>
            <w:pPr>
              <w:spacing w:after="0"/>
              <w:rPr>
                <w:sz w:val="1"/>
                <w:szCs w:val="1"/>
                <w:color w:val="auto"/>
              </w:rPr>
            </w:pPr>
          </w:p>
        </w:tc>
      </w:tr>
      <w:tr>
        <w:trPr>
          <w:trHeight w:val="300"/>
        </w:trPr>
        <w:tc>
          <w:tcPr>
            <w:tcW w:w="6380" w:type="dxa"/>
            <w:vAlign w:val="bottom"/>
            <w:shd w:val="clear" w:color="auto" w:fill="E3E4E5"/>
          </w:tcPr>
          <w:p>
            <w:pPr>
              <w:spacing w:after="0"/>
              <w:rPr>
                <w:sz w:val="24"/>
                <w:szCs w:val="24"/>
                <w:color w:val="auto"/>
              </w:rPr>
            </w:pPr>
          </w:p>
        </w:tc>
        <w:tc>
          <w:tcPr>
            <w:tcW w:w="8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240" w:type="dxa"/>
            <w:vAlign w:val="bottom"/>
            <w:shd w:val="clear" w:color="auto" w:fill="E3E4E5"/>
          </w:tcPr>
          <w:p>
            <w:pPr>
              <w:spacing w:after="0"/>
              <w:rPr>
                <w:sz w:val="24"/>
                <w:szCs w:val="24"/>
                <w:color w:val="auto"/>
              </w:rPr>
            </w:pPr>
          </w:p>
        </w:tc>
        <w:tc>
          <w:tcPr>
            <w:tcW w:w="94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4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Significant non-cash items: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Depreciation, amortization and accretion </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spacing w:after="0"/>
              <w:rPr>
                <w:sz w:val="24"/>
                <w:szCs w:val="24"/>
                <w:color w:val="auto"/>
              </w:rPr>
            </w:pPr>
          </w:p>
        </w:tc>
        <w:tc>
          <w:tcPr>
            <w:tcW w:w="660" w:type="dxa"/>
            <w:vAlign w:val="bottom"/>
            <w:gridSpan w:val="3"/>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96.0</w:t>
            </w: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158.0</w:t>
            </w:r>
          </w:p>
        </w:tc>
        <w:tc>
          <w:tcPr>
            <w:tcW w:w="0" w:type="dxa"/>
            <w:vAlign w:val="bottom"/>
          </w:tcPr>
          <w:p>
            <w:pPr>
              <w:spacing w:after="0"/>
              <w:rPr>
                <w:sz w:val="1"/>
                <w:szCs w:val="1"/>
                <w:color w:val="auto"/>
              </w:rPr>
            </w:pPr>
          </w:p>
        </w:tc>
      </w:tr>
      <w:tr>
        <w:trPr>
          <w:trHeight w:val="288"/>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Stock-based compensation expense </w:t>
            </w:r>
            <w:r>
              <w:rPr>
                <w:rFonts w:ascii="Times New Roman" w:cs="Times New Roman" w:eastAsia="Times New Roman" w:hAnsi="Times New Roman"/>
                <w:sz w:val="20"/>
                <w:szCs w:val="20"/>
                <w:color w:val="BABCBE"/>
                <w:w w:val="98"/>
              </w:rPr>
              <w:t>.......................................................................</w:t>
            </w:r>
          </w:p>
        </w:tc>
        <w:tc>
          <w:tcPr>
            <w:tcW w:w="82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0" w:type="dxa"/>
            <w:vAlign w:val="bottom"/>
          </w:tcPr>
          <w:p>
            <w:pPr>
              <w:spacing w:after="0"/>
              <w:rPr>
                <w:sz w:val="1"/>
                <w:szCs w:val="1"/>
                <w:color w:val="auto"/>
              </w:rPr>
            </w:pPr>
          </w:p>
        </w:tc>
      </w:tr>
      <w:tr>
        <w:trPr>
          <w:trHeight w:val="223"/>
        </w:trPr>
        <w:tc>
          <w:tcPr>
            <w:tcW w:w="6380" w:type="dxa"/>
            <w:vAlign w:val="bottom"/>
            <w:shd w:val="clear" w:color="auto" w:fill="E3E4E5"/>
          </w:tcPr>
          <w:p>
            <w:pPr>
              <w:ind w:left="40"/>
              <w:spacing w:after="0" w:line="224" w:lineRule="exact"/>
              <w:rPr>
                <w:sz w:val="20"/>
                <w:szCs w:val="20"/>
                <w:color w:val="auto"/>
              </w:rPr>
            </w:pPr>
            <w:r>
              <w:rPr>
                <w:rFonts w:ascii="Times New Roman" w:cs="Times New Roman" w:eastAsia="Times New Roman" w:hAnsi="Times New Roman"/>
                <w:sz w:val="20"/>
                <w:szCs w:val="20"/>
                <w:color w:val="231F20"/>
              </w:rPr>
              <w:t>Impairments, net loss on sale of long-lived assets, non-cash restructuring and</w:t>
            </w:r>
          </w:p>
        </w:tc>
        <w:tc>
          <w:tcPr>
            <w:tcW w:w="820" w:type="dxa"/>
            <w:vAlign w:val="bottom"/>
            <w:shd w:val="clear" w:color="auto" w:fill="E3E4E5"/>
          </w:tcPr>
          <w:p>
            <w:pPr>
              <w:spacing w:after="0"/>
              <w:rPr>
                <w:sz w:val="19"/>
                <w:szCs w:val="19"/>
                <w:color w:val="auto"/>
              </w:rPr>
            </w:pPr>
          </w:p>
        </w:tc>
        <w:tc>
          <w:tcPr>
            <w:tcW w:w="660" w:type="dxa"/>
            <w:vAlign w:val="bottom"/>
            <w:gridSpan w:val="3"/>
            <w:vMerge w:val="restart"/>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shd w:val="clear" w:color="auto" w:fill="E3E4E5"/>
          </w:tcPr>
          <w:p>
            <w:pPr>
              <w:spacing w:after="0"/>
              <w:rPr>
                <w:sz w:val="19"/>
                <w:szCs w:val="19"/>
                <w:color w:val="auto"/>
              </w:rPr>
            </w:pPr>
          </w:p>
        </w:tc>
        <w:tc>
          <w:tcPr>
            <w:tcW w:w="320" w:type="dxa"/>
            <w:vAlign w:val="bottom"/>
            <w:shd w:val="clear" w:color="auto" w:fill="E3E4E5"/>
          </w:tcPr>
          <w:p>
            <w:pPr>
              <w:spacing w:after="0"/>
              <w:rPr>
                <w:sz w:val="19"/>
                <w:szCs w:val="19"/>
                <w:color w:val="auto"/>
              </w:rPr>
            </w:pPr>
          </w:p>
        </w:tc>
        <w:tc>
          <w:tcPr>
            <w:tcW w:w="840" w:type="dxa"/>
            <w:vAlign w:val="bottom"/>
            <w:vMerge w:val="restart"/>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318.2</w:t>
            </w:r>
          </w:p>
        </w:tc>
        <w:tc>
          <w:tcPr>
            <w:tcW w:w="0" w:type="dxa"/>
            <w:vAlign w:val="bottom"/>
          </w:tcPr>
          <w:p>
            <w:pPr>
              <w:spacing w:after="0"/>
              <w:rPr>
                <w:sz w:val="1"/>
                <w:szCs w:val="1"/>
                <w:color w:val="auto"/>
              </w:rPr>
            </w:pPr>
          </w:p>
        </w:tc>
      </w:tr>
      <w:tr>
        <w:trPr>
          <w:trHeight w:val="268"/>
        </w:trPr>
        <w:tc>
          <w:tcPr>
            <w:tcW w:w="6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merger related expenses </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spacing w:after="0"/>
              <w:rPr>
                <w:sz w:val="23"/>
                <w:szCs w:val="23"/>
                <w:color w:val="auto"/>
              </w:rPr>
            </w:pPr>
          </w:p>
        </w:tc>
        <w:tc>
          <w:tcPr>
            <w:tcW w:w="660" w:type="dxa"/>
            <w:vAlign w:val="bottom"/>
            <w:gridSpan w:val="3"/>
            <w:vMerge w:val="continue"/>
            <w:shd w:val="clear" w:color="auto" w:fill="E3E4E5"/>
          </w:tcPr>
          <w:p>
            <w:pPr>
              <w:spacing w:after="0"/>
              <w:rPr>
                <w:sz w:val="23"/>
                <w:szCs w:val="23"/>
                <w:color w:val="auto"/>
              </w:rPr>
            </w:pPr>
          </w:p>
        </w:tc>
        <w:tc>
          <w:tcPr>
            <w:tcW w:w="940" w:type="dxa"/>
            <w:vAlign w:val="bottom"/>
            <w:vMerge w:val="continue"/>
            <w:shd w:val="clear" w:color="auto" w:fill="E3E4E5"/>
          </w:tcPr>
          <w:p>
            <w:pPr>
              <w:spacing w:after="0"/>
              <w:rPr>
                <w:sz w:val="23"/>
                <w:szCs w:val="23"/>
                <w:color w:val="auto"/>
              </w:rPr>
            </w:pPr>
          </w:p>
        </w:tc>
        <w:tc>
          <w:tcPr>
            <w:tcW w:w="8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840" w:type="dxa"/>
            <w:vAlign w:val="bottom"/>
            <w:vMerge w:val="continue"/>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380" w:type="dxa"/>
            <w:vAlign w:val="bottom"/>
          </w:tcPr>
          <w:p>
            <w:pPr>
              <w:ind w:left="40"/>
              <w:spacing w:after="0" w:line="218" w:lineRule="exact"/>
              <w:rPr>
                <w:sz w:val="20"/>
                <w:szCs w:val="20"/>
                <w:color w:val="auto"/>
              </w:rPr>
            </w:pPr>
            <w:r>
              <w:rPr>
                <w:rFonts w:ascii="Times New Roman" w:cs="Times New Roman" w:eastAsia="Times New Roman" w:hAnsi="Times New Roman"/>
                <w:sz w:val="20"/>
                <w:szCs w:val="20"/>
                <w:color w:val="231F20"/>
              </w:rPr>
              <w:t>Gain on investments, unrealized foreign currency (gain) loss and other non-</w:t>
            </w:r>
          </w:p>
        </w:tc>
        <w:tc>
          <w:tcPr>
            <w:tcW w:w="820" w:type="dxa"/>
            <w:vAlign w:val="bottom"/>
          </w:tcPr>
          <w:p>
            <w:pPr>
              <w:spacing w:after="0"/>
              <w:rPr>
                <w:sz w:val="18"/>
                <w:szCs w:val="18"/>
                <w:color w:val="auto"/>
              </w:rPr>
            </w:pP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(82.5)</w:t>
            </w:r>
          </w:p>
        </w:tc>
        <w:tc>
          <w:tcPr>
            <w:tcW w:w="0" w:type="dxa"/>
            <w:vAlign w:val="bottom"/>
          </w:tcPr>
          <w:p>
            <w:pPr>
              <w:spacing w:after="0"/>
              <w:rPr>
                <w:sz w:val="1"/>
                <w:szCs w:val="1"/>
                <w:color w:val="auto"/>
              </w:rPr>
            </w:pPr>
          </w:p>
        </w:tc>
      </w:tr>
      <w:tr>
        <w:trPr>
          <w:trHeight w:val="262"/>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8"/>
              </w:rPr>
              <w:t>cash expense</w:t>
            </w:r>
            <w:r>
              <w:rPr>
                <w:rFonts w:ascii="Times New Roman" w:cs="Times New Roman" w:eastAsia="Times New Roman" w:hAnsi="Times New Roman"/>
                <w:sz w:val="20"/>
                <w:szCs w:val="20"/>
                <w:color w:val="BABCBE"/>
                <w:w w:val="98"/>
              </w:rPr>
              <w:t>...........................................................................................................</w:t>
            </w:r>
          </w:p>
        </w:tc>
        <w:tc>
          <w:tcPr>
            <w:tcW w:w="820" w:type="dxa"/>
            <w:vAlign w:val="bottom"/>
          </w:tcPr>
          <w:p>
            <w:pPr>
              <w:spacing w:after="0"/>
              <w:rPr>
                <w:sz w:val="22"/>
                <w:szCs w:val="22"/>
                <w:color w:val="auto"/>
              </w:rPr>
            </w:pPr>
          </w:p>
        </w:tc>
        <w:tc>
          <w:tcPr>
            <w:tcW w:w="660" w:type="dxa"/>
            <w:vAlign w:val="bottom"/>
            <w:gridSpan w:val="3"/>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6380" w:type="dxa"/>
            <w:vAlign w:val="bottom"/>
            <w:shd w:val="clear" w:color="auto" w:fill="E3E4E5"/>
          </w:tcPr>
          <w:p>
            <w:pPr>
              <w:ind w:left="40"/>
              <w:spacing w:after="0"/>
              <w:rPr>
                <w:sz w:val="20"/>
                <w:szCs w:val="20"/>
                <w:color w:val="auto"/>
              </w:rPr>
            </w:pPr>
            <w:r>
              <w:rPr>
                <w:rFonts w:ascii="Times New Roman" w:cs="Times New Roman" w:eastAsia="Times New Roman" w:hAnsi="Times New Roman"/>
                <w:sz w:val="20"/>
                <w:szCs w:val="20"/>
                <w:color w:val="231F20"/>
                <w:w w:val="98"/>
              </w:rPr>
              <w:t xml:space="preserve">Loss on sale of ATC TIPL (2) </w:t>
            </w:r>
            <w:r>
              <w:rPr>
                <w:rFonts w:ascii="Times New Roman" w:cs="Times New Roman" w:eastAsia="Times New Roman" w:hAnsi="Times New Roman"/>
                <w:sz w:val="20"/>
                <w:szCs w:val="20"/>
                <w:color w:val="BABCBE"/>
                <w:w w:val="98"/>
              </w:rPr>
              <w:t>...............................................................................</w:t>
            </w:r>
          </w:p>
        </w:tc>
        <w:tc>
          <w:tcPr>
            <w:tcW w:w="820" w:type="dxa"/>
            <w:vAlign w:val="bottom"/>
            <w:shd w:val="clear" w:color="auto" w:fill="E3E4E5"/>
          </w:tcPr>
          <w:p>
            <w:pPr>
              <w:spacing w:after="0"/>
              <w:rPr>
                <w:sz w:val="24"/>
                <w:szCs w:val="24"/>
                <w:color w:val="auto"/>
              </w:rPr>
            </w:pPr>
          </w:p>
        </w:tc>
        <w:tc>
          <w:tcPr>
            <w:tcW w:w="660" w:type="dxa"/>
            <w:vAlign w:val="bottom"/>
            <w:gridSpan w:val="3"/>
            <w:shd w:val="clear" w:color="auto" w:fill="E3E4E5"/>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1,245.5</w:t>
            </w:r>
          </w:p>
        </w:tc>
        <w:tc>
          <w:tcPr>
            <w:tcW w:w="8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8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8"/>
        </w:trPr>
        <w:tc>
          <w:tcPr>
            <w:tcW w:w="6380" w:type="dxa"/>
            <w:vAlign w:val="bottom"/>
          </w:tcPr>
          <w:p>
            <w:pPr>
              <w:spacing w:after="0"/>
              <w:rPr>
                <w:sz w:val="20"/>
                <w:szCs w:val="20"/>
                <w:color w:val="auto"/>
              </w:rPr>
            </w:pPr>
            <w:r>
              <w:rPr>
                <w:rFonts w:ascii="Times New Roman" w:cs="Times New Roman" w:eastAsia="Times New Roman" w:hAnsi="Times New Roman"/>
                <w:sz w:val="12"/>
                <w:szCs w:val="12"/>
                <w:color w:val="231F20"/>
              </w:rPr>
              <w:t>_______________</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-2076450</wp:posOffset>
            </wp:positionV>
            <wp:extent cx="235902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38">
                      <a:extLst>
                        <a:ext uri="{28A0092B-C50C-407E-A947-70E740481C1C}"/>
                      </a:extLst>
                    </a:blip>
                    <a:srcRect/>
                    <a:stretch>
                      <a:fillRect/>
                    </a:stretch>
                  </pic:blipFill>
                  <pic:spPr bwMode="auto">
                    <a:xfrm>
                      <a:off x="0" y="0"/>
                      <a:ext cx="2359025" cy="25400"/>
                    </a:xfrm>
                    <a:prstGeom prst="rect">
                      <a:avLst/>
                    </a:prstGeom>
                    <a:noFill/>
                  </pic:spPr>
                </pic:pic>
              </a:graphicData>
            </a:graphic>
          </wp:anchor>
        </w:drawing>
      </w:r>
    </w:p>
    <w:p>
      <w:pPr>
        <w:ind w:left="347" w:hanging="347"/>
        <w:spacing w:after="0"/>
        <w:tabs>
          <w:tab w:leader="none" w:pos="347" w:val="left"/>
        </w:tabs>
        <w:numPr>
          <w:ilvl w:val="0"/>
          <w:numId w:val="1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the cash flows for ATC TIPL through September 12, 2024.</w:t>
      </w:r>
    </w:p>
    <w:p>
      <w:pPr>
        <w:spacing w:after="0" w:line="3" w:lineRule="exact"/>
        <w:rPr>
          <w:rFonts w:ascii="Times New Roman" w:cs="Times New Roman" w:eastAsia="Times New Roman" w:hAnsi="Times New Roman"/>
          <w:sz w:val="16"/>
          <w:szCs w:val="16"/>
          <w:color w:val="231F20"/>
        </w:rPr>
      </w:pPr>
    </w:p>
    <w:p>
      <w:pPr>
        <w:ind w:left="347" w:hanging="347"/>
        <w:spacing w:after="0"/>
        <w:tabs>
          <w:tab w:leader="none" w:pos="347" w:val="left"/>
        </w:tabs>
        <w:numPr>
          <w:ilvl w:val="0"/>
          <w:numId w:val="12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the reclassification of the Company’s cumulative translation adjustment in India upon exiting the market of $1.1 billion.</w:t>
      </w:r>
    </w:p>
    <w:p>
      <w:pPr>
        <w:spacing w:after="0" w:line="130" w:lineRule="exact"/>
        <w:rPr>
          <w:sz w:val="20"/>
          <w:szCs w:val="20"/>
          <w:color w:val="auto"/>
        </w:rPr>
      </w:pPr>
    </w:p>
    <w:p>
      <w:pPr>
        <w:ind w:left="7" w:right="100"/>
        <w:spacing w:after="0" w:line="249" w:lineRule="auto"/>
        <w:rPr>
          <w:sz w:val="20"/>
          <w:szCs w:val="20"/>
          <w:color w:val="auto"/>
        </w:rPr>
      </w:pPr>
      <w:r>
        <w:rPr>
          <w:rFonts w:ascii="Times New Roman" w:cs="Times New Roman" w:eastAsia="Times New Roman" w:hAnsi="Times New Roman"/>
          <w:sz w:val="19"/>
          <w:szCs w:val="19"/>
          <w:i w:val="1"/>
          <w:iCs w:val="1"/>
          <w:color w:val="231F20"/>
        </w:rPr>
        <w:t>VIL Optionally Convertible Debentures</w:t>
      </w:r>
      <w:r>
        <w:rPr>
          <w:rFonts w:ascii="Times New Roman" w:cs="Times New Roman" w:eastAsia="Times New Roman" w:hAnsi="Times New Roman"/>
          <w:sz w:val="19"/>
          <w:szCs w:val="19"/>
          <w:color w:val="231F20"/>
        </w:rPr>
        <w:t>—In February 2023, and as amended in August 2023, one of the Company’s customers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in India, Vodafone Idea Limited (“VIL”), issued optionally convertible debentures (the “VIL OCDs”) to the Company’s subsidiary, ATC TIPL, in exchange for VIL’s payment of certain amounts towards accounts receivables. The VIL OCDs were</w:t>
      </w:r>
    </w:p>
    <w:p>
      <w:pPr>
        <w:spacing w:after="0" w:line="2" w:lineRule="exact"/>
        <w:rPr>
          <w:sz w:val="20"/>
          <w:szCs w:val="20"/>
          <w:color w:val="auto"/>
        </w:rPr>
      </w:pPr>
    </w:p>
    <w:p>
      <w:pPr>
        <w:ind w:left="7" w:right="280" w:hanging="7"/>
        <w:spacing w:after="0" w:line="231" w:lineRule="auto"/>
        <w:tabs>
          <w:tab w:leader="none" w:pos="274" w:val="left"/>
        </w:tabs>
        <w:numPr>
          <w:ilvl w:val="0"/>
          <w:numId w:val="1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 be repaid by VIL with interest or (b) convertible into equity of VIL. The VIL OCDs were issued for an aggregate face value of 16.0 billion INR (approximately $193.2 million on the date of issuance). The VIL OCDs were to mature in tranches with 8.0 billion INR (approximately $96.6 million on the date of issuance) maturing on August 27, 2023 and 8.0 billion INR (approximately $96.6 million on the date of issuance) maturing on August 27, 2024. In August 2023, the Company amended the agreements governing the VIL OCDs to, among other items, extend the maturity of the first tranche of the VIL OCDs to August 27, 2024. The fair value of the VIL OCDs at issuance was approximately $116.5 million. The VIL OCDs accrued interest at a rate of 11.2% annually. Interest was payable to ATC TIPL semi-annually, with the first payment received in September 2023.</w:t>
      </w:r>
    </w:p>
    <w:p>
      <w:pPr>
        <w:spacing w:after="0" w:line="120" w:lineRule="exact"/>
        <w:rPr>
          <w:sz w:val="20"/>
          <w:szCs w:val="20"/>
          <w:color w:val="auto"/>
        </w:rPr>
      </w:pPr>
    </w:p>
    <w:p>
      <w:pPr>
        <w:ind w:left="7"/>
        <w:spacing w:after="0" w:line="273" w:lineRule="auto"/>
        <w:rPr>
          <w:sz w:val="20"/>
          <w:szCs w:val="20"/>
          <w:color w:val="auto"/>
        </w:rPr>
      </w:pPr>
      <w:r>
        <w:rPr>
          <w:rFonts w:ascii="Times New Roman" w:cs="Times New Roman" w:eastAsia="Times New Roman" w:hAnsi="Times New Roman"/>
          <w:sz w:val="20"/>
          <w:szCs w:val="20"/>
          <w:color w:val="231F20"/>
        </w:rPr>
        <w:t>On March 23, 2024, the Company converted an aggregate face value of 14.4 billion INR (approximately $172.7 million) of VIL OCDs into 1,440 million shares of equity of VIL (the “VIL Shares”).</w:t>
      </w:r>
    </w:p>
    <w:p>
      <w:pPr>
        <w:spacing w:after="0" w:line="104" w:lineRule="exact"/>
        <w:rPr>
          <w:sz w:val="20"/>
          <w:szCs w:val="20"/>
          <w:color w:val="auto"/>
        </w:rPr>
      </w:pPr>
    </w:p>
    <w:p>
      <w:pPr>
        <w:ind w:left="7" w:right="40"/>
        <w:spacing w:after="0" w:line="259" w:lineRule="auto"/>
        <w:rPr>
          <w:sz w:val="20"/>
          <w:szCs w:val="20"/>
          <w:color w:val="auto"/>
        </w:rPr>
      </w:pPr>
      <w:r>
        <w:rPr>
          <w:rFonts w:ascii="Times New Roman" w:cs="Times New Roman" w:eastAsia="Times New Roman" w:hAnsi="Times New Roman"/>
          <w:sz w:val="20"/>
          <w:szCs w:val="20"/>
          <w:color w:val="231F20"/>
        </w:rPr>
        <w:t>On April 29, 2024, the Company completed the sale of 1,440 million VIL Shares at a price of 12.78 INR per share. The net proceeds for this transaction were approximately 18.0 billion INR (approximately $216.0 million at the date of settlement) after deducting commissions and fees.</w:t>
      </w:r>
    </w:p>
    <w:p>
      <w:pPr>
        <w:spacing w:after="0" w:line="118" w:lineRule="exact"/>
        <w:rPr>
          <w:sz w:val="20"/>
          <w:szCs w:val="20"/>
          <w:color w:val="auto"/>
        </w:rPr>
      </w:pPr>
    </w:p>
    <w:p>
      <w:pPr>
        <w:ind w:left="7" w:right="400"/>
        <w:spacing w:after="0" w:line="259" w:lineRule="auto"/>
        <w:rPr>
          <w:sz w:val="20"/>
          <w:szCs w:val="20"/>
          <w:color w:val="auto"/>
        </w:rPr>
      </w:pPr>
      <w:r>
        <w:rPr>
          <w:rFonts w:ascii="Times New Roman" w:cs="Times New Roman" w:eastAsia="Times New Roman" w:hAnsi="Times New Roman"/>
          <w:sz w:val="20"/>
          <w:szCs w:val="20"/>
          <w:color w:val="231F20"/>
        </w:rPr>
        <w:t>On June 5, 2024, the Company completed the sale of the remaining aggregate face value of 1.6 billion INR (approximately $19.2 million) of the VIL OCDs. The net proceeds for this transaction, excluding accrued interest, were approximately 1.8 billion INR (approximately $22.0 million at the date of settlement) after deducting fees.</w:t>
      </w:r>
    </w:p>
    <w:p>
      <w:pPr>
        <w:sectPr>
          <w:pgSz w:w="11880" w:h="15480" w:orient="portrait"/>
          <w:cols w:equalWidth="0" w:num="1">
            <w:col w:w="10047"/>
          </w:cols>
          <w:pgMar w:left="913" w:top="418" w:right="92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231F20"/>
        </w:rPr>
        <w:t>F-56</w:t>
      </w:r>
    </w:p>
    <w:p>
      <w:pPr>
        <w:sectPr>
          <w:pgSz w:w="11880" w:h="15480" w:orient="portrait"/>
          <w:cols w:equalWidth="0" w:num="1">
            <w:col w:w="10047"/>
          </w:cols>
          <w:pgMar w:left="913" w:top="418" w:right="920" w:bottom="0" w:gutter="0" w:footer="0" w:header="0"/>
          <w:type w:val="continuous"/>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AMERICAN TOWER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(Tabular amounts in millions, unless otherwise disclosed)</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During the year ended December 31, 2024, the Company recognized a gain of $46.4 million on the sales of the VIL Shares and the VIL OCDs. The gains on the sales of the VIL Shares and the VIL OCDs were recorded in Loss from discontinued operations, net of taxes in the consolidated statements of operations in the current period. As of December 31, 2024, none of the VIL Shares or the VIL OCDs remained outstanding.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22.  SUBSEQUENT EVENTS</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i w:val="1"/>
          <w:iCs w:val="1"/>
          <w:color w:val="231F20"/>
        </w:rPr>
        <w:t>Repayment of 4.400% Senior Notes—</w:t>
      </w:r>
      <w:r>
        <w:rPr>
          <w:rFonts w:ascii="Times New Roman" w:cs="Times New Roman" w:eastAsia="Times New Roman" w:hAnsi="Times New Roman"/>
          <w:sz w:val="20"/>
          <w:szCs w:val="20"/>
          <w:color w:val="231F20"/>
        </w:rPr>
        <w:t>On February 13, 2026, the Company repaid $500.0 million aggregate principal amount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Company’s 4.400% senior unsecured notes due 2026 (the “4.400% Notes”) upon their maturity. The 4.400% Notes were repaid using borrowings under the 2021 Credit Facility and cash on hand. Upon completion of the repayment, none of the 4.400% Notes remained outstanding.</w:t>
      </w:r>
    </w:p>
    <w:p>
      <w:pPr>
        <w:sectPr>
          <w:pgSz w:w="11880" w:h="15480" w:orient="portrait"/>
          <w:cols w:equalWidth="0" w:num="1">
            <w:col w:w="10020"/>
          </w:cols>
          <w:pgMar w:left="920" w:top="41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F-57</w:t>
      </w:r>
    </w:p>
    <w:p>
      <w:pPr>
        <w:sectPr>
          <w:pgSz w:w="11880" w:h="15480" w:orient="portrait"/>
          <w:cols w:equalWidth="0" w:num="1">
            <w:col w:w="10020"/>
          </w:cols>
          <w:pgMar w:left="920" w:top="418" w:right="940" w:bottom="0" w:gutter="0" w:footer="0" w:header="0"/>
          <w:type w:val="continuous"/>
        </w:sectPr>
      </w:pPr>
    </w:p>
    <w:bookmarkStart w:id="147" w:name="page148"/>
    <w:bookmarkEnd w:id="147"/>
    <w:p>
      <w:pPr>
        <w:jc w:val="center"/>
        <w:ind w:right="20"/>
        <w:spacing w:after="0" w:line="262" w:lineRule="auto"/>
        <w:rPr>
          <w:sz w:val="20"/>
          <w:szCs w:val="20"/>
          <w:color w:val="auto"/>
        </w:rPr>
      </w:pPr>
      <w:r>
        <w:rPr>
          <w:rFonts w:ascii="Times New Roman" w:cs="Times New Roman" w:eastAsia="Times New Roman" w:hAnsi="Times New Roman"/>
          <w:sz w:val="20"/>
          <w:szCs w:val="20"/>
          <w:b w:val="1"/>
          <w:bCs w:val="1"/>
          <w:color w:val="231F20"/>
        </w:rPr>
        <w:t>AMERICAN TOWER CORPORATION AND SUBSIDIARIES SCHEDULE III—SCHEDULE OF REAL ESTATE AND ACCUMULATED DEPRECIATION (dollars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Cost</w:t>
            </w:r>
          </w:p>
        </w:tc>
        <w:tc>
          <w:tcPr>
            <w:tcW w:w="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Gross amount</w:t>
            </w:r>
          </w:p>
        </w:tc>
        <w:tc>
          <w:tcPr>
            <w:tcW w:w="24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Life on which</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carried at</w:t>
            </w:r>
          </w:p>
        </w:tc>
        <w:tc>
          <w:tcPr>
            <w:tcW w:w="240" w:type="dxa"/>
            <w:vAlign w:val="bottom"/>
          </w:tcPr>
          <w:p>
            <w:pPr>
              <w:spacing w:after="0"/>
              <w:rPr>
                <w:sz w:val="13"/>
                <w:szCs w:val="13"/>
                <w:color w:val="auto"/>
              </w:rPr>
            </w:pPr>
          </w:p>
        </w:tc>
        <w:tc>
          <w:tcPr>
            <w:tcW w:w="10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depreciation</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depreciation in</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Initial cost</w:t>
            </w:r>
          </w:p>
        </w:tc>
        <w:tc>
          <w:tcPr>
            <w:tcW w:w="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capitalized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close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rPr>
              <w:t>at close of</w:t>
            </w:r>
          </w:p>
        </w:tc>
        <w:tc>
          <w:tcPr>
            <w:tcW w:w="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Date of</w:t>
            </w: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8"/>
              </w:rPr>
              <w:t>latest income</w:t>
            </w:r>
          </w:p>
        </w:tc>
        <w:tc>
          <w:tcPr>
            <w:tcW w:w="0" w:type="dxa"/>
            <w:vAlign w:val="bottom"/>
          </w:tcPr>
          <w:p>
            <w:pPr>
              <w:spacing w:after="0"/>
              <w:rPr>
                <w:sz w:val="1"/>
                <w:szCs w:val="1"/>
                <w:color w:val="auto"/>
              </w:rPr>
            </w:pPr>
          </w:p>
        </w:tc>
      </w:tr>
      <w:tr>
        <w:trPr>
          <w:trHeight w:val="160"/>
        </w:trPr>
        <w:tc>
          <w:tcPr>
            <w:tcW w:w="1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Description</w:t>
            </w:r>
          </w:p>
        </w:tc>
        <w:tc>
          <w:tcPr>
            <w:tcW w:w="8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231F20"/>
              </w:rPr>
              <w:t>Encumbrances</w:t>
            </w: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subsequent to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231F20"/>
                <w:w w:val="96"/>
              </w:rPr>
              <w:t>current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231F20"/>
              </w:rPr>
              <w:t>current</w:t>
            </w:r>
          </w:p>
        </w:tc>
        <w:tc>
          <w:tcPr>
            <w:tcW w:w="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statements is</w:t>
            </w:r>
          </w:p>
        </w:tc>
        <w:tc>
          <w:tcPr>
            <w:tcW w:w="0" w:type="dxa"/>
            <w:vAlign w:val="bottom"/>
          </w:tcPr>
          <w:p>
            <w:pPr>
              <w:spacing w:after="0"/>
              <w:rPr>
                <w:sz w:val="1"/>
                <w:szCs w:val="1"/>
                <w:color w:val="auto"/>
              </w:rPr>
            </w:pPr>
          </w:p>
        </w:tc>
      </w:tr>
      <w:tr>
        <w:trPr>
          <w:trHeight w:val="214"/>
        </w:trPr>
        <w:tc>
          <w:tcPr>
            <w:tcW w:w="1720" w:type="dxa"/>
            <w:vAlign w:val="bottom"/>
            <w:tcBorders>
              <w:bottom w:val="single" w:sz="8" w:color="231F20"/>
            </w:tcBorders>
            <w:gridSpan w:val="2"/>
            <w:vMerge w:val="continue"/>
          </w:tcPr>
          <w:p>
            <w:pPr>
              <w:spacing w:after="0"/>
              <w:rPr>
                <w:sz w:val="18"/>
                <w:szCs w:val="18"/>
                <w:color w:val="auto"/>
              </w:rPr>
            </w:pPr>
          </w:p>
        </w:tc>
        <w:tc>
          <w:tcPr>
            <w:tcW w:w="80" w:type="dxa"/>
            <w:vAlign w:val="bottom"/>
            <w:tcBorders>
              <w:bottom w:val="single" w:sz="8" w:color="E3E4E5"/>
            </w:tcBorders>
          </w:tcPr>
          <w:p>
            <w:pPr>
              <w:spacing w:after="0"/>
              <w:rPr>
                <w:sz w:val="18"/>
                <w:szCs w:val="18"/>
                <w:color w:val="auto"/>
              </w:rPr>
            </w:pPr>
          </w:p>
        </w:tc>
        <w:tc>
          <w:tcPr>
            <w:tcW w:w="1140" w:type="dxa"/>
            <w:vAlign w:val="bottom"/>
            <w:tcBorders>
              <w:bottom w:val="single" w:sz="8" w:color="231F20"/>
            </w:tcBorders>
            <w:gridSpan w:val="2"/>
            <w:vMerge w:val="continue"/>
          </w:tcPr>
          <w:p>
            <w:pPr>
              <w:spacing w:after="0"/>
              <w:rPr>
                <w:sz w:val="18"/>
                <w:szCs w:val="18"/>
                <w:color w:val="auto"/>
              </w:rPr>
            </w:pPr>
          </w:p>
        </w:tc>
        <w:tc>
          <w:tcPr>
            <w:tcW w:w="260" w:type="dxa"/>
            <w:vAlign w:val="bottom"/>
            <w:tcBorders>
              <w:bottom w:val="single" w:sz="8" w:color="E3E4E5"/>
            </w:tcBorders>
          </w:tcPr>
          <w:p>
            <w:pPr>
              <w:spacing w:after="0"/>
              <w:rPr>
                <w:sz w:val="18"/>
                <w:szCs w:val="18"/>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to company</w:t>
            </w:r>
          </w:p>
        </w:tc>
        <w:tc>
          <w:tcPr>
            <w:tcW w:w="60" w:type="dxa"/>
            <w:vAlign w:val="bottom"/>
            <w:tcBorders>
              <w:bottom w:val="single" w:sz="8" w:color="E3E4E5"/>
            </w:tcBorders>
          </w:tcPr>
          <w:p>
            <w:pPr>
              <w:spacing w:after="0"/>
              <w:rPr>
                <w:sz w:val="18"/>
                <w:szCs w:val="18"/>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acquisition</w:t>
            </w:r>
          </w:p>
        </w:tc>
        <w:tc>
          <w:tcPr>
            <w:tcW w:w="8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240" w:type="dxa"/>
            <w:vAlign w:val="bottom"/>
            <w:tcBorders>
              <w:bottom w:val="single" w:sz="8" w:color="E3E4E5"/>
            </w:tcBorders>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8"/>
              </w:rPr>
              <w:t>period</w:t>
            </w:r>
          </w:p>
        </w:tc>
        <w:tc>
          <w:tcPr>
            <w:tcW w:w="80" w:type="dxa"/>
            <w:vAlign w:val="bottom"/>
            <w:tcBorders>
              <w:bottom w:val="single" w:sz="8" w:color="E3E4E5"/>
            </w:tcBorders>
          </w:tcPr>
          <w:p>
            <w:pPr>
              <w:spacing w:after="0"/>
              <w:rPr>
                <w:sz w:val="18"/>
                <w:szCs w:val="18"/>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construction</w:t>
            </w:r>
          </w:p>
        </w:tc>
        <w:tc>
          <w:tcPr>
            <w:tcW w:w="80" w:type="dxa"/>
            <w:vAlign w:val="bottom"/>
            <w:tcBorders>
              <w:bottom w:val="single" w:sz="8" w:color="E3E4E5"/>
            </w:tcBorders>
          </w:tcPr>
          <w:p>
            <w:pPr>
              <w:spacing w:after="0"/>
              <w:rPr>
                <w:sz w:val="18"/>
                <w:szCs w:val="18"/>
                <w:color w:val="auto"/>
              </w:rPr>
            </w:pPr>
          </w:p>
        </w:tc>
        <w:tc>
          <w:tcPr>
            <w:tcW w:w="7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acquired</w:t>
            </w:r>
          </w:p>
        </w:tc>
        <w:tc>
          <w:tcPr>
            <w:tcW w:w="60" w:type="dxa"/>
            <w:vAlign w:val="bottom"/>
            <w:tcBorders>
              <w:bottom w:val="single" w:sz="8" w:color="E3E4E5"/>
            </w:tcBorders>
          </w:tcPr>
          <w:p>
            <w:pPr>
              <w:spacing w:after="0"/>
              <w:rPr>
                <w:sz w:val="18"/>
                <w:szCs w:val="18"/>
                <w:color w:val="auto"/>
              </w:rPr>
            </w:pPr>
          </w:p>
        </w:tc>
        <w:tc>
          <w:tcPr>
            <w:tcW w:w="1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computed</w:t>
            </w:r>
          </w:p>
        </w:tc>
        <w:tc>
          <w:tcPr>
            <w:tcW w:w="0" w:type="dxa"/>
            <w:vAlign w:val="bottom"/>
          </w:tcPr>
          <w:p>
            <w:pPr>
              <w:spacing w:after="0"/>
              <w:rPr>
                <w:sz w:val="1"/>
                <w:szCs w:val="1"/>
                <w:color w:val="auto"/>
              </w:rPr>
            </w:pPr>
          </w:p>
        </w:tc>
      </w:tr>
      <w:tr>
        <w:trPr>
          <w:trHeight w:val="245"/>
        </w:trPr>
        <w:tc>
          <w:tcPr>
            <w:tcW w:w="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148,824</w:t>
            </w:r>
          </w:p>
        </w:tc>
        <w:tc>
          <w:tcPr>
            <w:tcW w:w="1060" w:type="dxa"/>
            <w:vAlign w:val="bottom"/>
            <w:shd w:val="clear" w:color="auto" w:fill="E3E4E5"/>
          </w:tcPr>
          <w:p>
            <w:pPr>
              <w:ind w:left="60"/>
              <w:spacing w:after="0"/>
              <w:rPr>
                <w:sz w:val="20"/>
                <w:szCs w:val="20"/>
                <w:color w:val="auto"/>
              </w:rPr>
            </w:pPr>
            <w:r>
              <w:rPr>
                <w:rFonts w:ascii="Times New Roman" w:cs="Times New Roman" w:eastAsia="Times New Roman" w:hAnsi="Times New Roman"/>
                <w:sz w:val="16"/>
                <w:szCs w:val="16"/>
                <w:color w:val="231F20"/>
              </w:rPr>
              <w:t>Sites (1)</w:t>
            </w:r>
          </w:p>
        </w:tc>
        <w:tc>
          <w:tcPr>
            <w:tcW w:w="440" w:type="dxa"/>
            <w:vAlign w:val="bottom"/>
            <w:gridSpan w:val="2"/>
            <w:shd w:val="clear" w:color="auto" w:fill="E3E4E5"/>
          </w:tcPr>
          <w:p>
            <w:pPr>
              <w:ind w:left="140"/>
              <w:spacing w:after="0"/>
              <w:rPr>
                <w:sz w:val="20"/>
                <w:szCs w:val="20"/>
                <w:color w:val="auto"/>
              </w:rPr>
            </w:pPr>
            <w:r>
              <w:rPr>
                <w:rFonts w:ascii="Times New Roman" w:cs="Times New Roman" w:eastAsia="Times New Roman" w:hAnsi="Times New Roman"/>
                <w:sz w:val="16"/>
                <w:szCs w:val="16"/>
                <w:color w:val="231F20"/>
              </w:rPr>
              <w:t>$</w:t>
            </w:r>
          </w:p>
        </w:tc>
        <w:tc>
          <w:tcPr>
            <w:tcW w:w="7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1,800.0</w:t>
            </w:r>
          </w:p>
        </w:tc>
        <w:tc>
          <w:tcPr>
            <w:tcW w:w="2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w:t>
            </w:r>
          </w:p>
        </w:tc>
        <w:tc>
          <w:tcPr>
            <w:tcW w:w="920" w:type="dxa"/>
            <w:vAlign w:val="bottom"/>
            <w:shd w:val="clear" w:color="auto" w:fill="E3E4E5"/>
          </w:tcPr>
          <w:p>
            <w:pPr>
              <w:jc w:val="center"/>
              <w:spacing w:after="0"/>
              <w:rPr>
                <w:sz w:val="20"/>
                <w:szCs w:val="20"/>
                <w:color w:val="auto"/>
              </w:rPr>
            </w:pPr>
            <w:r>
              <w:rPr>
                <w:rFonts w:ascii="Times New Roman" w:cs="Times New Roman" w:eastAsia="Times New Roman" w:hAnsi="Times New Roman"/>
                <w:sz w:val="16"/>
                <w:szCs w:val="16"/>
                <w:color w:val="231F20"/>
                <w:w w:val="96"/>
              </w:rPr>
              <w:t>(3)</w:t>
            </w:r>
          </w:p>
        </w:tc>
        <w:tc>
          <w:tcPr>
            <w:tcW w:w="1120" w:type="dxa"/>
            <w:vAlign w:val="bottom"/>
            <w:gridSpan w:val="2"/>
            <w:shd w:val="clear" w:color="auto" w:fill="E3E4E5"/>
          </w:tcPr>
          <w:p>
            <w:pPr>
              <w:jc w:val="center"/>
              <w:spacing w:after="0"/>
              <w:rPr>
                <w:sz w:val="20"/>
                <w:szCs w:val="20"/>
                <w:color w:val="auto"/>
              </w:rPr>
            </w:pPr>
            <w:r>
              <w:rPr>
                <w:rFonts w:ascii="Times New Roman" w:cs="Times New Roman" w:eastAsia="Times New Roman" w:hAnsi="Times New Roman"/>
                <w:sz w:val="16"/>
                <w:szCs w:val="16"/>
                <w:color w:val="231F20"/>
              </w:rPr>
              <w:t>(3)</w:t>
            </w:r>
          </w:p>
        </w:tc>
        <w:tc>
          <w:tcPr>
            <w:tcW w:w="2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22,161.5</w:t>
            </w:r>
          </w:p>
        </w:tc>
        <w:tc>
          <w:tcPr>
            <w:tcW w:w="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8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6"/>
                <w:szCs w:val="16"/>
                <w:color w:val="231F20"/>
              </w:rPr>
              <w:t>(9,084.7)</w:t>
            </w:r>
          </w:p>
        </w:tc>
        <w:tc>
          <w:tcPr>
            <w:tcW w:w="80" w:type="dxa"/>
            <w:vAlign w:val="bottom"/>
            <w:shd w:val="clear" w:color="auto" w:fill="E3E4E5"/>
          </w:tcPr>
          <w:p>
            <w:pPr>
              <w:spacing w:after="0"/>
              <w:rPr>
                <w:sz w:val="21"/>
                <w:szCs w:val="21"/>
                <w:color w:val="auto"/>
              </w:rPr>
            </w:pPr>
          </w:p>
        </w:tc>
        <w:tc>
          <w:tcPr>
            <w:tcW w:w="1000" w:type="dxa"/>
            <w:vAlign w:val="bottom"/>
            <w:shd w:val="clear" w:color="auto" w:fill="E3E4E5"/>
          </w:tcPr>
          <w:p>
            <w:pPr>
              <w:ind w:left="440"/>
              <w:spacing w:after="0"/>
              <w:rPr>
                <w:sz w:val="20"/>
                <w:szCs w:val="20"/>
                <w:color w:val="auto"/>
              </w:rPr>
            </w:pPr>
            <w:r>
              <w:rPr>
                <w:rFonts w:ascii="Times New Roman" w:cs="Times New Roman" w:eastAsia="Times New Roman" w:hAnsi="Times New Roman"/>
                <w:sz w:val="16"/>
                <w:szCs w:val="16"/>
                <w:color w:val="231F20"/>
              </w:rPr>
              <w:t>Various</w:t>
            </w:r>
          </w:p>
        </w:tc>
        <w:tc>
          <w:tcPr>
            <w:tcW w:w="80" w:type="dxa"/>
            <w:vAlign w:val="bottom"/>
            <w:shd w:val="clear" w:color="auto" w:fill="E3E4E5"/>
          </w:tcPr>
          <w:p>
            <w:pPr>
              <w:spacing w:after="0"/>
              <w:rPr>
                <w:sz w:val="21"/>
                <w:szCs w:val="21"/>
                <w:color w:val="auto"/>
              </w:rPr>
            </w:pPr>
          </w:p>
        </w:tc>
        <w:tc>
          <w:tcPr>
            <w:tcW w:w="740" w:type="dxa"/>
            <w:vAlign w:val="bottom"/>
            <w:shd w:val="clear" w:color="auto" w:fill="E3E4E5"/>
          </w:tcPr>
          <w:p>
            <w:pPr>
              <w:ind w:left="180"/>
              <w:spacing w:after="0"/>
              <w:rPr>
                <w:sz w:val="20"/>
                <w:szCs w:val="20"/>
                <w:color w:val="auto"/>
              </w:rPr>
            </w:pPr>
            <w:r>
              <w:rPr>
                <w:rFonts w:ascii="Times New Roman" w:cs="Times New Roman" w:eastAsia="Times New Roman" w:hAnsi="Times New Roman"/>
                <w:sz w:val="16"/>
                <w:szCs w:val="16"/>
                <w:color w:val="231F20"/>
              </w:rPr>
              <w:t>Various</w:t>
            </w:r>
          </w:p>
        </w:tc>
        <w:tc>
          <w:tcPr>
            <w:tcW w:w="60" w:type="dxa"/>
            <w:vAlign w:val="bottom"/>
            <w:shd w:val="clear" w:color="auto" w:fill="E3E4E5"/>
          </w:tcPr>
          <w:p>
            <w:pPr>
              <w:spacing w:after="0"/>
              <w:rPr>
                <w:sz w:val="21"/>
                <w:szCs w:val="21"/>
                <w:color w:val="auto"/>
              </w:rPr>
            </w:pPr>
          </w:p>
        </w:tc>
        <w:tc>
          <w:tcPr>
            <w:tcW w:w="1160" w:type="dxa"/>
            <w:vAlign w:val="bottom"/>
            <w:shd w:val="clear" w:color="auto" w:fill="E3E4E5"/>
          </w:tcPr>
          <w:p>
            <w:pPr>
              <w:ind w:left="180"/>
              <w:spacing w:after="0"/>
              <w:rPr>
                <w:sz w:val="20"/>
                <w:szCs w:val="20"/>
                <w:color w:val="auto"/>
              </w:rPr>
            </w:pPr>
            <w:r>
              <w:rPr>
                <w:rFonts w:ascii="Times New Roman" w:cs="Times New Roman" w:eastAsia="Times New Roman" w:hAnsi="Times New Roman"/>
                <w:sz w:val="16"/>
                <w:szCs w:val="16"/>
                <w:color w:val="231F20"/>
              </w:rPr>
              <w:t>Up to 30 years</w:t>
            </w:r>
          </w:p>
        </w:tc>
        <w:tc>
          <w:tcPr>
            <w:tcW w:w="0" w:type="dxa"/>
            <w:vAlign w:val="bottom"/>
          </w:tcPr>
          <w:p>
            <w:pPr>
              <w:spacing w:after="0"/>
              <w:rPr>
                <w:sz w:val="1"/>
                <w:szCs w:val="1"/>
                <w:color w:val="auto"/>
              </w:rPr>
            </w:pPr>
          </w:p>
        </w:tc>
      </w:tr>
      <w:tr>
        <w:trPr>
          <w:trHeight w:val="239"/>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Data Centers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w:t>
            </w:r>
          </w:p>
        </w:tc>
        <w:tc>
          <w:tcPr>
            <w:tcW w:w="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231F20"/>
                <w:w w:val="96"/>
              </w:rPr>
              <w:t>(4)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231F20"/>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7,683.4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(1,581.9)</w:t>
            </w:r>
          </w:p>
        </w:tc>
        <w:tc>
          <w:tcPr>
            <w:tcW w:w="8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Various</w:t>
            </w:r>
          </w:p>
        </w:tc>
        <w:tc>
          <w:tcPr>
            <w:tcW w:w="8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Various</w:t>
            </w:r>
          </w:p>
        </w:tc>
        <w:tc>
          <w:tcPr>
            <w:tcW w:w="6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color w:val="231F20"/>
              </w:rPr>
              <w:t>Up to 40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-325755</wp:posOffset>
            </wp:positionV>
            <wp:extent cx="6883400"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39">
                      <a:extLst>
                        <a:ext uri="{28A0092B-C50C-407E-A947-70E740481C1C}"/>
                      </a:extLst>
                    </a:blip>
                    <a:srcRect/>
                    <a:stretch>
                      <a:fillRect/>
                    </a:stretch>
                  </pic:blipFill>
                  <pic:spPr bwMode="auto">
                    <a:xfrm>
                      <a:off x="0" y="0"/>
                      <a:ext cx="6883400" cy="2540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280" w:hanging="280"/>
        <w:spacing w:after="0"/>
        <w:tabs>
          <w:tab w:leader="none" w:pos="28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 single site exceeds 5% of the total amounts indicated in the table above.</w:t>
      </w:r>
    </w:p>
    <w:p>
      <w:pPr>
        <w:spacing w:after="0" w:line="8" w:lineRule="exact"/>
        <w:rPr>
          <w:rFonts w:ascii="Times New Roman" w:cs="Times New Roman" w:eastAsia="Times New Roman" w:hAnsi="Times New Roman"/>
          <w:sz w:val="16"/>
          <w:szCs w:val="16"/>
          <w:color w:val="231F20"/>
        </w:rPr>
      </w:pPr>
    </w:p>
    <w:p>
      <w:pPr>
        <w:ind w:left="280" w:hanging="280"/>
        <w:spacing w:after="0"/>
        <w:tabs>
          <w:tab w:leader="none" w:pos="28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Certain assets secure debt of $1.8 billion.</w:t>
      </w:r>
    </w:p>
    <w:p>
      <w:pPr>
        <w:spacing w:after="0" w:line="8" w:lineRule="exact"/>
        <w:rPr>
          <w:rFonts w:ascii="Times New Roman" w:cs="Times New Roman" w:eastAsia="Times New Roman" w:hAnsi="Times New Roman"/>
          <w:sz w:val="16"/>
          <w:szCs w:val="16"/>
          <w:color w:val="231F20"/>
        </w:rPr>
      </w:pPr>
    </w:p>
    <w:p>
      <w:pPr>
        <w:ind w:left="280" w:hanging="280"/>
        <w:spacing w:after="0"/>
        <w:tabs>
          <w:tab w:leader="none" w:pos="28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has omitted this information, as it would be impracticable to compile such information on a site-by-site basis.</w:t>
      </w:r>
    </w:p>
    <w:p>
      <w:pPr>
        <w:spacing w:after="0" w:line="8" w:lineRule="exact"/>
        <w:rPr>
          <w:rFonts w:ascii="Times New Roman" w:cs="Times New Roman" w:eastAsia="Times New Roman" w:hAnsi="Times New Roman"/>
          <w:sz w:val="16"/>
          <w:szCs w:val="16"/>
          <w:color w:val="231F20"/>
        </w:rPr>
      </w:pPr>
    </w:p>
    <w:p>
      <w:pPr>
        <w:ind w:left="280" w:hanging="280"/>
        <w:spacing w:after="0"/>
        <w:tabs>
          <w:tab w:leader="none" w:pos="28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Company has aggregated data center information on a basis consistent with its tower portfolio.</w:t>
      </w:r>
    </w:p>
    <w:p>
      <w:pPr>
        <w:spacing w:after="0" w:line="8" w:lineRule="exact"/>
        <w:rPr>
          <w:rFonts w:ascii="Times New Roman" w:cs="Times New Roman" w:eastAsia="Times New Roman" w:hAnsi="Times New Roman"/>
          <w:sz w:val="16"/>
          <w:szCs w:val="16"/>
          <w:color w:val="231F20"/>
        </w:rPr>
      </w:pPr>
    </w:p>
    <w:p>
      <w:pPr>
        <w:ind w:left="280" w:hanging="280"/>
        <w:spacing w:after="0"/>
        <w:tabs>
          <w:tab w:leader="none" w:pos="280" w:val="left"/>
        </w:tabs>
        <w:numPr>
          <w:ilvl w:val="0"/>
          <w:numId w:val="12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Does not include those sites under construction.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Borders>
              <w:bottom w:val="single" w:sz="8" w:color="E3E4E5"/>
            </w:tcBorders>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Borders>
              <w:bottom w:val="single" w:sz="8" w:color="E3E4E5"/>
            </w:tcBorders>
          </w:tcPr>
          <w:p>
            <w:pPr>
              <w:spacing w:after="0"/>
              <w:rPr>
                <w:sz w:val="18"/>
                <w:szCs w:val="18"/>
                <w:color w:val="auto"/>
              </w:rPr>
            </w:pPr>
          </w:p>
        </w:tc>
        <w:tc>
          <w:tcPr>
            <w:tcW w:w="34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E3E4E5"/>
            </w:tcBorders>
          </w:tcPr>
          <w:p>
            <w:pPr>
              <w:spacing w:after="0"/>
              <w:rPr>
                <w:sz w:val="18"/>
                <w:szCs w:val="18"/>
                <w:color w:val="auto"/>
              </w:rPr>
            </w:pPr>
          </w:p>
        </w:tc>
        <w:tc>
          <w:tcPr>
            <w:tcW w:w="320" w:type="dxa"/>
            <w:vAlign w:val="bottom"/>
            <w:tcBorders>
              <w:bottom w:val="single" w:sz="8" w:color="E3E4E5"/>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30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2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Gross amount at beginning</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27,582.5</w:t>
            </w:r>
          </w:p>
        </w:tc>
        <w:tc>
          <w:tcPr>
            <w:tcW w:w="700" w:type="dxa"/>
            <w:vAlign w:val="bottom"/>
            <w:gridSpan w:val="4"/>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28,239.2</w:t>
            </w:r>
          </w:p>
        </w:tc>
        <w:tc>
          <w:tcPr>
            <w:tcW w:w="660" w:type="dxa"/>
            <w:vAlign w:val="bottom"/>
            <w:gridSpan w:val="4"/>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27,060.9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Additions during period: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Acquisitions (1)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348.5</w:t>
            </w: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91.8</w:t>
            </w: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Discretionary capital projects (2)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846.6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Discretionary ground lease purchases (3)</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194.4</w:t>
            </w: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130.5</w:t>
            </w: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Redevelopment capital expenditures (4)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335.8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Capital improvements (5)</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159.6</w:t>
            </w: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154.4</w:t>
            </w: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192.7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Start-up capital expenditures (6) </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79.6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(7)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785.3</w:t>
            </w:r>
          </w:p>
        </w:tc>
        <w:tc>
          <w:tcPr>
            <w:tcW w:w="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416.7</w:t>
            </w: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Total additions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2,717.3</w:t>
            </w:r>
          </w:p>
        </w:tc>
        <w:tc>
          <w:tcPr>
            <w:tcW w:w="20" w:type="dxa"/>
            <w:vAlign w:val="bottom"/>
            <w:tcBorders>
              <w:bottom w:val="single" w:sz="8" w:color="E3E4E5"/>
            </w:tcBorders>
          </w:tcPr>
          <w:p>
            <w:pPr>
              <w:spacing w:after="0"/>
              <w:rPr>
                <w:sz w:val="21"/>
                <w:szCs w:val="21"/>
                <w:color w:val="auto"/>
              </w:rPr>
            </w:pPr>
          </w:p>
        </w:tc>
        <w:tc>
          <w:tcPr>
            <w:tcW w:w="340" w:type="dxa"/>
            <w:vAlign w:val="bottom"/>
            <w:tcBorders>
              <w:bottom w:val="single" w:sz="8" w:color="E3E4E5"/>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2,055.4</w:t>
            </w:r>
          </w:p>
        </w:tc>
        <w:tc>
          <w:tcPr>
            <w:tcW w:w="20" w:type="dxa"/>
            <w:vAlign w:val="bottom"/>
            <w:tcBorders>
              <w:bottom w:val="single" w:sz="8" w:color="E3E4E5"/>
            </w:tcBorders>
          </w:tcPr>
          <w:p>
            <w:pPr>
              <w:spacing w:after="0"/>
              <w:rPr>
                <w:sz w:val="21"/>
                <w:szCs w:val="21"/>
                <w:color w:val="auto"/>
              </w:rPr>
            </w:pPr>
          </w:p>
        </w:tc>
        <w:tc>
          <w:tcPr>
            <w:tcW w:w="320" w:type="dxa"/>
            <w:vAlign w:val="bottom"/>
            <w:tcBorders>
              <w:bottom w:val="single" w:sz="8" w:color="E3E4E5"/>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1,860.7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Deductions during period:</w:t>
            </w:r>
          </w:p>
        </w:tc>
        <w:tc>
          <w:tcPr>
            <w:tcW w:w="280" w:type="dxa"/>
            <w:vAlign w:val="bottom"/>
            <w:shd w:val="clear" w:color="auto" w:fill="E3E4E5"/>
          </w:tcPr>
          <w:p>
            <w:pPr>
              <w:spacing w:after="0"/>
              <w:rPr>
                <w:sz w:val="23"/>
                <w:szCs w:val="23"/>
                <w:color w:val="auto"/>
              </w:rPr>
            </w:pPr>
          </w:p>
        </w:tc>
        <w:tc>
          <w:tcPr>
            <w:tcW w:w="96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4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20" w:type="dxa"/>
            <w:vAlign w:val="bottom"/>
            <w:shd w:val="clear" w:color="auto" w:fill="E3E4E5"/>
          </w:tcPr>
          <w:p>
            <w:pPr>
              <w:spacing w:after="0"/>
              <w:rPr>
                <w:sz w:val="23"/>
                <w:szCs w:val="23"/>
                <w:color w:val="auto"/>
              </w:rPr>
            </w:pPr>
          </w:p>
        </w:tc>
        <w:tc>
          <w:tcPr>
            <w:tcW w:w="2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980" w:type="dxa"/>
            <w:vAlign w:val="bottom"/>
            <w:shd w:val="clear" w:color="auto" w:fill="E3E4E5"/>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Cost of real estate sold or disposed (8)</w:t>
            </w:r>
            <w:r>
              <w:rPr>
                <w:rFonts w:ascii="Times New Roman" w:cs="Times New Roman" w:eastAsia="Times New Roman" w:hAnsi="Times New Roman"/>
                <w:sz w:val="20"/>
                <w:szCs w:val="20"/>
                <w:color w:val="BABCBE"/>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Other (9)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(94.5)</w:t>
            </w:r>
          </w:p>
        </w:tc>
        <w:tc>
          <w:tcPr>
            <w:tcW w:w="20" w:type="dxa"/>
            <w:vAlign w:val="bottom"/>
            <w:tcBorders>
              <w:bottom w:val="single" w:sz="8" w:color="E3E4E5"/>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(2,459.7)</w:t>
            </w: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231F20"/>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(479.6)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Total deductions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(454.9)</w:t>
            </w:r>
          </w:p>
        </w:tc>
        <w:tc>
          <w:tcPr>
            <w:tcW w:w="20" w:type="dxa"/>
            <w:vAlign w:val="bottom"/>
            <w:tcBorders>
              <w:bottom w:val="single" w:sz="8" w:color="E3E4E5"/>
            </w:tcBorders>
          </w:tcPr>
          <w:p>
            <w:pPr>
              <w:spacing w:after="0"/>
              <w:rPr>
                <w:sz w:val="21"/>
                <w:szCs w:val="21"/>
                <w:color w:val="auto"/>
              </w:rPr>
            </w:pPr>
          </w:p>
        </w:tc>
        <w:tc>
          <w:tcPr>
            <w:tcW w:w="340" w:type="dxa"/>
            <w:vAlign w:val="bottom"/>
            <w:tcBorders>
              <w:bottom w:val="single" w:sz="8" w:color="E3E4E5"/>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(2,712.1)</w:t>
            </w:r>
          </w:p>
        </w:tc>
        <w:tc>
          <w:tcPr>
            <w:tcW w:w="20" w:type="dxa"/>
            <w:vAlign w:val="bottom"/>
            <w:tcBorders>
              <w:bottom w:val="single" w:sz="8" w:color="E3E4E5"/>
            </w:tcBorders>
          </w:tcPr>
          <w:p>
            <w:pPr>
              <w:spacing w:after="0"/>
              <w:rPr>
                <w:sz w:val="21"/>
                <w:szCs w:val="21"/>
                <w:color w:val="auto"/>
              </w:rPr>
            </w:pPr>
          </w:p>
        </w:tc>
        <w:tc>
          <w:tcPr>
            <w:tcW w:w="320" w:type="dxa"/>
            <w:vAlign w:val="bottom"/>
            <w:tcBorders>
              <w:bottom w:val="single" w:sz="8" w:color="E3E4E5"/>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Balance at end</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29,844.9</w:t>
            </w:r>
          </w:p>
        </w:tc>
        <w:tc>
          <w:tcPr>
            <w:tcW w:w="360" w:type="dxa"/>
            <w:vAlign w:val="bottom"/>
            <w:tcBorders>
              <w:bottom w:val="single" w:sz="8" w:color="E3E4E5"/>
            </w:tcBorders>
            <w:gridSpan w:val="2"/>
            <w:shd w:val="clear" w:color="auto" w:fill="E3E4E5"/>
          </w:tcPr>
          <w:p>
            <w:pPr>
              <w:spacing w:after="0"/>
              <w:rPr>
                <w:sz w:val="23"/>
                <w:szCs w:val="23"/>
                <w:color w:val="auto"/>
              </w:rPr>
            </w:pPr>
          </w:p>
        </w:tc>
        <w:tc>
          <w:tcPr>
            <w:tcW w:w="340" w:type="dxa"/>
            <w:vAlign w:val="bottom"/>
            <w:tcBorders>
              <w:bottom w:val="single" w:sz="8" w:color="231F20"/>
            </w:tcBorders>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E3E4E5"/>
          </w:tcPr>
          <w:p>
            <w:pPr>
              <w:jc w:val="right"/>
              <w:ind w:right="2"/>
              <w:spacing w:after="0"/>
              <w:rPr>
                <w:sz w:val="20"/>
                <w:szCs w:val="20"/>
                <w:color w:val="auto"/>
              </w:rPr>
            </w:pPr>
            <w:r>
              <w:rPr>
                <w:rFonts w:ascii="Times New Roman" w:cs="Times New Roman" w:eastAsia="Times New Roman" w:hAnsi="Times New Roman"/>
                <w:sz w:val="20"/>
                <w:szCs w:val="20"/>
                <w:color w:val="231F20"/>
              </w:rPr>
              <w:t>27,582.5</w:t>
            </w:r>
          </w:p>
        </w:tc>
        <w:tc>
          <w:tcPr>
            <w:tcW w:w="340" w:type="dxa"/>
            <w:vAlign w:val="bottom"/>
            <w:tcBorders>
              <w:bottom w:val="single" w:sz="8" w:color="E3E4E5"/>
            </w:tcBorders>
            <w:gridSpan w:val="2"/>
            <w:shd w:val="clear" w:color="auto" w:fill="E3E4E5"/>
          </w:tcPr>
          <w:p>
            <w:pPr>
              <w:spacing w:after="0"/>
              <w:rPr>
                <w:sz w:val="23"/>
                <w:szCs w:val="23"/>
                <w:color w:val="auto"/>
              </w:rPr>
            </w:pPr>
          </w:p>
        </w:tc>
        <w:tc>
          <w:tcPr>
            <w:tcW w:w="320" w:type="dxa"/>
            <w:vAlign w:val="bottom"/>
            <w:tcBorders>
              <w:bottom w:val="single" w:sz="8" w:color="231F20"/>
            </w:tcBorders>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28,239.2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Amounts related to discontinued operations</w:t>
            </w: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40" w:type="dxa"/>
            <w:vAlign w:val="bottom"/>
            <w:vMerge w:val="continue"/>
          </w:tcPr>
          <w:p>
            <w:pPr>
              <w:jc w:val="right"/>
              <w:spacing w:after="0" w:line="163" w:lineRule="exact"/>
              <w:rPr>
                <w:sz w:val="20"/>
                <w:szCs w:val="20"/>
                <w:color w:val="auto"/>
              </w:rPr>
            </w:pPr>
            <w:r>
              <w:rPr>
                <w:rFonts w:ascii="Times New Roman" w:cs="Times New Roman" w:eastAsia="Times New Roman" w:hAnsi="Times New Roman"/>
                <w:sz w:val="18"/>
                <w:szCs w:val="18"/>
                <w:color w:val="BABCBE"/>
              </w:rPr>
              <w:t>....................................................</w:t>
            </w:r>
          </w:p>
        </w:tc>
        <w:tc>
          <w:tcPr>
            <w:tcW w:w="280" w:type="dxa"/>
            <w:vAlign w:val="bottom"/>
            <w:tcBorders>
              <w:top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240" w:type="dxa"/>
            <w:vAlign w:val="bottom"/>
            <w:tcBorders>
              <w:bottom w:val="single" w:sz="8" w:color="E3E4E5"/>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Borders>
              <w:bottom w:val="single" w:sz="8" w:color="231F20"/>
            </w:tcBorders>
          </w:tcPr>
          <w:p>
            <w:pPr>
              <w:spacing w:after="0"/>
              <w:rPr>
                <w:sz w:val="24"/>
                <w:szCs w:val="24"/>
                <w:color w:val="auto"/>
              </w:rPr>
            </w:pPr>
          </w:p>
        </w:tc>
        <w:tc>
          <w:tcPr>
            <w:tcW w:w="34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 w:type="dxa"/>
            <w:vAlign w:val="bottom"/>
            <w:tcBorders>
              <w:bottom w:val="single" w:sz="8" w:color="231F20"/>
            </w:tcBorders>
          </w:tcPr>
          <w:p>
            <w:pPr>
              <w:spacing w:after="0"/>
              <w:rPr>
                <w:sz w:val="24"/>
                <w:szCs w:val="24"/>
                <w:color w:val="auto"/>
              </w:rPr>
            </w:pPr>
          </w:p>
        </w:tc>
        <w:tc>
          <w:tcPr>
            <w:tcW w:w="320" w:type="dxa"/>
            <w:vAlign w:val="bottom"/>
            <w:tcBorders>
              <w:bottom w:val="single" w:sz="8" w:color="E3E4E5"/>
            </w:tcBorders>
          </w:tcPr>
          <w:p>
            <w:pPr>
              <w:spacing w:after="0"/>
              <w:rPr>
                <w:sz w:val="24"/>
                <w:szCs w:val="24"/>
                <w:color w:val="auto"/>
              </w:rPr>
            </w:pPr>
          </w:p>
        </w:tc>
        <w:tc>
          <w:tcPr>
            <w:tcW w:w="20" w:type="dxa"/>
            <w:vAlign w:val="bottom"/>
            <w:tcBorders>
              <w:bottom w:val="single" w:sz="8" w:color="E3E4E5"/>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shd w:val="clear" w:color="auto" w:fill="E3E4E5"/>
          </w:tcPr>
          <w:p>
            <w:pPr>
              <w:ind w:left="60"/>
              <w:spacing w:after="0"/>
              <w:rPr>
                <w:sz w:val="20"/>
                <w:szCs w:val="20"/>
                <w:color w:val="auto"/>
              </w:rPr>
            </w:pPr>
            <w:r>
              <w:rPr>
                <w:rFonts w:ascii="Times New Roman" w:cs="Times New Roman" w:eastAsia="Times New Roman" w:hAnsi="Times New Roman"/>
                <w:sz w:val="20"/>
                <w:szCs w:val="20"/>
                <w:color w:val="231F20"/>
              </w:rPr>
              <w:t>Gross amount of accumulated depreciation at beginning</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(9,683.6)</w:t>
            </w:r>
          </w:p>
        </w:tc>
        <w:tc>
          <w:tcPr>
            <w:tcW w:w="700" w:type="dxa"/>
            <w:vAlign w:val="bottom"/>
            <w:gridSpan w:val="4"/>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(9,820.6)</w:t>
            </w:r>
          </w:p>
        </w:tc>
        <w:tc>
          <w:tcPr>
            <w:tcW w:w="660" w:type="dxa"/>
            <w:vAlign w:val="bottom"/>
            <w:gridSpan w:val="4"/>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(8,669.5)</w:t>
            </w:r>
          </w:p>
        </w:tc>
        <w:tc>
          <w:tcPr>
            <w:tcW w:w="20" w:type="dxa"/>
            <w:vAlign w:val="bottom"/>
            <w:shd w:val="clear" w:color="auto" w:fill="E3E4E5"/>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Additions during period: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(974.0)</w:t>
            </w: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(1,002.3)</w:t>
            </w: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(1,353.5)</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Other (9)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(250.4)</w:t>
            </w:r>
          </w:p>
        </w:tc>
        <w:tc>
          <w:tcPr>
            <w:tcW w:w="20" w:type="dxa"/>
            <w:vAlign w:val="bottom"/>
            <w:tcBorders>
              <w:bottom w:val="single" w:sz="8" w:color="231F20"/>
            </w:tcBorders>
          </w:tcPr>
          <w:p>
            <w:pPr>
              <w:spacing w:after="0"/>
              <w:rPr>
                <w:sz w:val="23"/>
                <w:szCs w:val="23"/>
                <w:color w:val="auto"/>
              </w:rPr>
            </w:pPr>
          </w:p>
        </w:tc>
        <w:tc>
          <w:tcPr>
            <w:tcW w:w="34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3"/>
                <w:szCs w:val="23"/>
                <w:color w:val="auto"/>
              </w:rPr>
            </w:pPr>
          </w:p>
        </w:tc>
        <w:tc>
          <w:tcPr>
            <w:tcW w:w="32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additions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(1,224.4)</w:t>
            </w:r>
          </w:p>
        </w:tc>
        <w:tc>
          <w:tcPr>
            <w:tcW w:w="20" w:type="dxa"/>
            <w:vAlign w:val="bottom"/>
            <w:tcBorders>
              <w:bottom w:val="single" w:sz="8" w:color="231F20"/>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(1,002.3)</w:t>
            </w:r>
          </w:p>
        </w:tc>
        <w:tc>
          <w:tcPr>
            <w:tcW w:w="2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(1,353.5)</w:t>
            </w: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Deductions during period: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6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Amount of accumulated depreciation for assets sold or disposed (8) </w:t>
            </w:r>
            <w:r>
              <w:rPr>
                <w:rFonts w:ascii="Times New Roman" w:cs="Times New Roman" w:eastAsia="Times New Roman" w:hAnsi="Times New Roman"/>
                <w:sz w:val="20"/>
                <w:szCs w:val="20"/>
                <w:color w:val="BABCBE"/>
              </w:rPr>
              <w:t>.......</w:t>
            </w:r>
          </w:p>
        </w:tc>
        <w:tc>
          <w:tcPr>
            <w:tcW w:w="280" w:type="dxa"/>
            <w:vAlign w:val="bottom"/>
            <w:shd w:val="clear" w:color="auto" w:fill="E3E4E5"/>
          </w:tcPr>
          <w:p>
            <w:pPr>
              <w:spacing w:after="0"/>
              <w:rPr>
                <w:sz w:val="24"/>
                <w:szCs w:val="24"/>
                <w:color w:val="auto"/>
              </w:rPr>
            </w:pP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241.4</w:t>
            </w:r>
          </w:p>
        </w:tc>
        <w:tc>
          <w:tcPr>
            <w:tcW w:w="20" w:type="dxa"/>
            <w:vAlign w:val="bottom"/>
            <w:shd w:val="clear" w:color="auto" w:fill="E3E4E5"/>
          </w:tcPr>
          <w:p>
            <w:pPr>
              <w:spacing w:after="0"/>
              <w:rPr>
                <w:sz w:val="24"/>
                <w:szCs w:val="24"/>
                <w:color w:val="auto"/>
              </w:rPr>
            </w:pPr>
          </w:p>
        </w:tc>
        <w:tc>
          <w:tcPr>
            <w:tcW w:w="34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166.0</w:t>
            </w:r>
          </w:p>
        </w:tc>
        <w:tc>
          <w:tcPr>
            <w:tcW w:w="2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20" w:type="dxa"/>
            <w:vAlign w:val="bottom"/>
            <w:shd w:val="clear" w:color="auto" w:fill="E3E4E5"/>
          </w:tcPr>
          <w:p>
            <w:pPr>
              <w:spacing w:after="0"/>
              <w:rPr>
                <w:sz w:val="24"/>
                <w:szCs w:val="24"/>
                <w:color w:val="auto"/>
              </w:rPr>
            </w:pPr>
          </w:p>
        </w:tc>
        <w:tc>
          <w:tcPr>
            <w:tcW w:w="300" w:type="dxa"/>
            <w:vAlign w:val="bottom"/>
            <w:shd w:val="clear" w:color="auto" w:fill="E3E4E5"/>
          </w:tcPr>
          <w:p>
            <w:pPr>
              <w:spacing w:after="0"/>
              <w:rPr>
                <w:sz w:val="24"/>
                <w:szCs w:val="24"/>
                <w:color w:val="auto"/>
              </w:rPr>
            </w:pP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89.0</w:t>
            </w:r>
          </w:p>
        </w:tc>
        <w:tc>
          <w:tcPr>
            <w:tcW w:w="20" w:type="dxa"/>
            <w:vAlign w:val="bottom"/>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40" w:type="dxa"/>
            <w:vAlign w:val="bottom"/>
            <w:tcBorders>
              <w:bottom w:val="single" w:sz="8" w:color="E3E4E5"/>
            </w:tcBorders>
          </w:tcPr>
          <w:p>
            <w:pPr>
              <w:jc w:val="right"/>
              <w:spacing w:after="0"/>
              <w:rPr>
                <w:sz w:val="20"/>
                <w:szCs w:val="20"/>
                <w:color w:val="auto"/>
              </w:rPr>
            </w:pPr>
            <w:r>
              <w:rPr>
                <w:rFonts w:ascii="Times New Roman" w:cs="Times New Roman" w:eastAsia="Times New Roman" w:hAnsi="Times New Roman"/>
                <w:sz w:val="20"/>
                <w:szCs w:val="20"/>
                <w:color w:val="231F20"/>
              </w:rPr>
              <w:t xml:space="preserve">Other (9)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Borders>
              <w:bottom w:val="single" w:sz="8" w:color="231F20"/>
            </w:tcBorders>
          </w:tcPr>
          <w:p>
            <w:pPr>
              <w:spacing w:after="0"/>
              <w:rPr>
                <w:sz w:val="23"/>
                <w:szCs w:val="23"/>
                <w:color w:val="auto"/>
              </w:rPr>
            </w:pPr>
          </w:p>
        </w:tc>
        <w:tc>
          <w:tcPr>
            <w:tcW w:w="34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973.3</w:t>
            </w:r>
          </w:p>
        </w:tc>
        <w:tc>
          <w:tcPr>
            <w:tcW w:w="20" w:type="dxa"/>
            <w:vAlign w:val="bottom"/>
            <w:tcBorders>
              <w:bottom w:val="single" w:sz="8" w:color="231F20"/>
            </w:tcBorders>
          </w:tcPr>
          <w:p>
            <w:pPr>
              <w:spacing w:after="0"/>
              <w:rPr>
                <w:sz w:val="23"/>
                <w:szCs w:val="23"/>
                <w:color w:val="auto"/>
              </w:rPr>
            </w:pPr>
          </w:p>
        </w:tc>
        <w:tc>
          <w:tcPr>
            <w:tcW w:w="320" w:type="dxa"/>
            <w:vAlign w:val="bottom"/>
            <w:tcBorders>
              <w:bottom w:val="single" w:sz="8" w:color="E3E4E5"/>
            </w:tcBorders>
          </w:tcPr>
          <w:p>
            <w:pPr>
              <w:spacing w:after="0"/>
              <w:rPr>
                <w:sz w:val="23"/>
                <w:szCs w:val="23"/>
                <w:color w:val="auto"/>
              </w:rPr>
            </w:pPr>
          </w:p>
        </w:tc>
        <w:tc>
          <w:tcPr>
            <w:tcW w:w="20" w:type="dxa"/>
            <w:vAlign w:val="bottom"/>
            <w:tcBorders>
              <w:bottom w:val="single" w:sz="8" w:color="E3E4E5"/>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113.4</w:t>
            </w:r>
          </w:p>
        </w:tc>
        <w:tc>
          <w:tcPr>
            <w:tcW w:w="2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24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 xml:space="preserve">Total deductions </w:t>
            </w:r>
            <w:r>
              <w:rPr>
                <w:rFonts w:ascii="Times New Roman" w:cs="Times New Roman" w:eastAsia="Times New Roman" w:hAnsi="Times New Roman"/>
                <w:sz w:val="20"/>
                <w:szCs w:val="20"/>
                <w:color w:val="BABCBE"/>
              </w:rPr>
              <w:t>...............................................................................................</w:t>
            </w:r>
          </w:p>
        </w:tc>
        <w:tc>
          <w:tcPr>
            <w:tcW w:w="280" w:type="dxa"/>
            <w:vAlign w:val="bottom"/>
            <w:tcBorders>
              <w:bottom w:val="single" w:sz="8" w:color="231F20"/>
            </w:tcBorders>
            <w:shd w:val="clear" w:color="auto" w:fill="E3E4E5"/>
          </w:tcPr>
          <w:p>
            <w:pPr>
              <w:spacing w:after="0"/>
              <w:rPr>
                <w:sz w:val="24"/>
                <w:szCs w:val="24"/>
                <w:color w:val="auto"/>
              </w:rPr>
            </w:pPr>
          </w:p>
        </w:tc>
        <w:tc>
          <w:tcPr>
            <w:tcW w:w="9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241.4</w:t>
            </w:r>
          </w:p>
        </w:tc>
        <w:tc>
          <w:tcPr>
            <w:tcW w:w="20" w:type="dxa"/>
            <w:vAlign w:val="bottom"/>
            <w:tcBorders>
              <w:bottom w:val="single" w:sz="8" w:color="231F20"/>
            </w:tcBorders>
            <w:shd w:val="clear" w:color="auto" w:fill="E3E4E5"/>
          </w:tcPr>
          <w:p>
            <w:pPr>
              <w:spacing w:after="0"/>
              <w:rPr>
                <w:sz w:val="24"/>
                <w:szCs w:val="24"/>
                <w:color w:val="auto"/>
              </w:rPr>
            </w:pPr>
          </w:p>
        </w:tc>
        <w:tc>
          <w:tcPr>
            <w:tcW w:w="34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2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1,139.3</w:t>
            </w:r>
          </w:p>
        </w:tc>
        <w:tc>
          <w:tcPr>
            <w:tcW w:w="20" w:type="dxa"/>
            <w:vAlign w:val="bottom"/>
            <w:tcBorders>
              <w:bottom w:val="single" w:sz="8" w:color="231F20"/>
            </w:tcBorders>
            <w:shd w:val="clear" w:color="auto" w:fill="E3E4E5"/>
          </w:tcPr>
          <w:p>
            <w:pPr>
              <w:spacing w:after="0"/>
              <w:rPr>
                <w:sz w:val="24"/>
                <w:szCs w:val="24"/>
                <w:color w:val="auto"/>
              </w:rPr>
            </w:pPr>
          </w:p>
        </w:tc>
        <w:tc>
          <w:tcPr>
            <w:tcW w:w="320" w:type="dxa"/>
            <w:vAlign w:val="bottom"/>
            <w:tcBorders>
              <w:bottom w:val="single" w:sz="8" w:color="E3E4E5"/>
            </w:tcBorders>
            <w:shd w:val="clear" w:color="auto" w:fill="E3E4E5"/>
          </w:tcPr>
          <w:p>
            <w:pPr>
              <w:spacing w:after="0"/>
              <w:rPr>
                <w:sz w:val="24"/>
                <w:szCs w:val="24"/>
                <w:color w:val="auto"/>
              </w:rPr>
            </w:pPr>
          </w:p>
        </w:tc>
        <w:tc>
          <w:tcPr>
            <w:tcW w:w="20" w:type="dxa"/>
            <w:vAlign w:val="bottom"/>
            <w:tcBorders>
              <w:bottom w:val="single" w:sz="8" w:color="E3E4E5"/>
            </w:tcBorders>
            <w:shd w:val="clear" w:color="auto" w:fill="E3E4E5"/>
          </w:tcPr>
          <w:p>
            <w:pPr>
              <w:spacing w:after="0"/>
              <w:rPr>
                <w:sz w:val="24"/>
                <w:szCs w:val="24"/>
                <w:color w:val="auto"/>
              </w:rPr>
            </w:pPr>
          </w:p>
        </w:tc>
        <w:tc>
          <w:tcPr>
            <w:tcW w:w="300" w:type="dxa"/>
            <w:vAlign w:val="bottom"/>
            <w:tcBorders>
              <w:bottom w:val="single" w:sz="8" w:color="231F20"/>
            </w:tcBorders>
            <w:shd w:val="clear" w:color="auto" w:fill="E3E4E5"/>
          </w:tcPr>
          <w:p>
            <w:pPr>
              <w:spacing w:after="0"/>
              <w:rPr>
                <w:sz w:val="24"/>
                <w:szCs w:val="24"/>
                <w:color w:val="auto"/>
              </w:rPr>
            </w:pPr>
          </w:p>
        </w:tc>
        <w:tc>
          <w:tcPr>
            <w:tcW w:w="9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202.4</w:t>
            </w:r>
          </w:p>
        </w:tc>
        <w:tc>
          <w:tcPr>
            <w:tcW w:w="20" w:type="dxa"/>
            <w:vAlign w:val="bottom"/>
            <w:tcBorders>
              <w:bottom w:val="single" w:sz="8" w:color="231F20"/>
            </w:tcBorders>
            <w:shd w:val="clear" w:color="auto" w:fill="E3E4E5"/>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2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231F20"/>
              </w:rPr>
              <w:t>Balance at end</w:t>
            </w:r>
            <w:r>
              <w:rPr>
                <w:rFonts w:ascii="Times New Roman" w:cs="Times New Roman" w:eastAsia="Times New Roman" w:hAnsi="Times New Roman"/>
                <w:sz w:val="20"/>
                <w:szCs w:val="20"/>
                <w:color w:val="BABCBE"/>
              </w:rPr>
              <w:t>...................................................................................................</w:t>
            </w:r>
          </w:p>
        </w:tc>
        <w:tc>
          <w:tcPr>
            <w:tcW w:w="280" w:type="dxa"/>
            <w:vAlign w:val="bottom"/>
          </w:tcPr>
          <w:p>
            <w:pPr>
              <w:jc w:val="right"/>
              <w:ind w:right="20"/>
              <w:spacing w:after="0" w:line="226" w:lineRule="exact"/>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231F20"/>
              </w:rPr>
              <w:t>(10,666.6)</w:t>
            </w:r>
          </w:p>
        </w:tc>
        <w:tc>
          <w:tcPr>
            <w:tcW w:w="700" w:type="dxa"/>
            <w:vAlign w:val="bottom"/>
            <w:gridSpan w:val="4"/>
          </w:tcPr>
          <w:p>
            <w:pPr>
              <w:jc w:val="right"/>
              <w:ind w:right="60"/>
              <w:spacing w:after="0" w:line="226"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231F20"/>
              </w:rPr>
              <w:t>(9,683.6)</w:t>
            </w:r>
          </w:p>
        </w:tc>
        <w:tc>
          <w:tcPr>
            <w:tcW w:w="660" w:type="dxa"/>
            <w:vAlign w:val="bottom"/>
            <w:gridSpan w:val="4"/>
          </w:tcPr>
          <w:p>
            <w:pPr>
              <w:jc w:val="right"/>
              <w:ind w:right="60"/>
              <w:spacing w:after="0" w:line="226"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231F20"/>
              </w:rPr>
              <w:t>(9,820.6)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E3E4E5"/>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bottom w:val="single" w:sz="8" w:color="E3E4E5"/>
            </w:tcBorders>
          </w:tcPr>
          <w:p>
            <w:pPr>
              <w:spacing w:after="0" w:line="20" w:lineRule="exact"/>
              <w:rPr>
                <w:sz w:val="1"/>
                <w:szCs w:val="1"/>
                <w:color w:val="auto"/>
              </w:rPr>
            </w:pPr>
          </w:p>
        </w:tc>
        <w:tc>
          <w:tcPr>
            <w:tcW w:w="20" w:type="dxa"/>
            <w:vAlign w:val="bottom"/>
            <w:tcBorders>
              <w:bottom w:val="single" w:sz="8" w:color="E3E4E5"/>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bottom w:val="single" w:sz="8" w:color="E3E4E5"/>
            </w:tcBorders>
          </w:tcPr>
          <w:p>
            <w:pPr>
              <w:spacing w:after="0" w:line="20" w:lineRule="exact"/>
              <w:rPr>
                <w:sz w:val="1"/>
                <w:szCs w:val="1"/>
                <w:color w:val="auto"/>
              </w:rPr>
            </w:pPr>
          </w:p>
        </w:tc>
        <w:tc>
          <w:tcPr>
            <w:tcW w:w="20" w:type="dxa"/>
            <w:vAlign w:val="bottom"/>
            <w:tcBorders>
              <w:bottom w:val="single" w:sz="8" w:color="E3E4E5"/>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2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BABCBE"/>
              </w:rPr>
              <w:t>....................................................</w:t>
            </w:r>
            <w:r>
              <w:rPr>
                <w:rFonts w:ascii="Times New Roman" w:cs="Times New Roman" w:eastAsia="Times New Roman" w:hAnsi="Times New Roman"/>
                <w:sz w:val="20"/>
                <w:szCs w:val="20"/>
                <w:color w:val="231F20"/>
              </w:rPr>
              <w:t>Amountsrelatedtodiscontinuedoperations</w:t>
            </w:r>
          </w:p>
        </w:tc>
        <w:tc>
          <w:tcPr>
            <w:tcW w:w="28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3E4E5"/>
          </w:tcPr>
          <w:p>
            <w:pPr>
              <w:spacing w:after="0"/>
              <w:rPr>
                <w:sz w:val="22"/>
                <w:szCs w:val="22"/>
                <w:color w:val="auto"/>
              </w:rPr>
            </w:pPr>
          </w:p>
        </w:tc>
        <w:tc>
          <w:tcPr>
            <w:tcW w:w="360" w:type="dxa"/>
            <w:vAlign w:val="bottom"/>
            <w:gridSpan w:val="2"/>
            <w:shd w:val="clear" w:color="auto" w:fill="E3E4E5"/>
          </w:tcPr>
          <w:p>
            <w:pPr>
              <w:spacing w:after="0"/>
              <w:rPr>
                <w:sz w:val="22"/>
                <w:szCs w:val="22"/>
                <w:color w:val="auto"/>
              </w:rPr>
            </w:pPr>
          </w:p>
        </w:tc>
        <w:tc>
          <w:tcPr>
            <w:tcW w:w="32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3E4E5"/>
          </w:tcPr>
          <w:p>
            <w:pPr>
              <w:spacing w:after="0"/>
              <w:rPr>
                <w:sz w:val="22"/>
                <w:szCs w:val="22"/>
                <w:color w:val="auto"/>
              </w:rPr>
            </w:pPr>
          </w:p>
        </w:tc>
        <w:tc>
          <w:tcPr>
            <w:tcW w:w="340" w:type="dxa"/>
            <w:vAlign w:val="bottom"/>
            <w:gridSpan w:val="2"/>
            <w:shd w:val="clear" w:color="auto" w:fill="E3E4E5"/>
          </w:tcPr>
          <w:p>
            <w:pPr>
              <w:spacing w:after="0"/>
              <w:rPr>
                <w:sz w:val="22"/>
                <w:szCs w:val="22"/>
                <w:color w:val="auto"/>
              </w:rPr>
            </w:pPr>
          </w:p>
        </w:tc>
        <w:tc>
          <w:tcPr>
            <w:tcW w:w="300" w:type="dxa"/>
            <w:vAlign w:val="bottom"/>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231F20"/>
              </w:rPr>
              <w:t>(598.7)</w:t>
            </w:r>
          </w:p>
        </w:tc>
        <w:tc>
          <w:tcPr>
            <w:tcW w:w="2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-5161915</wp:posOffset>
            </wp:positionV>
            <wp:extent cx="2921000"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40">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-3533140</wp:posOffset>
            </wp:positionV>
            <wp:extent cx="292100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41">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-3352165</wp:posOffset>
            </wp:positionV>
            <wp:extent cx="292100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42">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-2809240</wp:posOffset>
            </wp:positionV>
            <wp:extent cx="292100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43">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-2628265</wp:posOffset>
            </wp:positionV>
            <wp:extent cx="2921000"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44">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-2459990</wp:posOffset>
            </wp:positionV>
            <wp:extent cx="292100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45">
                      <a:extLst>
                        <a:ext uri="{28A0092B-C50C-407E-A947-70E740481C1C}"/>
                      </a:extLst>
                    </a:blip>
                    <a:srcRect/>
                    <a:stretch>
                      <a:fillRect/>
                    </a:stretch>
                  </pic:blipFill>
                  <pic:spPr bwMode="auto">
                    <a:xfrm>
                      <a:off x="0" y="0"/>
                      <a:ext cx="2921000"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-2012315</wp:posOffset>
            </wp:positionV>
            <wp:extent cx="293052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46">
                      <a:extLst>
                        <a:ext uri="{28A0092B-C50C-407E-A947-70E740481C1C}"/>
                      </a:extLst>
                    </a:blip>
                    <a:srcRect/>
                    <a:stretch>
                      <a:fillRect/>
                    </a:stretch>
                  </pic:blipFill>
                  <pic:spPr bwMode="auto">
                    <a:xfrm>
                      <a:off x="0" y="0"/>
                      <a:ext cx="2930525"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-1288415</wp:posOffset>
            </wp:positionV>
            <wp:extent cx="293052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47">
                      <a:extLst>
                        <a:ext uri="{28A0092B-C50C-407E-A947-70E740481C1C}"/>
                      </a:extLst>
                    </a:blip>
                    <a:srcRect/>
                    <a:stretch>
                      <a:fillRect/>
                    </a:stretch>
                  </pic:blipFill>
                  <pic:spPr bwMode="auto">
                    <a:xfrm>
                      <a:off x="0" y="0"/>
                      <a:ext cx="2930525"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-1107440</wp:posOffset>
            </wp:positionV>
            <wp:extent cx="293052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48">
                      <a:extLst>
                        <a:ext uri="{28A0092B-C50C-407E-A947-70E740481C1C}"/>
                      </a:extLst>
                    </a:blip>
                    <a:srcRect/>
                    <a:stretch>
                      <a:fillRect/>
                    </a:stretch>
                  </pic:blipFill>
                  <pic:spPr bwMode="auto">
                    <a:xfrm>
                      <a:off x="0" y="0"/>
                      <a:ext cx="2930525"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-554990</wp:posOffset>
            </wp:positionV>
            <wp:extent cx="293052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49">
                      <a:extLst>
                        <a:ext uri="{28A0092B-C50C-407E-A947-70E740481C1C}"/>
                      </a:extLst>
                    </a:blip>
                    <a:srcRect/>
                    <a:stretch>
                      <a:fillRect/>
                    </a:stretch>
                  </pic:blipFill>
                  <pic:spPr bwMode="auto">
                    <a:xfrm>
                      <a:off x="0" y="0"/>
                      <a:ext cx="2930525"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-374015</wp:posOffset>
            </wp:positionV>
            <wp:extent cx="293052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50">
                      <a:extLst>
                        <a:ext uri="{28A0092B-C50C-407E-A947-70E740481C1C}"/>
                      </a:extLst>
                    </a:blip>
                    <a:srcRect/>
                    <a:stretch>
                      <a:fillRect/>
                    </a:stretch>
                  </pic:blipFill>
                  <pic:spPr bwMode="auto">
                    <a:xfrm>
                      <a:off x="0" y="0"/>
                      <a:ext cx="2930525" cy="254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-180340</wp:posOffset>
            </wp:positionV>
            <wp:extent cx="293052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51">
                      <a:extLst>
                        <a:ext uri="{28A0092B-C50C-407E-A947-70E740481C1C}"/>
                      </a:extLst>
                    </a:blip>
                    <a:srcRect/>
                    <a:stretch>
                      <a:fillRect/>
                    </a:stretch>
                  </pic:blipFill>
                  <pic:spPr bwMode="auto">
                    <a:xfrm>
                      <a:off x="0" y="0"/>
                      <a:ext cx="2930525" cy="254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_______________</w:t>
      </w:r>
    </w:p>
    <w:p>
      <w:pPr>
        <w:spacing w:after="0" w:line="25" w:lineRule="exact"/>
        <w:rPr>
          <w:sz w:val="20"/>
          <w:szCs w:val="20"/>
          <w:color w:val="auto"/>
        </w:rPr>
      </w:pPr>
    </w:p>
    <w:p>
      <w:pPr>
        <w:ind w:left="360" w:hanging="360"/>
        <w:spacing w:after="0"/>
        <w:tabs>
          <w:tab w:leader="none" w:pos="36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related to the acquisition of data centers.</w:t>
      </w:r>
    </w:p>
    <w:p>
      <w:pPr>
        <w:spacing w:after="0" w:line="8" w:lineRule="exact"/>
        <w:rPr>
          <w:rFonts w:ascii="Times New Roman" w:cs="Times New Roman" w:eastAsia="Times New Roman" w:hAnsi="Times New Roman"/>
          <w:sz w:val="16"/>
          <w:szCs w:val="16"/>
          <w:color w:val="231F20"/>
        </w:rPr>
      </w:pPr>
    </w:p>
    <w:p>
      <w:pPr>
        <w:ind w:left="360" w:hanging="360"/>
        <w:spacing w:after="0"/>
        <w:tabs>
          <w:tab w:leader="none" w:pos="36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incurred primarily for the construction of new sites.</w:t>
      </w:r>
    </w:p>
    <w:p>
      <w:pPr>
        <w:spacing w:after="0" w:line="8" w:lineRule="exact"/>
        <w:rPr>
          <w:rFonts w:ascii="Times New Roman" w:cs="Times New Roman" w:eastAsia="Times New Roman" w:hAnsi="Times New Roman"/>
          <w:sz w:val="16"/>
          <w:szCs w:val="16"/>
          <w:color w:val="231F20"/>
        </w:rPr>
      </w:pPr>
    </w:p>
    <w:p>
      <w:pPr>
        <w:ind w:left="360" w:hanging="360"/>
        <w:spacing w:after="0"/>
        <w:tabs>
          <w:tab w:leader="none" w:pos="36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incurred to purchase or otherwise secure the land under communications sites.</w:t>
      </w:r>
    </w:p>
    <w:p>
      <w:pPr>
        <w:spacing w:after="0" w:line="8" w:lineRule="exact"/>
        <w:rPr>
          <w:rFonts w:ascii="Times New Roman" w:cs="Times New Roman" w:eastAsia="Times New Roman" w:hAnsi="Times New Roman"/>
          <w:sz w:val="16"/>
          <w:szCs w:val="16"/>
          <w:color w:val="231F20"/>
        </w:rPr>
      </w:pPr>
    </w:p>
    <w:p>
      <w:pPr>
        <w:ind w:left="360" w:hanging="360"/>
        <w:spacing w:after="0"/>
        <w:tabs>
          <w:tab w:leader="none" w:pos="36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incurred to increase the capacity of existing sites, which results in new incremental tenant revenue.</w:t>
      </w:r>
    </w:p>
    <w:p>
      <w:pPr>
        <w:spacing w:after="0" w:line="8" w:lineRule="exact"/>
        <w:rPr>
          <w:rFonts w:ascii="Times New Roman" w:cs="Times New Roman" w:eastAsia="Times New Roman" w:hAnsi="Times New Roman"/>
          <w:sz w:val="16"/>
          <w:szCs w:val="16"/>
          <w:color w:val="231F20"/>
        </w:rPr>
      </w:pPr>
    </w:p>
    <w:p>
      <w:pPr>
        <w:ind w:left="360" w:hanging="360"/>
        <w:spacing w:after="0"/>
        <w:tabs>
          <w:tab w:leader="none" w:pos="36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incurred to enhance existing sites by adding additional functionality, capacity or general asset improvements.</w:t>
      </w:r>
    </w:p>
    <w:p>
      <w:pPr>
        <w:spacing w:after="0" w:line="8" w:lineRule="exact"/>
        <w:rPr>
          <w:rFonts w:ascii="Times New Roman" w:cs="Times New Roman" w:eastAsia="Times New Roman" w:hAnsi="Times New Roman"/>
          <w:sz w:val="16"/>
          <w:szCs w:val="16"/>
          <w:color w:val="231F20"/>
        </w:rPr>
      </w:pPr>
    </w:p>
    <w:p>
      <w:pPr>
        <w:ind w:left="360" w:right="20" w:hanging="360"/>
        <w:spacing w:after="0" w:line="255" w:lineRule="auto"/>
        <w:tabs>
          <w:tab w:leader="none" w:pos="360" w:val="left"/>
        </w:tabs>
        <w:numPr>
          <w:ilvl w:val="0"/>
          <w:numId w:val="1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amounts incurred in connection with acquisitions or new market launches. Start-up capital expenditures includes non-recurring expenditures contemplated in acquisitions, new market launch business cases or initial deployment of new technologies or platform expansion initiatives that lead to an increase in site-level cash flow generation.</w:t>
      </w:r>
    </w:p>
    <w:p>
      <w:pPr>
        <w:sectPr>
          <w:pgSz w:w="11880" w:h="15480" w:orient="portrait"/>
          <w:cols w:equalWidth="0" w:num="1">
            <w:col w:w="10820"/>
          </w:cols>
          <w:pgMar w:left="540" w:top="431" w:right="52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F-58</w:t>
      </w:r>
    </w:p>
    <w:p>
      <w:pPr>
        <w:sectPr>
          <w:pgSz w:w="11880" w:h="15480" w:orient="portrait"/>
          <w:cols w:equalWidth="0" w:num="1">
            <w:col w:w="10820"/>
          </w:cols>
          <w:pgMar w:left="540" w:top="431" w:right="520" w:bottom="0" w:gutter="0" w:footer="0" w:header="0"/>
          <w:type w:val="continuous"/>
        </w:sectPr>
      </w:pPr>
    </w:p>
    <w:bookmarkStart w:id="148" w:name="page149"/>
    <w:bookmarkEnd w:id="148"/>
    <w:p>
      <w:pPr>
        <w:ind w:left="360" w:right="240" w:hanging="360"/>
        <w:spacing w:after="0" w:line="261" w:lineRule="auto"/>
        <w:tabs>
          <w:tab w:leader="none" w:pos="360" w:val="left"/>
        </w:tabs>
        <w:numPr>
          <w:ilvl w:val="0"/>
          <w:numId w:val="1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Primarily includes regional improvements, other additions and net adjustments related to the Company’s asset retirement obligations. Also includes foreign currency exchange rate fluctuations.</w:t>
      </w:r>
    </w:p>
    <w:p>
      <w:pPr>
        <w:ind w:left="360" w:hanging="360"/>
        <w:spacing w:after="0"/>
        <w:tabs>
          <w:tab w:leader="none" w:pos="360" w:val="left"/>
        </w:tabs>
        <w:numPr>
          <w:ilvl w:val="0"/>
          <w:numId w:val="1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For the year ended December 31, 2025, includes the impact of the sale of South Africa Fiber.</w:t>
      </w:r>
    </w:p>
    <w:p>
      <w:pPr>
        <w:spacing w:after="0" w:line="8" w:lineRule="exact"/>
        <w:rPr>
          <w:rFonts w:ascii="Times New Roman" w:cs="Times New Roman" w:eastAsia="Times New Roman" w:hAnsi="Times New Roman"/>
          <w:sz w:val="16"/>
          <w:szCs w:val="16"/>
          <w:color w:val="231F20"/>
        </w:rPr>
      </w:pPr>
    </w:p>
    <w:p>
      <w:pPr>
        <w:ind w:left="360" w:hanging="360"/>
        <w:spacing w:after="0" w:line="294" w:lineRule="auto"/>
        <w:tabs>
          <w:tab w:leader="none" w:pos="360" w:val="left"/>
        </w:tabs>
        <w:numPr>
          <w:ilvl w:val="0"/>
          <w:numId w:val="12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Primarily includes foreign currency exchange rate fluctuations and other deductions. For the year ended December 31, 2024, includes the impact of the sales of ATC TIPL, ATC Australia and ATC New Zealand. For the year ended December 31, 2023, includes the impact of the sales of Mexico Fiber and ATC Poland.</w:t>
      </w:r>
    </w:p>
    <w:p>
      <w:pPr>
        <w:sectPr>
          <w:pgSz w:w="11880" w:h="15480" w:orient="portrait"/>
          <w:cols w:equalWidth="0" w:num="1">
            <w:col w:w="10560"/>
          </w:cols>
          <w:pgMar w:left="540" w:top="450"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231F20"/>
        </w:rPr>
        <w:t>F-59</w:t>
      </w:r>
    </w:p>
    <w:p>
      <w:pPr>
        <w:sectPr>
          <w:pgSz w:w="11880" w:h="15480" w:orient="portrait"/>
          <w:cols w:equalWidth="0" w:num="1">
            <w:col w:w="10560"/>
          </w:cols>
          <w:pgMar w:left="540" w:top="450" w:right="780" w:bottom="0" w:gutter="0" w:footer="0" w:header="0"/>
          <w:type w:val="continuous"/>
        </w:sectPr>
      </w:pPr>
    </w:p>
    <w:bookmarkStart w:id="149" w:name="page150"/>
    <w:bookmarkEnd w:id="149"/>
    <w:p>
      <w:pPr>
        <w:spacing w:after="0" w:line="388" w:lineRule="exact"/>
        <w:rPr>
          <w:sz w:val="20"/>
          <w:szCs w:val="20"/>
          <w:color w:val="auto"/>
        </w:rPr>
      </w:pPr>
      <w:r>
        <w:rPr>
          <w:rFonts w:ascii="PMingLiU" w:cs="PMingLiU" w:eastAsia="PMingLiU" w:hAnsi="PMingLiU"/>
          <w:sz w:val="32"/>
          <w:szCs w:val="32"/>
          <w:color w:val="95979A"/>
        </w:rPr>
        <w:t/>
      </w:r>
      <w:r>
        <w:rPr>
          <w:rFonts w:ascii="Arial" w:cs="Arial" w:eastAsia="Arial" w:hAnsi="Arial"/>
          <w:sz w:val="32"/>
          <w:szCs w:val="32"/>
          <w:color w:val="95979A"/>
        </w:rPr>
        <w:t>ĤêŋĉßÃĥȊ</w:t>
      </w:r>
      <w:r>
        <w:rPr>
          <w:rFonts w:ascii="PMingLiU" w:cs="PMingLiU" w:eastAsia="PMingLiU" w:hAnsi="PMingLiU"/>
          <w:sz w:val="32"/>
          <w:szCs w:val="32"/>
          <w:color w:val="95979A"/>
        </w:rPr>
        <w:t></w:t>
      </w:r>
      <w:r>
        <w:rPr>
          <w:rFonts w:ascii="Arial" w:cs="Arial" w:eastAsia="Arial" w:hAnsi="Arial"/>
          <w:sz w:val="32"/>
          <w:szCs w:val="32"/>
          <w:color w:val="95979A"/>
        </w:rPr>
        <w:t>ĬŷêŋȊ</w:t>
      </w:r>
      <w:r>
        <w:rPr>
          <w:rFonts w:ascii="PMingLiU" w:cs="PMingLiU" w:eastAsia="PMingLiU" w:hAnsi="PMingLiU"/>
          <w:sz w:val="32"/>
          <w:szCs w:val="32"/>
          <w:color w:val="95979A"/>
        </w:rPr>
        <w:t/>
      </w:r>
      <w:r>
        <w:rPr>
          <w:rFonts w:ascii="Arial" w:cs="Arial" w:eastAsia="Arial" w:hAnsi="Arial"/>
          <w:sz w:val="32"/>
          <w:szCs w:val="32"/>
          <w:color w:val="95979A"/>
        </w:rPr>
        <w:t>ĬŋňĬŋÃŚĉĬĥȊ</w:t>
      </w:r>
      <w:r>
        <w:rPr>
          <w:rFonts w:ascii="Arial" w:cs="Arial" w:eastAsia="Arial" w:hAnsi="Arial"/>
          <w:sz w:val="16"/>
          <w:szCs w:val="16"/>
          <w:color w:val="95979A"/>
        </w:rPr>
        <w:t>•</w:t>
      </w:r>
      <w:r>
        <w:rPr>
          <w:rFonts w:ascii="Arial" w:cs="Arial" w:eastAsia="Arial" w:hAnsi="Arial"/>
          <w:sz w:val="32"/>
          <w:szCs w:val="32"/>
          <w:color w:val="95979A"/>
        </w:rPr>
        <w:t>ȊƓƑƓƖȊ</w:t>
      </w:r>
      <w:r>
        <w:rPr>
          <w:rFonts w:ascii="PMingLiU" w:cs="PMingLiU" w:eastAsia="PMingLiU" w:hAnsi="PMingLiU"/>
          <w:sz w:val="32"/>
          <w:szCs w:val="32"/>
          <w:color w:val="95979A"/>
        </w:rPr>
        <w:t/>
      </w:r>
      <w:r>
        <w:rPr>
          <w:rFonts w:ascii="Arial" w:cs="Arial" w:eastAsia="Arial" w:hAnsi="Arial"/>
          <w:sz w:val="32"/>
          <w:szCs w:val="32"/>
          <w:color w:val="95979A"/>
        </w:rPr>
        <w:t>ĥĥŠÃĞȊ</w:t>
      </w:r>
      <w:r>
        <w:rPr>
          <w:rFonts w:ascii="PMingLiU" w:cs="PMingLiU" w:eastAsia="PMingLiU" w:hAnsi="PMingLiU"/>
          <w:sz w:val="32"/>
          <w:szCs w:val="32"/>
          <w:color w:val="95979A"/>
        </w:rPr>
        <w:t></w:t>
      </w:r>
      <w:r>
        <w:rPr>
          <w:rFonts w:ascii="Arial" w:cs="Arial" w:eastAsia="Arial" w:hAnsi="Arial"/>
          <w:sz w:val="32"/>
          <w:szCs w:val="32"/>
          <w:color w:val="95979A"/>
        </w:rPr>
        <w:t>êňĬŋŚ</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231F20"/>
        </w:rPr>
        <w:t>Appendix 1 • Letter to Shareholders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DEFINITIONS, RECONCILIATIONS TO MEASURES UNDER GAAP AND CALCULATION OF DEFINED MEASURES</w:t>
      </w:r>
    </w:p>
    <w:p>
      <w:pPr>
        <w:spacing w:after="0" w:line="289" w:lineRule="exact"/>
        <w:rPr>
          <w:sz w:val="20"/>
          <w:szCs w:val="20"/>
          <w:color w:val="auto"/>
        </w:rPr>
      </w:pPr>
    </w:p>
    <w:p>
      <w:pPr>
        <w:ind w:right="40"/>
        <w:spacing w:after="0" w:line="201" w:lineRule="exact"/>
        <w:rPr>
          <w:sz w:val="20"/>
          <w:szCs w:val="20"/>
          <w:color w:val="auto"/>
        </w:rPr>
      </w:pPr>
      <w:r>
        <w:rPr>
          <w:rFonts w:ascii="Arial" w:cs="Arial" w:eastAsia="Arial" w:hAnsi="Arial"/>
          <w:sz w:val="12"/>
          <w:szCs w:val="12"/>
          <w:b w:val="1"/>
          <w:bCs w:val="1"/>
          <w:color w:val="231F20"/>
        </w:rPr>
        <w:t xml:space="preserve">Adjusted EBITDA </w:t>
      </w:r>
      <w:r>
        <w:rPr>
          <w:rFonts w:ascii="Arial" w:cs="Arial" w:eastAsia="Arial" w:hAnsi="Arial"/>
          <w:sz w:val="12"/>
          <w:szCs w:val="12"/>
          <w:color w:val="231F20"/>
        </w:rPr>
        <w:t>ĉŒȊåêƌĥêåȊÃŒȊĥêŚȊĉĥßĬĤêȊÞêÿĬŋêȊĉĥßĬĤêȊǲĞĬŒŒǳȊÿŋĬĤȊêŊŠĉŚŽȊĤêŚąĬåȊĉĥŶêŒŚĤêĥŚŒǢȊĉĥßĬĤêȊǲĞĬŒŒǳȊÿŋĬĤȊåĉŒßĬĥŚĉĥŠêåȊĬňêŋÃŚĉĬĥŒǢȊĥêŚȊ</w:t>
      </w:r>
      <w:r>
        <w:rPr>
          <w:rFonts w:ascii="Arial" w:cs="Arial" w:eastAsia="Arial" w:hAnsi="Arial"/>
          <w:sz w:val="12"/>
          <w:szCs w:val="12"/>
          <w:b w:val="1"/>
          <w:bCs w:val="1"/>
          <w:color w:val="231F20"/>
        </w:rPr>
        <w:t xml:space="preserve"> </w:t>
      </w:r>
      <w:r>
        <w:rPr>
          <w:rFonts w:ascii="Arial" w:cs="Arial" w:eastAsia="Arial" w:hAnsi="Arial"/>
          <w:sz w:val="12"/>
          <w:szCs w:val="12"/>
          <w:color w:val="231F20"/>
        </w:rPr>
        <w:t>ĬÿȊŚÃżêŒǢȊĉĥßĬĤêȊŚÃżȊÞêĥêƌŚȊǲňŋĬŶĉŒĉĬĥǳǢȊĬŚąêŋȊĉĥßĬĤêȊǲêżňêĥŒêǳǢȊĀÃĉĥȊǲĞĬŒŒǳȊĬĥȊŋêŚĉŋêĤêĥŚȊĬÿȊĞĬĥĀǸŚêŋĤȊĬÞĞĉĀÃŚĉĬĥŒǢȊĉĥŚêŋêŒŚȊêżňêĥŒêǢȊĉĥŚêŋêŒŚȊ ĉĥßĬĤêǢȊĬŚąêŋȊĬňêŋÃŚĉĥĀȊĉĥßĬĤêȊǲêżňêĥŒêǳǢȊĉĥßĞŠåĉĥĀȊ=ĬĬåŷĉĞĞȊĉĤňÃĉŋĤêĥŚǢȊåêňŋêßĉÃŚĉĬĥǢȊÃĤĬŋŚĉƅÃŚĉĬĥȊÃĥåȊÃßßŋêŚĉĬĥȊÃĥåȊŒŚĬßěǸÞÃŒêåȊßĬĤňêĥŒÃŚĉĬĥȊ êżňêĥŒêǡȊ</w:t>
      </w:r>
      <w:r>
        <w:rPr>
          <w:rFonts w:ascii="PMingLiU" w:cs="PMingLiU" w:eastAsia="PMingLiU" w:hAnsi="PMingLiU"/>
          <w:sz w:val="12"/>
          <w:szCs w:val="12"/>
          <w:color w:val="231F20"/>
        </w:rPr>
        <w:t></w:t>
      </w:r>
      <w:r>
        <w:rPr>
          <w:rFonts w:ascii="Arial" w:cs="Arial" w:eastAsia="Arial" w:hAnsi="Arial"/>
          <w:sz w:val="12"/>
          <w:szCs w:val="12"/>
          <w:color w:val="231F20"/>
        </w:rPr>
        <w:t>ąêȊ</w:t>
      </w:r>
      <w:r>
        <w:rPr>
          <w:rFonts w:ascii="PMingLiU" w:cs="PMingLiU" w:eastAsia="PMingLiU" w:hAnsi="PMingLiU"/>
          <w:sz w:val="12"/>
          <w:szCs w:val="12"/>
          <w:color w:val="231F20"/>
        </w:rPr>
        <w:t/>
      </w:r>
      <w:r>
        <w:rPr>
          <w:rFonts w:ascii="Arial" w:cs="Arial" w:eastAsia="Arial" w:hAnsi="Arial"/>
          <w:sz w:val="12"/>
          <w:szCs w:val="12"/>
          <w:color w:val="231F20"/>
        </w:rPr>
        <w:t>ĬĤňÃĥŽȊÞêĞĉêŶêŒȊŚąĉŒȊĤêÃŒŠŋêȊňŋĬŶĉåêŒȊŶÃĞŠÃÞĞêȊĉĥŒĉĀąŚȊĉĥŚĬȊŚąêȊňŋĬƌŚÃÞĉĞĉŚŽȊĬÿȊĉŚŒȊĬňêŋÃŚĉĬĥŒȊŷąĉĞêȊÃŚȊŚąêȊŒÃĤêȊŚĉĤêȊŚÃěĉĥĀȊĉĥŚĬȊ ÃßßĬŠĥŚȊŚąêȊßêĥŚŋÃĞȊĬŶêŋąêÃåȊêżňêĥŒêŒȊŋêŊŠĉŋêåȊŚĬȊĤÃĥÃĀêȊĉŚŒȊĀĞĬÞÃĞȊĬňêŋÃŚĉĬĥŒǡȊFĥȊÃååĉŚĉĬĥǢȊĉŚȊĉŒȊÃȊŷĉåêĞŽȊŠŒêåȊňêŋÿĬŋĤÃĥßêȊĤêÃŒŠŋêȊÃßŋĬŒŒȊŚąêȊ ŚêĞêßĬĤĤŠĥĉßÃŚĉĬĥŒȊŋêÃĞȊêŒŚÃŚêȊŒêßŚĬŋǡ</w:t>
      </w:r>
    </w:p>
    <w:p>
      <w:pPr>
        <w:spacing w:after="0" w:line="199"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231F20"/>
        </w:rPr>
        <w:t xml:space="preserve">Adjusted EBITDA Margin </w:t>
      </w:r>
      <w:r>
        <w:rPr>
          <w:rFonts w:ascii="Arial" w:cs="Arial" w:eastAsia="Arial" w:hAnsi="Arial"/>
          <w:sz w:val="16"/>
          <w:szCs w:val="16"/>
          <w:color w:val="231F20"/>
        </w:rPr>
        <w:t>ĉŒȊåêƌĥêåȊÃŒȊŚąêȊňêŋßêĥŚÃĀêȊŚąÃŚȊŋêŒŠĞŚŒȊÿŋĬĤȊåĉŶĉåĉĥĀȊ</w:t>
      </w:r>
      <w:r>
        <w:rPr>
          <w:rFonts w:ascii="PMingLiU" w:cs="PMingLiU" w:eastAsia="PMingLiU" w:hAnsi="PMingLiU"/>
          <w:sz w:val="16"/>
          <w:szCs w:val="16"/>
          <w:color w:val="231F20"/>
        </w:rPr>
        <w:t/>
      </w:r>
      <w:r>
        <w:rPr>
          <w:rFonts w:ascii="Arial" w:cs="Arial" w:eastAsia="Arial" w:hAnsi="Arial"/>
          <w:sz w:val="16"/>
          <w:szCs w:val="16"/>
          <w:color w:val="231F20"/>
        </w:rPr>
        <w:t>åĘŠŒŚêåȊ(</w:t>
      </w:r>
      <w:r>
        <w:rPr>
          <w:rFonts w:ascii="PMingLiU" w:cs="PMingLiU" w:eastAsia="PMingLiU" w:hAnsi="PMingLiU"/>
          <w:sz w:val="16"/>
          <w:szCs w:val="16"/>
          <w:color w:val="231F20"/>
        </w:rPr>
        <w:t/>
      </w:r>
      <w:r>
        <w:rPr>
          <w:rFonts w:ascii="Arial" w:cs="Arial" w:eastAsia="Arial" w:hAnsi="Arial"/>
          <w:sz w:val="16"/>
          <w:szCs w:val="16"/>
          <w:color w:val="231F20"/>
        </w:rPr>
        <w:t>F</w:t>
      </w:r>
      <w:r>
        <w:rPr>
          <w:rFonts w:ascii="PMingLiU" w:cs="PMingLiU" w:eastAsia="PMingLiU" w:hAnsi="PMingLiU"/>
          <w:sz w:val="16"/>
          <w:szCs w:val="16"/>
          <w:color w:val="231F20"/>
        </w:rPr>
        <w:t></w:t>
      </w:r>
      <w:r>
        <w:rPr>
          <w:rFonts w:ascii="Arial" w:cs="Arial" w:eastAsia="Arial" w:hAnsi="Arial"/>
          <w:sz w:val="16"/>
          <w:szCs w:val="16"/>
          <w:color w:val="231F20"/>
        </w:rPr>
        <w:t>#</w:t>
      </w:r>
      <w:r>
        <w:rPr>
          <w:rFonts w:ascii="PMingLiU" w:cs="PMingLiU" w:eastAsia="PMingLiU" w:hAnsi="PMingLiU"/>
          <w:sz w:val="16"/>
          <w:szCs w:val="16"/>
          <w:color w:val="231F20"/>
        </w:rPr>
        <w:t/>
      </w:r>
      <w:r>
        <w:rPr>
          <w:rFonts w:ascii="Arial" w:cs="Arial" w:eastAsia="Arial" w:hAnsi="Arial"/>
          <w:sz w:val="16"/>
          <w:szCs w:val="16"/>
          <w:color w:val="231F20"/>
        </w:rPr>
        <w:t>ȊÞŽȊŚĬŚÃĞȊŋêŶêĥŠêǡ</w:t>
      </w:r>
    </w:p>
    <w:p>
      <w:pPr>
        <w:spacing w:after="0" w:line="206" w:lineRule="exact"/>
        <w:rPr>
          <w:sz w:val="20"/>
          <w:szCs w:val="20"/>
          <w:color w:val="auto"/>
        </w:rPr>
      </w:pPr>
    </w:p>
    <w:p>
      <w:pPr>
        <w:ind w:right="200"/>
        <w:spacing w:after="0" w:line="200" w:lineRule="exact"/>
        <w:rPr>
          <w:sz w:val="20"/>
          <w:szCs w:val="20"/>
          <w:color w:val="auto"/>
        </w:rPr>
      </w:pPr>
      <w:r>
        <w:rPr>
          <w:rFonts w:ascii="Arial" w:cs="Arial" w:eastAsia="Arial" w:hAnsi="Arial"/>
          <w:sz w:val="11"/>
          <w:szCs w:val="11"/>
          <w:b w:val="1"/>
          <w:bCs w:val="1"/>
          <w:color w:val="231F20"/>
        </w:rPr>
        <w:t xml:space="preserve">Adjusted Funds From Operations (AFFO) attributable to American Tower Corporation common stockholders (AFFO Attributable) </w:t>
      </w:r>
      <w:r>
        <w:rPr>
          <w:rFonts w:ascii="Arial" w:cs="Arial" w:eastAsia="Arial" w:hAnsi="Arial"/>
          <w:sz w:val="11"/>
          <w:szCs w:val="11"/>
          <w:color w:val="231F20"/>
        </w:rPr>
        <w:t>ĉŒȊåêƌĥêåȊ</w:t>
      </w:r>
      <w:r>
        <w:rPr>
          <w:rFonts w:ascii="Arial" w:cs="Arial" w:eastAsia="Arial" w:hAnsi="Arial"/>
          <w:sz w:val="11"/>
          <w:szCs w:val="11"/>
          <w:b w:val="1"/>
          <w:bCs w:val="1"/>
          <w:color w:val="231F20"/>
        </w:rPr>
        <w:t xml:space="preserve"> </w:t>
      </w:r>
      <w:r>
        <w:rPr>
          <w:rFonts w:ascii="Arial" w:cs="Arial" w:eastAsia="Arial" w:hAnsi="Arial"/>
          <w:sz w:val="11"/>
          <w:szCs w:val="11"/>
          <w:color w:val="231F20"/>
        </w:rPr>
        <w:t>ÃŒȊ_ÃŋêĉŚȊ&lt;&lt;fȊÃŚŚŋĉÞŠŚÃÞĞêȊŚĬȊ</w:t>
      </w:r>
      <w:r>
        <w:rPr>
          <w:rFonts w:ascii="PMingLiU" w:cs="PMingLiU" w:eastAsia="PMingLiU" w:hAnsi="PMingLiU"/>
          <w:sz w:val="11"/>
          <w:szCs w:val="11"/>
          <w:color w:val="231F20"/>
        </w:rPr>
        <w:t/>
      </w:r>
      <w:r>
        <w:rPr>
          <w:rFonts w:ascii="Arial" w:cs="Arial" w:eastAsia="Arial" w:hAnsi="Arial"/>
          <w:sz w:val="11"/>
          <w:szCs w:val="11"/>
          <w:color w:val="231F20"/>
        </w:rPr>
        <w:t>ĤêŋĉßÃĥȊ</w:t>
      </w:r>
      <w:r>
        <w:rPr>
          <w:rFonts w:ascii="PMingLiU" w:cs="PMingLiU" w:eastAsia="PMingLiU" w:hAnsi="PMingLiU"/>
          <w:sz w:val="11"/>
          <w:szCs w:val="11"/>
          <w:color w:val="231F20"/>
        </w:rPr>
        <w:t></w:t>
      </w:r>
      <w:r>
        <w:rPr>
          <w:rFonts w:ascii="Arial" w:cs="Arial" w:eastAsia="Arial" w:hAnsi="Arial"/>
          <w:sz w:val="11"/>
          <w:szCs w:val="11"/>
          <w:color w:val="231F20"/>
        </w:rPr>
        <w:t>ĬŷêŋȊ</w:t>
      </w:r>
      <w:r>
        <w:rPr>
          <w:rFonts w:ascii="PMingLiU" w:cs="PMingLiU" w:eastAsia="PMingLiU" w:hAnsi="PMingLiU"/>
          <w:sz w:val="11"/>
          <w:szCs w:val="11"/>
          <w:color w:val="231F20"/>
        </w:rPr>
        <w:t/>
      </w:r>
      <w:r>
        <w:rPr>
          <w:rFonts w:ascii="Arial" w:cs="Arial" w:eastAsia="Arial" w:hAnsi="Arial"/>
          <w:sz w:val="11"/>
          <w:szCs w:val="11"/>
          <w:color w:val="231F20"/>
        </w:rPr>
        <w:t>ĬŋňĬŋÃŚĉĬĥȊßĬĤĤĬĥȊŒŚĬßěąĬĞåêŋŒȊÞêÿĬŋêȊǲĉǳȊŒŚŋÃĉĀąŚǸĞĉĥêȊŋêŶêĥŠêȊÃĥåȊêżňêĥŒêǢȊǲĉĉǳȊŒŚĬßěǸÞÃŒêåȊ ßĬĤňêĥŒÃŚĉĬĥȊêżňêĥŒêǢȊǲĉĉĉǳȊŚąêȊåêÿêŋŋêåȊňĬŋŚĉĬĥȊĬÿȊĉĥßĬĤêȊŚÃżȊÃĥåȊĬŚąêŋȊĉĥßĬĤêȊŚÃżȊÃåĘŠŒŚĤêĥŚŒǢȊǲĉŶǳȊĥĬĥǸŋêÃĞȊêŒŚÃŚêȊŋêĞÃŚêåȊåêňŋêßĉÃŚĉĬĥǢȊ ÃĤĬŋŚĉƅÃŚĉĬĥȊÃĥåȊÃßßŋêŚĉĬĥǢȊǲŶǳȊÃĤĬŋŚĉƅÃŚĉĬĥȊĬÿȊåêÿêŋŋêåȊƌĥÃĥßĉĥĀȊßĬŒŚŒǢȊåêÞŚȊåĉŒßĬŠĥŚŒȊÃĥåȊňŋêĤĉŠĤŒȊÃĥåȊĞĬĥĀǸŚêŋĤȊåêÿêŋŋêåȊĉĥŚêŋêŒŚȊßąÃŋĀêŒǢȊ ǲŶĉǳȊĬŚąêŋȊĉĥßĬĤêȊǲêżňêĥŒêǳǢȊǲŶĉĉǳȊĀÃĉĥȊǲĞĬŒŒǳȊĬĥȊŋêŚĉŋêĤêĥŚȊĬÿȊĞĬĥĀǸŚêŋĤȊĬÞĞĉĀÃŚĉĬĥŒǢȊÃĥåȊǲŶĉĉĉǳȊĬŚąêŋȊĬňêŋÃŚĉĥĀȊĉĥßĬĤêȊǲêżňêĥŒêǳǢȊĞêŒŒȊßÃŒąȊňÃŽĤêĥŚŒȊ ŋêĞÃŚêåȊŚĬȊßÃňĉŚÃĞȊĉĤňŋĬŶêĤêĥŚŒȊÃĥåȊßÃŒąȊňÃŽĤêĥŚŒȊŋêĞÃŚêåȊŚĬȊßĬŋňĬŋÃŚêȊßÃňĉŚÃĞȊêżňêĥåĉŚŠŋêŒȊÃĥåȊĉĥßĞŠåĉĥĀȊÃåĘŠŒŚĤêĥŚŒȊÃĥåȊåĉŒŚŋĉÞŠŚĉĬĥŒȊÿĬŋȊ ŠĥßĬĥŒĬĞĉåÃŚêåȊÃÿƌĞĉÃŚêŒȊÃĥåȊĥĬĥßĬĥŚŋĬĞĞĉĥĀȊĉĥŚêŋêŒŚŒȊÃĥåȊÃåĘŠŒŚĤêĥŚŒȊÿĬŋȊåĉŒßĬĥŚĉĥŠêåȊĬňêŋÃŚĉĬĥŒǢȊŷąĉßąȊĉĥßĞŠåêŒȊŚąêȊĉĤňÃßŚȊĬÿȊĥĬĥßĬĥŚŋĬĞĞĉĥĀȊ ĉĥŚêŋêŒŚŒȊÃĥåȊåĉŒßĬĥŚĉĥŠêåȊĬňêŋÃŚĉĬĥŒȊĬĥȊÞĬŚąȊ_ÃŋêĉŚȊ&lt;&lt;fȊÃĥåȊŚąêȊßĬŋŋêŒňĬĥåĉĥĀȊÃåĘŠŒŚĤêĥŚŒȊĉĥßĞŠåêåȊĉĥȊ</w:t>
      </w:r>
      <w:r>
        <w:rPr>
          <w:rFonts w:ascii="PMingLiU" w:cs="PMingLiU" w:eastAsia="PMingLiU" w:hAnsi="PMingLiU"/>
          <w:sz w:val="11"/>
          <w:szCs w:val="11"/>
          <w:color w:val="231F20"/>
        </w:rPr>
        <w:t/>
      </w:r>
      <w:r>
        <w:rPr>
          <w:rFonts w:ascii="Arial" w:cs="Arial" w:eastAsia="Arial" w:hAnsi="Arial"/>
          <w:sz w:val="11"/>
          <w:szCs w:val="11"/>
          <w:color w:val="231F20"/>
        </w:rPr>
        <w:t>&lt;&lt;fǡȊ</w:t>
      </w:r>
      <w:r>
        <w:rPr>
          <w:rFonts w:ascii="PMingLiU" w:cs="PMingLiU" w:eastAsia="PMingLiU" w:hAnsi="PMingLiU"/>
          <w:sz w:val="11"/>
          <w:szCs w:val="11"/>
          <w:color w:val="231F20"/>
        </w:rPr>
        <w:t></w:t>
      </w:r>
      <w:r>
        <w:rPr>
          <w:rFonts w:ascii="Arial" w:cs="Arial" w:eastAsia="Arial" w:hAnsi="Arial"/>
          <w:sz w:val="11"/>
          <w:szCs w:val="11"/>
          <w:color w:val="231F20"/>
        </w:rPr>
        <w:t>ąêȊ</w:t>
      </w:r>
      <w:r>
        <w:rPr>
          <w:rFonts w:ascii="PMingLiU" w:cs="PMingLiU" w:eastAsia="PMingLiU" w:hAnsi="PMingLiU"/>
          <w:sz w:val="11"/>
          <w:szCs w:val="11"/>
          <w:color w:val="231F20"/>
        </w:rPr>
        <w:t/>
      </w:r>
      <w:r>
        <w:rPr>
          <w:rFonts w:ascii="Arial" w:cs="Arial" w:eastAsia="Arial" w:hAnsi="Arial"/>
          <w:sz w:val="11"/>
          <w:szCs w:val="11"/>
          <w:color w:val="231F20"/>
        </w:rPr>
        <w:t>ĬĤňÃĥŽȊÞêĞĉêŶêŒȊŚąĉŒȊ ĤêÃŒŠŋêȊňŋĬŶĉåêŒȊŶÃĞŠÃÞĞêȊĉĥŒĉĀąŚȊĉĥŚĬȊŚąêȊĬňêŋÃŚĉĥĀȊňêŋÿĬŋĤÃĥßêȊĬÿȊĉŚŒȊÃŒŒêŚŒȊÞŽȊÿŠŋŚąêŋȊÃåĘŠŒŚĉĥĀȊŚąêȊ_ÃŋêĉŚȊ</w:t>
      </w:r>
      <w:r>
        <w:rPr>
          <w:rFonts w:ascii="PMingLiU" w:cs="PMingLiU" w:eastAsia="PMingLiU" w:hAnsi="PMingLiU"/>
          <w:sz w:val="11"/>
          <w:szCs w:val="11"/>
          <w:color w:val="231F20"/>
        </w:rPr>
        <w:t/>
      </w:r>
      <w:r>
        <w:rPr>
          <w:rFonts w:ascii="Arial" w:cs="Arial" w:eastAsia="Arial" w:hAnsi="Arial"/>
          <w:sz w:val="11"/>
          <w:szCs w:val="11"/>
          <w:color w:val="231F20"/>
        </w:rPr>
        <w:t>&lt;&lt;fȊÃŚŚŋĉÞŠŚÃÞĞêȊŚĬȊ</w:t>
      </w:r>
      <w:r>
        <w:rPr>
          <w:rFonts w:ascii="PMingLiU" w:cs="PMingLiU" w:eastAsia="PMingLiU" w:hAnsi="PMingLiU"/>
          <w:sz w:val="11"/>
          <w:szCs w:val="11"/>
          <w:color w:val="231F20"/>
        </w:rPr>
        <w:t/>
      </w:r>
      <w:r>
        <w:rPr>
          <w:rFonts w:ascii="Arial" w:cs="Arial" w:eastAsia="Arial" w:hAnsi="Arial"/>
          <w:sz w:val="11"/>
          <w:szCs w:val="11"/>
          <w:color w:val="231F20"/>
        </w:rPr>
        <w:t xml:space="preserve">ĤêŋĉßÃĥȊ </w:t>
      </w:r>
      <w:r>
        <w:rPr>
          <w:rFonts w:ascii="PMingLiU" w:cs="PMingLiU" w:eastAsia="PMingLiU" w:hAnsi="PMingLiU"/>
          <w:sz w:val="11"/>
          <w:szCs w:val="11"/>
          <w:color w:val="231F20"/>
        </w:rPr>
        <w:t></w:t>
      </w:r>
      <w:r>
        <w:rPr>
          <w:rFonts w:ascii="Arial" w:cs="Arial" w:eastAsia="Arial" w:hAnsi="Arial"/>
          <w:sz w:val="11"/>
          <w:szCs w:val="11"/>
          <w:color w:val="231F20"/>
        </w:rPr>
        <w:t>ĬŷêŋȊ</w:t>
      </w:r>
      <w:r>
        <w:rPr>
          <w:rFonts w:ascii="PMingLiU" w:cs="PMingLiU" w:eastAsia="PMingLiU" w:hAnsi="PMingLiU"/>
          <w:sz w:val="11"/>
          <w:szCs w:val="11"/>
          <w:color w:val="231F20"/>
        </w:rPr>
        <w:t/>
      </w:r>
      <w:r>
        <w:rPr>
          <w:rFonts w:ascii="Arial" w:cs="Arial" w:eastAsia="Arial" w:hAnsi="Arial"/>
          <w:sz w:val="11"/>
          <w:szCs w:val="11"/>
          <w:color w:val="231F20"/>
        </w:rPr>
        <w:t>ĬŋňĬŋÃŚĉĬĥȊßĬĤĤĬĥȊŒŚĬßěąĬĞåêŋŒȊĤêŚŋĉßȊŚĬȊêżßĞŠåêȊŚąêȊÿÃßŚĬŋŒȊĬŠŚĞĉĥêåȊÃÞĬŶêǢȊŷąĉßąȊĉÿȊŠĥÃåĘŠŒŚêåǢȊĤÃŽȊĬŚąêŋŷĉŒêȊßÃŠŒêȊĤÃŚêŋĉÃĞȊ ƍŠßŚŠÃŚĉĬĥŒȊĉĥȊ_ÃŋêĉŚȊ&lt;&lt;fȊÃŚŚŋĉÞŠŚÃÞĞêȊŚĬȊ</w:t>
      </w:r>
      <w:r>
        <w:rPr>
          <w:rFonts w:ascii="PMingLiU" w:cs="PMingLiU" w:eastAsia="PMingLiU" w:hAnsi="PMingLiU"/>
          <w:sz w:val="11"/>
          <w:szCs w:val="11"/>
          <w:color w:val="231F20"/>
        </w:rPr>
        <w:t/>
      </w:r>
      <w:r>
        <w:rPr>
          <w:rFonts w:ascii="Arial" w:cs="Arial" w:eastAsia="Arial" w:hAnsi="Arial"/>
          <w:sz w:val="11"/>
          <w:szCs w:val="11"/>
          <w:color w:val="231F20"/>
        </w:rPr>
        <w:t>ĤêŋĉßÃĥȊ</w:t>
      </w:r>
      <w:r>
        <w:rPr>
          <w:rFonts w:ascii="PMingLiU" w:cs="PMingLiU" w:eastAsia="PMingLiU" w:hAnsi="PMingLiU"/>
          <w:sz w:val="11"/>
          <w:szCs w:val="11"/>
          <w:color w:val="231F20"/>
        </w:rPr>
        <w:t></w:t>
      </w:r>
      <w:r>
        <w:rPr>
          <w:rFonts w:ascii="Arial" w:cs="Arial" w:eastAsia="Arial" w:hAnsi="Arial"/>
          <w:sz w:val="11"/>
          <w:szCs w:val="11"/>
          <w:color w:val="231F20"/>
        </w:rPr>
        <w:t>ĬŷêŋȊ</w:t>
      </w:r>
      <w:r>
        <w:rPr>
          <w:rFonts w:ascii="PMingLiU" w:cs="PMingLiU" w:eastAsia="PMingLiU" w:hAnsi="PMingLiU"/>
          <w:sz w:val="11"/>
          <w:szCs w:val="11"/>
          <w:color w:val="231F20"/>
        </w:rPr>
        <w:t/>
      </w:r>
      <w:r>
        <w:rPr>
          <w:rFonts w:ascii="Arial" w:cs="Arial" w:eastAsia="Arial" w:hAnsi="Arial"/>
          <w:sz w:val="11"/>
          <w:szCs w:val="11"/>
          <w:color w:val="231F20"/>
        </w:rPr>
        <w:t>ĬŋňĬŋÃŚĉĬĥȊßĬĤĤĬĥȊŒŚĬßěąĬĞåêŋŒȊĀŋĬŷŚąȊÿŋĬĤȊňêŋĉĬåȊŚĬȊňêŋĉĬåȊŚąÃŚȊŷĬŠĞåȊĥĬŚȊÞêȊ ŋêňŋêŒêĥŚÃŚĉŶêȊĬÿȊŚąêȊŠĥåêŋĞŽĉĥĀȊňêŋÿĬŋĤÃĥßêȊĬÿȊŚąêȊ</w:t>
      </w:r>
      <w:r>
        <w:rPr>
          <w:rFonts w:ascii="PMingLiU" w:cs="PMingLiU" w:eastAsia="PMingLiU" w:hAnsi="PMingLiU"/>
          <w:sz w:val="11"/>
          <w:szCs w:val="11"/>
          <w:color w:val="231F20"/>
        </w:rPr>
        <w:t/>
      </w:r>
      <w:r>
        <w:rPr>
          <w:rFonts w:ascii="Arial" w:cs="Arial" w:eastAsia="Arial" w:hAnsi="Arial"/>
          <w:sz w:val="11"/>
          <w:szCs w:val="11"/>
          <w:color w:val="231F20"/>
        </w:rPr>
        <w:t>ĬĤňÃĥŽȃŒȊňŋĬňêŋŚŽȊÃŒŒêŚŒȊĉĥȊŚąĬŒêȊňêŋĉĬåŒǡȊFĥȊÃååĉŚĉĬĥǢȊĉŚȊĉŒȊÃȊŷĉåêĞŽȊŠŒêåȊňêŋÿĬŋĤÃĥßêȊ ĤêÃŒŠŋêȊÃßŋĬŒŒȊŚąêȊŚêĞêßĬĤĤŠĥĉßÃŚĉĬĥŒȊŋêÃĞȊêŒŚÃŚêȊŒêßŚĬŋǡȊ</w:t>
      </w:r>
      <w:r>
        <w:rPr>
          <w:rFonts w:ascii="PMingLiU" w:cs="PMingLiU" w:eastAsia="PMingLiU" w:hAnsi="PMingLiU"/>
          <w:sz w:val="11"/>
          <w:szCs w:val="11"/>
          <w:color w:val="231F20"/>
        </w:rPr>
        <w:t></w:t>
      </w:r>
      <w:r>
        <w:rPr>
          <w:rFonts w:ascii="Arial" w:cs="Arial" w:eastAsia="Arial" w:hAnsi="Arial"/>
          <w:sz w:val="11"/>
          <w:szCs w:val="11"/>
          <w:color w:val="231F20"/>
        </w:rPr>
        <w:t>ąêȊ</w:t>
      </w:r>
      <w:r>
        <w:rPr>
          <w:rFonts w:ascii="PMingLiU" w:cs="PMingLiU" w:eastAsia="PMingLiU" w:hAnsi="PMingLiU"/>
          <w:sz w:val="11"/>
          <w:szCs w:val="11"/>
          <w:color w:val="231F20"/>
        </w:rPr>
        <w:t/>
      </w:r>
      <w:r>
        <w:rPr>
          <w:rFonts w:ascii="Arial" w:cs="Arial" w:eastAsia="Arial" w:hAnsi="Arial"/>
          <w:sz w:val="11"/>
          <w:szCs w:val="11"/>
          <w:color w:val="231F20"/>
        </w:rPr>
        <w:t>ĬĤňÃĥŽȊÞêĞĉêŶêŒȊňŋĬŶĉåĉĥĀȊŚąĉŒȊĤêŚŋĉßǢȊêżßĞŠåĉĥĀȊŚąêȊĉĤňÃßŚŒȊĬÿȊĥĬĥßĬĥŚŋĬĞĞĉĥĀȊ ĉĥŚêŋêŒŚŒǢȊêĥąÃĥßêŒȊŚŋÃĥŒňÃŋêĥßŽǢȊĀĉŶêĥȊŚąêȊĤĉĥĬŋĉŚŽȊĉĥŚêŋêŒŚŒȊĉĥȊĉŚŒȊ(ŠŋĬňêȊÞŠŒĉĥêŒŒȊÃĥåȊĉŚŒȊ</w:t>
      </w:r>
      <w:r>
        <w:rPr>
          <w:rFonts w:ascii="PMingLiU" w:cs="PMingLiU" w:eastAsia="PMingLiU" w:hAnsi="PMingLiU"/>
          <w:sz w:val="11"/>
          <w:szCs w:val="11"/>
          <w:color w:val="231F20"/>
        </w:rPr>
        <w:t></w:t>
      </w:r>
      <w:r>
        <w:rPr>
          <w:rFonts w:ascii="Arial" w:cs="Arial" w:eastAsia="Arial" w:hAnsi="Arial"/>
          <w:sz w:val="11"/>
          <w:szCs w:val="11"/>
          <w:color w:val="231F20"/>
        </w:rPr>
        <w:t>ǡ</w:t>
      </w:r>
      <w:r>
        <w:rPr>
          <w:rFonts w:ascii="PMingLiU" w:cs="PMingLiU" w:eastAsia="PMingLiU" w:hAnsi="PMingLiU"/>
          <w:sz w:val="11"/>
          <w:szCs w:val="11"/>
          <w:color w:val="231F20"/>
        </w:rPr>
        <w:t></w:t>
      </w:r>
      <w:r>
        <w:rPr>
          <w:rFonts w:ascii="Arial" w:cs="Arial" w:eastAsia="Arial" w:hAnsi="Arial"/>
          <w:sz w:val="11"/>
          <w:szCs w:val="11"/>
          <w:color w:val="231F20"/>
        </w:rPr>
        <w:t>ǡȊåÃŚÃȊßêĥŚêŋȊÞŠŒĉĥêŒŒǡ</w:t>
      </w:r>
    </w:p>
    <w:p>
      <w:pPr>
        <w:spacing w:after="0" w:line="201" w:lineRule="exact"/>
        <w:rPr>
          <w:sz w:val="20"/>
          <w:szCs w:val="20"/>
          <w:color w:val="auto"/>
        </w:rPr>
      </w:pPr>
    </w:p>
    <w:p>
      <w:pPr>
        <w:ind w:right="720"/>
        <w:spacing w:after="0" w:line="201" w:lineRule="exact"/>
        <w:rPr>
          <w:sz w:val="20"/>
          <w:szCs w:val="20"/>
          <w:color w:val="auto"/>
        </w:rPr>
      </w:pPr>
      <w:r>
        <w:rPr>
          <w:rFonts w:ascii="Arial" w:cs="Arial" w:eastAsia="Arial" w:hAnsi="Arial"/>
          <w:sz w:val="13"/>
          <w:szCs w:val="13"/>
          <w:b w:val="1"/>
          <w:bCs w:val="1"/>
          <w:color w:val="231F20"/>
        </w:rPr>
        <w:t>AFFO attributable to American Tower Corporation common stockholders per Share (AFFO Attributable per Share)</w:t>
      </w:r>
      <w:r>
        <w:rPr>
          <w:rFonts w:ascii="Arial" w:cs="Arial" w:eastAsia="Arial" w:hAnsi="Arial"/>
          <w:sz w:val="13"/>
          <w:szCs w:val="13"/>
          <w:color w:val="231F20"/>
        </w:rPr>
        <w:t>ȊĉŒȊåêƌĥêåȊÃŒȊ</w:t>
      </w:r>
      <w:r>
        <w:rPr>
          <w:rFonts w:ascii="PMingLiU" w:cs="PMingLiU" w:eastAsia="PMingLiU" w:hAnsi="PMingLiU"/>
          <w:sz w:val="13"/>
          <w:szCs w:val="13"/>
          <w:color w:val="231F20"/>
        </w:rPr>
        <w:t/>
      </w:r>
      <w:r>
        <w:rPr>
          <w:rFonts w:ascii="Arial" w:cs="Arial" w:eastAsia="Arial" w:hAnsi="Arial"/>
          <w:sz w:val="13"/>
          <w:szCs w:val="13"/>
          <w:color w:val="231F20"/>
        </w:rPr>
        <w:t>&lt;&lt;fȊ</w:t>
      </w:r>
      <w:r>
        <w:rPr>
          <w:rFonts w:ascii="Arial" w:cs="Arial" w:eastAsia="Arial" w:hAnsi="Arial"/>
          <w:sz w:val="13"/>
          <w:szCs w:val="13"/>
          <w:b w:val="1"/>
          <w:bCs w:val="1"/>
          <w:color w:val="231F20"/>
        </w:rPr>
        <w:t xml:space="preserve"> </w:t>
      </w:r>
      <w:r>
        <w:rPr>
          <w:rFonts w:ascii="Arial" w:cs="Arial" w:eastAsia="Arial" w:hAnsi="Arial"/>
          <w:sz w:val="13"/>
          <w:szCs w:val="13"/>
          <w:color w:val="231F20"/>
        </w:rPr>
        <w:t>ÃŚŚŋĉÞŠŚÃÞĞêȊŚĬȊ</w:t>
      </w:r>
      <w:r>
        <w:rPr>
          <w:rFonts w:ascii="PMingLiU" w:cs="PMingLiU" w:eastAsia="PMingLiU" w:hAnsi="PMingLiU"/>
          <w:sz w:val="13"/>
          <w:szCs w:val="13"/>
          <w:color w:val="231F20"/>
        </w:rPr>
        <w:t/>
      </w:r>
      <w:r>
        <w:rPr>
          <w:rFonts w:ascii="Arial" w:cs="Arial" w:eastAsia="Arial" w:hAnsi="Arial"/>
          <w:sz w:val="13"/>
          <w:szCs w:val="13"/>
          <w:color w:val="231F20"/>
        </w:rPr>
        <w:t>ĤêŋĉßÃĥȊ</w:t>
      </w:r>
      <w:r>
        <w:rPr>
          <w:rFonts w:ascii="PMingLiU" w:cs="PMingLiU" w:eastAsia="PMingLiU" w:hAnsi="PMingLiU"/>
          <w:sz w:val="13"/>
          <w:szCs w:val="13"/>
          <w:color w:val="231F20"/>
        </w:rPr>
        <w:t></w:t>
      </w:r>
      <w:r>
        <w:rPr>
          <w:rFonts w:ascii="Arial" w:cs="Arial" w:eastAsia="Arial" w:hAnsi="Arial"/>
          <w:sz w:val="13"/>
          <w:szCs w:val="13"/>
          <w:color w:val="231F20"/>
        </w:rPr>
        <w:t>ĬŷêŋȊ</w:t>
      </w:r>
      <w:r>
        <w:rPr>
          <w:rFonts w:ascii="PMingLiU" w:cs="PMingLiU" w:eastAsia="PMingLiU" w:hAnsi="PMingLiU"/>
          <w:sz w:val="13"/>
          <w:szCs w:val="13"/>
          <w:color w:val="231F20"/>
        </w:rPr>
        <w:t/>
      </w:r>
      <w:r>
        <w:rPr>
          <w:rFonts w:ascii="Arial" w:cs="Arial" w:eastAsia="Arial" w:hAnsi="Arial"/>
          <w:sz w:val="13"/>
          <w:szCs w:val="13"/>
          <w:color w:val="231F20"/>
        </w:rPr>
        <w:t>ĬŋňĬŋÃŚĉĬĥȊßĬĤĤĬĥȊŒŚĬßěąĬĞåêŋŒȊåĉŶĉåêåȊÞŽȊŚąêȊåĉĞŠŚêåȊŷêĉĀąŚêåȊÃŶêŋÃĀêȊßĬĤĤĬĥȊŒąÃŋêŒȊĬŠŚŒŚÃĥåĉĥĀǡ</w:t>
      </w:r>
    </w:p>
    <w:p>
      <w:pPr>
        <w:spacing w:after="0" w:line="198" w:lineRule="exact"/>
        <w:rPr>
          <w:sz w:val="20"/>
          <w:szCs w:val="20"/>
          <w:color w:val="auto"/>
        </w:rPr>
      </w:pPr>
    </w:p>
    <w:p>
      <w:pPr>
        <w:spacing w:after="0" w:line="201" w:lineRule="exact"/>
        <w:rPr>
          <w:sz w:val="20"/>
          <w:szCs w:val="20"/>
          <w:color w:val="auto"/>
        </w:rPr>
      </w:pPr>
      <w:r>
        <w:rPr>
          <w:rFonts w:ascii="Arial" w:cs="Arial" w:eastAsia="Arial" w:hAnsi="Arial"/>
          <w:sz w:val="12"/>
          <w:szCs w:val="12"/>
          <w:b w:val="1"/>
          <w:bCs w:val="1"/>
          <w:color w:val="231F20"/>
        </w:rPr>
        <w:t>International Pass-through Revenue</w:t>
      </w:r>
      <w:r>
        <w:rPr>
          <w:rFonts w:ascii="Arial" w:cs="Arial" w:eastAsia="Arial" w:hAnsi="Arial"/>
          <w:sz w:val="12"/>
          <w:szCs w:val="12"/>
          <w:color w:val="231F20"/>
        </w:rPr>
        <w:t>ȊĉŒȊåêƌĥêåȊÃŒȊÃȊňĬŋŚĉĬĥȊĬÿȊŚąêȊ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ĬĤňÃĥŽȃŒȊňÃŒŒǸŚąŋĬŠĀąȊŋêŶêĥŠêȊŚąÃŚȊĉŒȊÞÃŒêåȊĬĥȊňĬŷêŋȊÃĥåȊÿŠêĞȊêżňêĥŒêȊ</w:t>
      </w:r>
      <w:r>
        <w:rPr>
          <w:rFonts w:ascii="Arial" w:cs="Arial" w:eastAsia="Arial" w:hAnsi="Arial"/>
          <w:sz w:val="12"/>
          <w:szCs w:val="12"/>
          <w:b w:val="1"/>
          <w:bCs w:val="1"/>
          <w:color w:val="231F20"/>
        </w:rPr>
        <w:t xml:space="preserve"> </w:t>
      </w:r>
      <w:r>
        <w:rPr>
          <w:rFonts w:ascii="Arial" w:cs="Arial" w:eastAsia="Arial" w:hAnsi="Arial"/>
          <w:sz w:val="12"/>
          <w:szCs w:val="12"/>
          <w:color w:val="231F20"/>
        </w:rPr>
        <w:t>ŋêĉĤÞŠŋŒêĤêĥŚŒȊÃĥåȊŚąêŋêÿĬŋêȊŒŠÞĘêßŚȊŚĬȊƍŠßŚŠÃŚĉĬĥŒȊĉĥȊÿŠêĞȊňŋĉßêŒǡȊ</w:t>
      </w:r>
      <w:r>
        <w:rPr>
          <w:rFonts w:ascii="PMingLiU" w:cs="PMingLiU" w:eastAsia="PMingLiU" w:hAnsi="PMingLiU"/>
          <w:sz w:val="12"/>
          <w:szCs w:val="12"/>
          <w:color w:val="231F20"/>
        </w:rPr>
        <w:t/>
      </w:r>
      <w:r>
        <w:rPr>
          <w:rFonts w:ascii="Arial" w:cs="Arial" w:eastAsia="Arial" w:hAnsi="Arial"/>
          <w:sz w:val="12"/>
          <w:szCs w:val="12"/>
          <w:color w:val="231F20"/>
        </w:rPr>
        <w:t>ŒȊÃȊŋêŒŠĞŚǢȊŋêŶêĥŠêȊĀŋĬŷŚąȊŋÃŚêŒȊĤÃŽȊƍŠßŚŠÃŚêȊåêňêĥåĉĥĀȊĬĥȊŚąêȊĤÃŋěêŚȊňŋĉßêȊ ÿĬŋȊÿŠêĞȊĉĥȊÃĥŽȊĀĉŶêĥȊňêŋĉĬåǢȊŷąĉßąȊĉŒȊĥĬŚȊŋêňŋêŒêĥŚÃŚĉŶêȊĬÿȊŚąêȊ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ĬĤňÃĥŽȃŒȊŋêÃĞȊêŒŚÃŚêȊÞŠŒĉĥêŒŒȊÃĥåȊĉŚŒȊêßĬĥĬĤĉßȊêżňĬŒŠŋêȊŚĬȊňĬŷêŋȊÃĥåȊÿŠêĞȊßĬŒŚŒǡȊ &lt;ŠŋŚąêŋĤĬŋêǢȊŚąĉŒȊêżňêĥŒêȊŋêĉĤÞŠŋŒêĤêĥŚȊĤĉŚĉĀÃŚêŒȊŚąêȊêßĬĥĬĤĉßȊĉĤňÃßŚȊÃŒŒĬßĉÃŚêåȊŷĉŚąȊƍŠßŚŠÃŚĉĬĥŒȊĉĥȊĬňêŋÃŚĉĥĀȊêżňêĥŒêŒǢȊŒŠßąȊÃŒȊňĬŷêŋȊÃĥåȊ ÿŠêĞȊßĬŒŚŒȊÃĥåȊĞÃĥåȊŋêĥŚŒȊĉĥȊßêŋŚÃĉĥȊĬÿȊŚąêȊ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ĬĤňÃĥŽȃŒȊĤÃŋěêŚŒǡȊ</w:t>
      </w:r>
      <w:r>
        <w:rPr>
          <w:rFonts w:ascii="PMingLiU" w:cs="PMingLiU" w:eastAsia="PMingLiU" w:hAnsi="PMingLiU"/>
          <w:sz w:val="12"/>
          <w:szCs w:val="12"/>
          <w:color w:val="231F20"/>
        </w:rPr>
        <w:t/>
      </w:r>
      <w:r>
        <w:rPr>
          <w:rFonts w:ascii="Arial" w:cs="Arial" w:eastAsia="Arial" w:hAnsi="Arial"/>
          <w:sz w:val="12"/>
          <w:szCs w:val="12"/>
          <w:color w:val="231F20"/>
        </w:rPr>
        <w:t>ŒȊÃȊŋêŒŠĞŚǢȊŚąêȊ</w:t>
      </w:r>
      <w:r>
        <w:rPr>
          <w:rFonts w:ascii="PMingLiU" w:cs="PMingLiU" w:eastAsia="PMingLiU" w:hAnsi="PMingLiU"/>
          <w:sz w:val="12"/>
          <w:szCs w:val="12"/>
          <w:color w:val="231F20"/>
        </w:rPr>
        <w:t/>
      </w:r>
      <w:r>
        <w:rPr>
          <w:rFonts w:ascii="Arial" w:cs="Arial" w:eastAsia="Arial" w:hAnsi="Arial"/>
          <w:sz w:val="12"/>
          <w:szCs w:val="12"/>
          <w:color w:val="231F20"/>
        </w:rPr>
        <w:t>ĬĤňÃĥŽȊÞêĞĉêŶêŒȊŚąÃŚȊĉŚȊĉŒȊÃňňŋĬňŋĉÃŚêȊŚĬȊňŋĬŶĉåêȊĉĥŒĉĀąŚȊĉĥŚĬȊŚąêȊ ĉĤňÃßŚȊĬÿȊňÃŒŒǸŚąŋĬŠĀąȊŋêŶêĥŠêȊĬĥȊßêŋŚÃĉĥȊŋêŶêĥŠêȊĀŋĬŷŚąȊŋÃŚêŒǡȊ</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Nareit FFO Attributable to American Tower Corporation Common Stockholders</w:t>
      </w:r>
      <w:r>
        <w:rPr>
          <w:rFonts w:ascii="Arial" w:cs="Arial" w:eastAsia="Arial" w:hAnsi="Arial"/>
          <w:sz w:val="14"/>
          <w:szCs w:val="14"/>
          <w:color w:val="231F20"/>
        </w:rPr>
        <w:t>ȊĉŒȊåêƌĥêåȊÃŒȊĥêŚȊĉĥßĬĤêȊÞêÿĬŋêȊĀÃĉĥŒȊĬŋȊĞĬŒŒêŒȊÿŋĬĤȊŚąêȊŒÃĞêȊ</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231F20"/>
        </w:rPr>
        <w:t>ĬŋȊåĉŒňĬŒÃĞȊĬÿȊŋêÃĞȊêŒŚÃŚêǢȊŋêÃĞȊêŒŚÃŚêȊŋêĞÃŚêåȊĉĤňÃĉŋĤêĥŚȊßąÃŋĀêŒǢȊŋêÃĞȊêŒŚÃŚêȊŋêĞÃŚêåȊåêňŋêßĉÃŚĉĬĥǢȊÃĤĬŋŚĉƅÃŚĉĬĥȊÃĥåȊÃßßŋêŚĉĬĥǢȊÃĥåȊĉĥßĞŠåĉĥĀȊ</w:t>
      </w:r>
    </w:p>
    <w:p>
      <w:pPr>
        <w:spacing w:after="0" w:line="62" w:lineRule="exact"/>
        <w:rPr>
          <w:sz w:val="20"/>
          <w:szCs w:val="20"/>
          <w:color w:val="auto"/>
        </w:rPr>
      </w:pPr>
    </w:p>
    <w:p>
      <w:pPr>
        <w:spacing w:after="0" w:line="158" w:lineRule="exact"/>
        <w:rPr>
          <w:sz w:val="20"/>
          <w:szCs w:val="20"/>
          <w:color w:val="auto"/>
        </w:rPr>
      </w:pPr>
      <w:r>
        <w:rPr>
          <w:rFonts w:ascii="Arial" w:cs="Arial" w:eastAsia="Arial" w:hAnsi="Arial"/>
          <w:sz w:val="13"/>
          <w:szCs w:val="13"/>
          <w:color w:val="231F20"/>
        </w:rPr>
        <w:t>ÃåĘŠŒŚĤêĥŚŒȊÃĥåȊåĉŒŚŋĉÞŠŚĉĬĥŒȊÿĬŋȊŠĥßĬĥŒĬĞĉåÃŚêåȊÃÿƌĞĉÃŚêŒȊÃĥåȊĥĬĥßĬĥŚŋĬĞĞĉĥĀȊĉĥŚêŋêŒŚŒȊÃĥåȊÃåĘŠŒŚĤêĥŚŒȊÿĬŋȊåĉŒßĬĥŚĉĥŠêåȊĬňêŋÃŚĉĬĥŒǡȊ</w:t>
      </w:r>
      <w:r>
        <w:rPr>
          <w:rFonts w:ascii="PMingLiU" w:cs="PMingLiU" w:eastAsia="PMingLiU" w:hAnsi="PMingLiU"/>
          <w:sz w:val="13"/>
          <w:szCs w:val="13"/>
          <w:color w:val="231F20"/>
        </w:rPr>
        <w:t></w:t>
      </w:r>
      <w:r>
        <w:rPr>
          <w:rFonts w:ascii="Arial" w:cs="Arial" w:eastAsia="Arial" w:hAnsi="Arial"/>
          <w:sz w:val="13"/>
          <w:szCs w:val="13"/>
          <w:color w:val="231F20"/>
        </w:rPr>
        <w:t>ąêȊ</w:t>
      </w:r>
    </w:p>
    <w:p>
      <w:pPr>
        <w:spacing w:after="0" w:line="42" w:lineRule="exact"/>
        <w:rPr>
          <w:sz w:val="20"/>
          <w:szCs w:val="20"/>
          <w:color w:val="auto"/>
        </w:rPr>
      </w:pPr>
    </w:p>
    <w:p>
      <w:pPr>
        <w:spacing w:after="0" w:line="146" w:lineRule="exact"/>
        <w:rPr>
          <w:sz w:val="20"/>
          <w:szCs w:val="20"/>
          <w:color w:val="auto"/>
        </w:rPr>
      </w:pPr>
      <w:r>
        <w:rPr>
          <w:rFonts w:ascii="PMingLiU" w:cs="PMingLiU" w:eastAsia="PMingLiU" w:hAnsi="PMingLiU"/>
          <w:sz w:val="12"/>
          <w:szCs w:val="12"/>
          <w:color w:val="231F20"/>
        </w:rPr>
        <w:t/>
      </w:r>
      <w:r>
        <w:rPr>
          <w:rFonts w:ascii="Arial" w:cs="Arial" w:eastAsia="Arial" w:hAnsi="Arial"/>
          <w:sz w:val="12"/>
          <w:szCs w:val="12"/>
          <w:color w:val="231F20"/>
        </w:rPr>
        <w:t>ĬĤňÃĥŽȊÞêĞĉêŶêŒȊŚąĉŒȊĤêÃŒŠŋêȊňŋĬŶĉåêŒȊŶÃĞŠÃÞĞêȊĉĥŒĉĀąŚȊĉĥŚĬȊŚąêȊĬňêŋÃŚĉĥĀȊňêŋÿĬŋĤÃĥßêȊĬÿȊĉŚŒȊňŋĬňêŋŚŽȊÃŒŒêŚŒȊÞŽȊêżßĞŠåĉĥĀȊŚąêȊßąÃŋĀêŒȊåêŒßŋĉÞêåȊ</w:t>
      </w:r>
    </w:p>
    <w:p>
      <w:pPr>
        <w:spacing w:after="0" w:line="55"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ÃÞĬŶêǢȊňÃŋŚĉßŠĞÃŋĞŽȊåêňŋêßĉÃŚĉĬĥȊêżňêĥŒêŒǢȊĀĉŶêĥȊŚąêȊąĉĀąȊĉĥĉŚĉÃĞǢȊŠňǸÿŋĬĥŚȊßÃňĉŚÃĞȊĉĥŚêĥŒĉŚŽȊĬÿȊŚąêȊ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ĬĤňÃĥŽȃŒȊĬňêŋÃŚĉĥĀȊĤĬåêĞǡȊFĥȊÃååĉŚĉĬĥǢȊĉŚȊĉŒȊÃȊ</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231F20"/>
        </w:rPr>
        <w:t>ŷĉåêĞŽȊŠŒêåȊňêŋÿĬŋĤÃĥßêȊĤêÃŒŠŋêȊÃßŋĬŒŒȊŚąêȊŚêĞêßĬĤĤŠĥĉßÃŚĉĬĥŒȊŋêÃĞȊêŒŚÃŚêȊŒêßŚĬŋǡ</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Net Debt</w:t>
      </w:r>
      <w:r>
        <w:rPr>
          <w:rFonts w:ascii="Arial" w:cs="Arial" w:eastAsia="Arial" w:hAnsi="Arial"/>
          <w:sz w:val="13"/>
          <w:szCs w:val="13"/>
          <w:color w:val="231F20"/>
        </w:rPr>
        <w:t>ȊĉŒȊåêƌĥêåȊÃŒȊŚĬŚÃĞȊĞĬĥĀǸŚêŋĤȊåêÞŚǢȊĉĥßĞŠåĉĥĀȊßŠŋŋêĥŚȊňĬŋŚĉĬĥȊÃĥåȊƌĥÃĥßêȊĞêÃŒêȊĞĉÃÞĉĞĉŚĉêŒǢȊĞêŒŒȊßÃŒąȊÃĥåȊßÃŒąȊêŊŠĉŶÃĞêĥŚŒǡ</w:t>
      </w:r>
    </w:p>
    <w:p>
      <w:pPr>
        <w:spacing w:after="0" w:line="251" w:lineRule="exact"/>
        <w:rPr>
          <w:sz w:val="20"/>
          <w:szCs w:val="20"/>
          <w:color w:val="auto"/>
        </w:rPr>
      </w:pPr>
    </w:p>
    <w:p>
      <w:pPr>
        <w:ind w:right="40"/>
        <w:spacing w:after="0" w:line="201" w:lineRule="exact"/>
        <w:rPr>
          <w:sz w:val="20"/>
          <w:szCs w:val="20"/>
          <w:color w:val="auto"/>
        </w:rPr>
      </w:pPr>
      <w:r>
        <w:rPr>
          <w:rFonts w:ascii="Arial" w:cs="Arial" w:eastAsia="Arial" w:hAnsi="Arial"/>
          <w:sz w:val="12"/>
          <w:szCs w:val="12"/>
          <w:b w:val="1"/>
          <w:bCs w:val="1"/>
          <w:color w:val="231F20"/>
        </w:rPr>
        <w:t>Net Leverage Ratio</w:t>
      </w:r>
      <w:r>
        <w:rPr>
          <w:rFonts w:ascii="Arial" w:cs="Arial" w:eastAsia="Arial" w:hAnsi="Arial"/>
          <w:sz w:val="12"/>
          <w:szCs w:val="12"/>
          <w:color w:val="231F20"/>
        </w:rPr>
        <w:t>ȊĉŒȊåêƌĥêåȊÃŒȊ_êŚȊ#êÞŚȊåĉŶĉåêåȊÞŽȊŚąêȊŊŠÃŋŚêŋȃŒȊÃĥĥŠÃĞĉƅêåȊ</w:t>
      </w:r>
      <w:r>
        <w:rPr>
          <w:rFonts w:ascii="PMingLiU" w:cs="PMingLiU" w:eastAsia="PMingLiU" w:hAnsi="PMingLiU"/>
          <w:sz w:val="12"/>
          <w:szCs w:val="12"/>
          <w:color w:val="231F20"/>
        </w:rPr>
        <w:t/>
      </w:r>
      <w:r>
        <w:rPr>
          <w:rFonts w:ascii="Arial" w:cs="Arial" w:eastAsia="Arial" w:hAnsi="Arial"/>
          <w:sz w:val="12"/>
          <w:szCs w:val="12"/>
          <w:color w:val="231F20"/>
        </w:rPr>
        <w:t>åĘŠŒŚêåȊ(</w:t>
      </w:r>
      <w:r>
        <w:rPr>
          <w:rFonts w:ascii="PMingLiU" w:cs="PMingLiU" w:eastAsia="PMingLiU" w:hAnsi="PMingLiU"/>
          <w:sz w:val="12"/>
          <w:szCs w:val="12"/>
          <w:color w:val="231F20"/>
        </w:rPr>
        <w:t/>
      </w:r>
      <w:r>
        <w:rPr>
          <w:rFonts w:ascii="Arial" w:cs="Arial" w:eastAsia="Arial" w:hAnsi="Arial"/>
          <w:sz w:val="12"/>
          <w:szCs w:val="12"/>
          <w:color w:val="231F20"/>
        </w:rPr>
        <w:t>F</w:t>
      </w:r>
      <w:r>
        <w:rPr>
          <w:rFonts w:ascii="PMingLiU" w:cs="PMingLiU" w:eastAsia="PMingLiU" w:hAnsi="PMingLiU"/>
          <w:sz w:val="12"/>
          <w:szCs w:val="12"/>
          <w:color w:val="231F20"/>
        </w:rPr>
        <w:t></w:t>
      </w:r>
      <w:r>
        <w:rPr>
          <w:rFonts w:ascii="Arial" w:cs="Arial" w:eastAsia="Arial" w:hAnsi="Arial"/>
          <w:sz w:val="12"/>
          <w:szCs w:val="12"/>
          <w:color w:val="231F20"/>
        </w:rPr>
        <w:t>#</w:t>
      </w:r>
      <w:r>
        <w:rPr>
          <w:rFonts w:ascii="PMingLiU" w:cs="PMingLiU" w:eastAsia="PMingLiU" w:hAnsi="PMingLiU"/>
          <w:sz w:val="12"/>
          <w:szCs w:val="12"/>
          <w:color w:val="231F20"/>
        </w:rPr>
        <w:t/>
      </w:r>
      <w:r>
        <w:rPr>
          <w:rFonts w:ascii="Arial" w:cs="Arial" w:eastAsia="Arial" w:hAnsi="Arial"/>
          <w:sz w:val="12"/>
          <w:szCs w:val="12"/>
          <w:color w:val="231F20"/>
        </w:rPr>
        <w:t>ȊǲŚąêȊŊŠÃŋŚêŋȃŒȊ</w:t>
      </w:r>
      <w:r>
        <w:rPr>
          <w:rFonts w:ascii="PMingLiU" w:cs="PMingLiU" w:eastAsia="PMingLiU" w:hAnsi="PMingLiU"/>
          <w:sz w:val="12"/>
          <w:szCs w:val="12"/>
          <w:color w:val="231F20"/>
        </w:rPr>
        <w:t/>
      </w:r>
      <w:r>
        <w:rPr>
          <w:rFonts w:ascii="Arial" w:cs="Arial" w:eastAsia="Arial" w:hAnsi="Arial"/>
          <w:sz w:val="12"/>
          <w:szCs w:val="12"/>
          <w:color w:val="231F20"/>
        </w:rPr>
        <w:t>åĘŠŒŚêåȊ(</w:t>
      </w:r>
      <w:r>
        <w:rPr>
          <w:rFonts w:ascii="PMingLiU" w:cs="PMingLiU" w:eastAsia="PMingLiU" w:hAnsi="PMingLiU"/>
          <w:sz w:val="12"/>
          <w:szCs w:val="12"/>
          <w:color w:val="231F20"/>
        </w:rPr>
        <w:t/>
      </w:r>
      <w:r>
        <w:rPr>
          <w:rFonts w:ascii="Arial" w:cs="Arial" w:eastAsia="Arial" w:hAnsi="Arial"/>
          <w:sz w:val="12"/>
          <w:szCs w:val="12"/>
          <w:color w:val="231F20"/>
        </w:rPr>
        <w:t>F</w:t>
      </w:r>
      <w:r>
        <w:rPr>
          <w:rFonts w:ascii="PMingLiU" w:cs="PMingLiU" w:eastAsia="PMingLiU" w:hAnsi="PMingLiU"/>
          <w:sz w:val="12"/>
          <w:szCs w:val="12"/>
          <w:color w:val="231F20"/>
        </w:rPr>
        <w:t></w:t>
      </w:r>
      <w:r>
        <w:rPr>
          <w:rFonts w:ascii="Arial" w:cs="Arial" w:eastAsia="Arial" w:hAnsi="Arial"/>
          <w:sz w:val="12"/>
          <w:szCs w:val="12"/>
          <w:color w:val="231F20"/>
        </w:rPr>
        <w:t>#</w:t>
      </w:r>
      <w:r>
        <w:rPr>
          <w:rFonts w:ascii="PMingLiU" w:cs="PMingLiU" w:eastAsia="PMingLiU" w:hAnsi="PMingLiU"/>
          <w:sz w:val="12"/>
          <w:szCs w:val="12"/>
          <w:color w:val="231F20"/>
        </w:rPr>
        <w:t/>
      </w:r>
      <w:r>
        <w:rPr>
          <w:rFonts w:ascii="Arial" w:cs="Arial" w:eastAsia="Arial" w:hAnsi="Arial"/>
          <w:sz w:val="12"/>
          <w:szCs w:val="12"/>
          <w:color w:val="231F20"/>
        </w:rPr>
        <w:t>ȊĤŠĞŚĉňĞĉêåȊÞŽȊÿĬŠŋǳǡȊ</w:t>
      </w:r>
      <w:r>
        <w:rPr>
          <w:rFonts w:ascii="Arial" w:cs="Arial" w:eastAsia="Arial" w:hAnsi="Arial"/>
          <w:sz w:val="12"/>
          <w:szCs w:val="12"/>
          <w:b w:val="1"/>
          <w:bCs w:val="1"/>
          <w:color w:val="231F20"/>
        </w:rPr>
        <w:t xml:space="preserve"> </w:t>
      </w:r>
      <w:r>
        <w:rPr>
          <w:rFonts w:ascii="PMingLiU" w:cs="PMingLiU" w:eastAsia="PMingLiU" w:hAnsi="PMingLiU"/>
          <w:sz w:val="12"/>
          <w:szCs w:val="12"/>
          <w:color w:val="231F20"/>
        </w:rPr>
        <w:t></w:t>
      </w:r>
      <w:r>
        <w:rPr>
          <w:rFonts w:ascii="Arial" w:cs="Arial" w:eastAsia="Arial" w:hAnsi="Arial"/>
          <w:sz w:val="12"/>
          <w:szCs w:val="12"/>
          <w:color w:val="231F20"/>
        </w:rPr>
        <w:t>ąêȊ</w:t>
      </w:r>
      <w:r>
        <w:rPr>
          <w:rFonts w:ascii="PMingLiU" w:cs="PMingLiU" w:eastAsia="PMingLiU" w:hAnsi="PMingLiU"/>
          <w:sz w:val="12"/>
          <w:szCs w:val="12"/>
          <w:color w:val="231F20"/>
        </w:rPr>
        <w:t/>
      </w:r>
      <w:r>
        <w:rPr>
          <w:rFonts w:ascii="Arial" w:cs="Arial" w:eastAsia="Arial" w:hAnsi="Arial"/>
          <w:sz w:val="12"/>
          <w:szCs w:val="12"/>
          <w:color w:val="231F20"/>
        </w:rPr>
        <w:t>ĬĤňÃĥŽȊÞêĞĉêŶêŒȊŚąÃŚȊĉĥßĞŠåĉĥĀȊŚąĉŒȊßÃĞßŠĞÃŚĉĬĥȊĉŒȊĉĤňĬŋŚÃĥŚȊÿĬŋȊĉĥŶêŒŚĬŋŒȊÃĥåȊÃĥÃĞŽŒŚŒȊĀĉŶêĥȊĉŚȊĉŒȊÃȊßŋĉŚĉßÃĞȊßĬĤňĬĥêĥŚȊŠĥåêŋĞŽĉĥĀȊĉŚŒȊßŋêåĉŚȊ ÃĀêĥßŽȊŋÃŚĉĥĀŒǡ</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NOI Yield</w:t>
      </w:r>
      <w:r>
        <w:rPr>
          <w:rFonts w:ascii="Arial" w:cs="Arial" w:eastAsia="Arial" w:hAnsi="Arial"/>
          <w:sz w:val="16"/>
          <w:szCs w:val="16"/>
          <w:color w:val="231F20"/>
        </w:rPr>
        <w:t>ȊĉŒȊåêƌĥêåȊÃŒȊŚąêȊňêŋßêĥŚÃĀêȊŚąÃŚȊŋêŒŠĞŚŒȊÿŋĬĤȊåĉŶĉåĉĥĀȊĀŋĬŒŒȊĤÃŋĀĉĥȊÞŽȊŚĬŚÃĞȊĉĥŶêŒŚĤêĥŚǡ</w:t>
      </w:r>
    </w:p>
    <w:p>
      <w:pPr>
        <w:spacing w:after="0" w:line="216" w:lineRule="exact"/>
        <w:rPr>
          <w:sz w:val="20"/>
          <w:szCs w:val="20"/>
          <w:color w:val="auto"/>
        </w:rPr>
      </w:pPr>
    </w:p>
    <w:p>
      <w:pPr>
        <w:ind w:right="260"/>
        <w:spacing w:after="0" w:line="201" w:lineRule="exact"/>
        <w:rPr>
          <w:sz w:val="20"/>
          <w:szCs w:val="20"/>
          <w:color w:val="auto"/>
        </w:rPr>
      </w:pPr>
      <w:r>
        <w:rPr>
          <w:rFonts w:ascii="Arial" w:cs="Arial" w:eastAsia="Arial" w:hAnsi="Arial"/>
          <w:sz w:val="12"/>
          <w:szCs w:val="12"/>
          <w:b w:val="1"/>
          <w:bCs w:val="1"/>
          <w:color w:val="231F20"/>
        </w:rPr>
        <w:t>Return on Invested Capital (ROIC)</w:t>
      </w:r>
      <w:r>
        <w:rPr>
          <w:rFonts w:ascii="Arial" w:cs="Arial" w:eastAsia="Arial" w:hAnsi="Arial"/>
          <w:sz w:val="12"/>
          <w:szCs w:val="12"/>
          <w:color w:val="231F20"/>
        </w:rPr>
        <w:t>ȊĉŒȊåêƌĥêåȊÃŒȊ</w:t>
      </w:r>
      <w:r>
        <w:rPr>
          <w:rFonts w:ascii="PMingLiU" w:cs="PMingLiU" w:eastAsia="PMingLiU" w:hAnsi="PMingLiU"/>
          <w:sz w:val="12"/>
          <w:szCs w:val="12"/>
          <w:color w:val="231F20"/>
        </w:rPr>
        <w:t/>
      </w:r>
      <w:r>
        <w:rPr>
          <w:rFonts w:ascii="Arial" w:cs="Arial" w:eastAsia="Arial" w:hAnsi="Arial"/>
          <w:sz w:val="12"/>
          <w:szCs w:val="12"/>
          <w:color w:val="231F20"/>
        </w:rPr>
        <w:t>åĘŠŒŚêåȊ(</w:t>
      </w:r>
      <w:r>
        <w:rPr>
          <w:rFonts w:ascii="PMingLiU" w:cs="PMingLiU" w:eastAsia="PMingLiU" w:hAnsi="PMingLiU"/>
          <w:sz w:val="12"/>
          <w:szCs w:val="12"/>
          <w:color w:val="231F20"/>
        </w:rPr>
        <w:t/>
      </w:r>
      <w:r>
        <w:rPr>
          <w:rFonts w:ascii="Arial" w:cs="Arial" w:eastAsia="Arial" w:hAnsi="Arial"/>
          <w:sz w:val="12"/>
          <w:szCs w:val="12"/>
          <w:color w:val="231F20"/>
        </w:rPr>
        <w:t>F</w:t>
      </w:r>
      <w:r>
        <w:rPr>
          <w:rFonts w:ascii="PMingLiU" w:cs="PMingLiU" w:eastAsia="PMingLiU" w:hAnsi="PMingLiU"/>
          <w:sz w:val="12"/>
          <w:szCs w:val="12"/>
          <w:color w:val="231F20"/>
        </w:rPr>
        <w:t></w:t>
      </w:r>
      <w:r>
        <w:rPr>
          <w:rFonts w:ascii="Arial" w:cs="Arial" w:eastAsia="Arial" w:hAnsi="Arial"/>
          <w:sz w:val="12"/>
          <w:szCs w:val="12"/>
          <w:color w:val="231F20"/>
        </w:rPr>
        <w:t>#</w:t>
      </w:r>
      <w:r>
        <w:rPr>
          <w:rFonts w:ascii="PMingLiU" w:cs="PMingLiU" w:eastAsia="PMingLiU" w:hAnsi="PMingLiU"/>
          <w:sz w:val="12"/>
          <w:szCs w:val="12"/>
          <w:color w:val="231F20"/>
        </w:rPr>
        <w:t/>
      </w:r>
      <w:r>
        <w:rPr>
          <w:rFonts w:ascii="Arial" w:cs="Arial" w:eastAsia="Arial" w:hAnsi="Arial"/>
          <w:sz w:val="12"/>
          <w:szCs w:val="12"/>
          <w:color w:val="231F20"/>
        </w:rPr>
        <w:t>ȊĞêŒŒȊßÃňĉŚÃĞȊĉĤňŋĬŶêĤêĥŚȊßÃňĉŚÃĞȊêżňêĥåĉŚŠŋêŒȊÃĥåȊßĬŋňĬŋÃŚêȊßÃňĉŚÃĞȊ</w:t>
      </w:r>
      <w:r>
        <w:rPr>
          <w:rFonts w:ascii="Arial" w:cs="Arial" w:eastAsia="Arial" w:hAnsi="Arial"/>
          <w:sz w:val="12"/>
          <w:szCs w:val="12"/>
          <w:b w:val="1"/>
          <w:bCs w:val="1"/>
          <w:color w:val="231F20"/>
        </w:rPr>
        <w:t xml:space="preserve"> </w:t>
      </w:r>
      <w:r>
        <w:rPr>
          <w:rFonts w:ascii="Arial" w:cs="Arial" w:eastAsia="Arial" w:hAnsi="Arial"/>
          <w:sz w:val="12"/>
          <w:szCs w:val="12"/>
          <w:color w:val="231F20"/>
        </w:rPr>
        <w:t>êżňêĥåĉŚŠŋêŒȊÃĥåȊßÃŒąȊŚÃżêŒǢȊåĉŶĉåêåȊÞŽȊĀŋĬŒŒȊňŋĬňêŋŚŽǢȊňĞÃĥŚȊÃĥåȊêŊŠĉňĤêĥŚǢȊĉĥŚÃĥĀĉÞĞêȊÃŒŒêŚŒȊÃĥåȊĀĬĬåŷĉĞĞȊǲêżßĞŠåĉĥĀȊŚąêȊĉĤňÃßŚȊĬÿȊŋêßĬŋåĉĥĀȊ åêÿêŋŋêåȊŚÃżȊÃåĘŠŒŚĤêĥŚŒȊŋêĞÃŚêåȊŚĬȊŶÃĞŠÃŚĉĬĥȊÃĥåȊĀĬĬåŷĉĞĞȊÃĥåȊĉĥŚÃĥĀĉÞĞêȊĉĤňÃĉŋĤêĥŚŒǳǡ</w:t>
      </w:r>
    </w:p>
    <w:p>
      <w:pPr>
        <w:spacing w:after="0" w:line="201" w:lineRule="exact"/>
        <w:rPr>
          <w:sz w:val="20"/>
          <w:szCs w:val="20"/>
          <w:color w:val="auto"/>
        </w:rPr>
      </w:pPr>
    </w:p>
    <w:p>
      <w:pPr>
        <w:ind w:right="100"/>
        <w:spacing w:after="0" w:line="200" w:lineRule="exact"/>
        <w:rPr>
          <w:sz w:val="20"/>
          <w:szCs w:val="20"/>
          <w:color w:val="auto"/>
        </w:rPr>
      </w:pPr>
      <w:r>
        <w:rPr>
          <w:rFonts w:ascii="Arial" w:cs="Arial" w:eastAsia="Arial" w:hAnsi="Arial"/>
          <w:sz w:val="12"/>
          <w:szCs w:val="12"/>
          <w:b w:val="1"/>
          <w:bCs w:val="1"/>
          <w:color w:val="231F20"/>
        </w:rPr>
        <w:t>Straight-line ground rent expenses</w:t>
      </w:r>
      <w:r>
        <w:rPr>
          <w:rFonts w:ascii="Arial" w:cs="Arial" w:eastAsia="Arial" w:hAnsi="Arial"/>
          <w:sz w:val="12"/>
          <w:szCs w:val="12"/>
          <w:color w:val="231F20"/>
        </w:rPr>
        <w:t>ȊÿĬŋȊĬŠŋȊĀŋĬŠĥåȊĞêÃŒêŒȊÃŋêȊßÃĞßŠĞÃŚêåȊÞÃŒêåȊĬĥȊŚąêȊƌżêåȊĥĬĥǸßÃĥßêĞĞÃÞĞêȊŚêŋĤȊĬÿȊŚąêȊŠĥåêŋĞŽĉĥĀȊĀŋĬŠĥåȊĞêÃŒêȊ</w:t>
      </w:r>
      <w:r>
        <w:rPr>
          <w:rFonts w:ascii="Arial" w:cs="Arial" w:eastAsia="Arial" w:hAnsi="Arial"/>
          <w:sz w:val="12"/>
          <w:szCs w:val="12"/>
          <w:b w:val="1"/>
          <w:bCs w:val="1"/>
          <w:color w:val="231F20"/>
        </w:rPr>
        <w:t xml:space="preserve"> </w:t>
      </w:r>
      <w:r>
        <w:rPr>
          <w:rFonts w:ascii="Arial" w:cs="Arial" w:eastAsia="Arial" w:hAnsi="Arial"/>
          <w:sz w:val="12"/>
          <w:szCs w:val="12"/>
          <w:color w:val="231F20"/>
        </w:rPr>
        <w:t>ňĞŠŒȊÃĞĞȊňêŋĉĬåŒǢȊĉÿȊÃĥŽǢȊÿĬŋȊŷąĉßąȊÿÃĉĞŠŋêȊŚĬȊŋêĥêŷȊŚąêȊĞêÃŒêȊĉĤňĬŒêŒȊÃĥȊêßĬĥĬĤĉßȊňêĥÃĞŚŽȊŚĬȊŠŒȊŒŠßąȊŚąÃŚȊŋêĥêŷÃĞȊÃňňêÃŋŒǢȊÃŚȊŚąêȊĉĥßêňŚĉĬĥȊĬÿȊŚąêȊ ĞêÃŒêǢȊŚĬȊÞêȊŋêÃŒĬĥÃÞĞŽȊÃŒŒŠŋêåǡȊ</w:t>
      </w:r>
      <w:r>
        <w:rPr>
          <w:rFonts w:ascii="PMingLiU" w:cs="PMingLiU" w:eastAsia="PMingLiU" w:hAnsi="PMingLiU"/>
          <w:sz w:val="12"/>
          <w:szCs w:val="12"/>
          <w:color w:val="231F20"/>
        </w:rPr>
        <w:t/>
      </w:r>
      <w:r>
        <w:rPr>
          <w:rFonts w:ascii="Arial" w:cs="Arial" w:eastAsia="Arial" w:hAnsi="Arial"/>
          <w:sz w:val="12"/>
          <w:szCs w:val="12"/>
          <w:color w:val="231F20"/>
        </w:rPr>
        <w:t>êŋŚÃĉĥȊĬÿȊĬŠŋȊŚêĥÃĥŚȊĞêÃŒêŒȊŋêŊŠĉŋêȊŠŒȊŚĬȊêżêŋßĉŒêȊÃŶÃĉĞÃÞĞêȊŋêĥêŷÃĞȊĬňŚĉĬĥŒȊňŠŋŒŠÃĥŚȊŚĬȊŚąêȊŠĥåêŋĞŽĉĥĀȊĀŋĬŠĥåȊ ĞêÃŒêǢȊĉÿȊŚąêȊŚêĥÃĥŚȊêżêŋßĉŒêŒȊĉŚŒȊŋêĥêŷÃĞȊĬňŚĉĬĥǡȊ&lt;ĬŋȊŚĬŷêŋŒȊŷĉŚąȊŚąêŒêȊŚŽňêŒȊĬÿȊŚêĥÃĥŚȊĞêÃŒêŒȊÃŚȊŚąêȊĉĥßêňŚĉĬĥȊĬÿȊŚąêȊĀŋĬŠĥåȊĞêÃŒêǢȊŷêȊßÃĞßŠĞÃŚêȊĬŠŋȊ ŒŚŋÃĉĀąŚǸĞĉĥêȊĀŋĬŠĥåȊŋêĥŚȊĬŶêŋȊŚąêȊŚêŋĤȊĬÿȊŚąêȊĀŋĬŠĥåȊĞêÃŒêǢȊĉĥßĞŠåĉĥĀȊÃĞĞȊŋêĥêŷÃĞȊĬňŚĉĬĥŒȊŋêŊŠĉŋêåȊŚĬȊÿŠĞƌĞĞȊŚąêȊŚêĥÃĥŚȊĞêÃŒêȊĬÞĞĉĀÃŚĉĬĥǡȊ</w:t>
      </w:r>
    </w:p>
    <w:p>
      <w:pPr>
        <w:sectPr>
          <w:pgSz w:w="11880" w:h="15480" w:orient="portrait"/>
          <w:cols w:equalWidth="0" w:num="1">
            <w:col w:w="10480"/>
          </w:cols>
          <w:pgMar w:left="720" w:top="658" w:right="680" w:bottom="971" w:gutter="0" w:footer="0" w:header="0"/>
        </w:sectPr>
      </w:pPr>
    </w:p>
    <w:bookmarkStart w:id="150" w:name="page151"/>
    <w:bookmarkEnd w:id="150"/>
    <w:p>
      <w:pPr>
        <w:spacing w:after="0" w:line="388" w:lineRule="exact"/>
        <w:rPr>
          <w:sz w:val="20"/>
          <w:szCs w:val="20"/>
          <w:color w:val="auto"/>
        </w:rPr>
      </w:pPr>
      <w:r>
        <w:rPr>
          <w:rFonts w:ascii="PMingLiU" w:cs="PMingLiU" w:eastAsia="PMingLiU" w:hAnsi="PMingLiU"/>
          <w:sz w:val="32"/>
          <w:szCs w:val="32"/>
          <w:color w:val="95979A"/>
        </w:rPr>
        <w:t/>
      </w:r>
      <w:r>
        <w:rPr>
          <w:rFonts w:ascii="Arial" w:cs="Arial" w:eastAsia="Arial" w:hAnsi="Arial"/>
          <w:sz w:val="32"/>
          <w:szCs w:val="32"/>
          <w:color w:val="95979A"/>
        </w:rPr>
        <w:t>ĤêŋĉßÃĥȊ</w:t>
      </w:r>
      <w:r>
        <w:rPr>
          <w:rFonts w:ascii="PMingLiU" w:cs="PMingLiU" w:eastAsia="PMingLiU" w:hAnsi="PMingLiU"/>
          <w:sz w:val="32"/>
          <w:szCs w:val="32"/>
          <w:color w:val="95979A"/>
        </w:rPr>
        <w:t></w:t>
      </w:r>
      <w:r>
        <w:rPr>
          <w:rFonts w:ascii="Arial" w:cs="Arial" w:eastAsia="Arial" w:hAnsi="Arial"/>
          <w:sz w:val="32"/>
          <w:szCs w:val="32"/>
          <w:color w:val="95979A"/>
        </w:rPr>
        <w:t>ĬŷêŋȊ</w:t>
      </w:r>
      <w:r>
        <w:rPr>
          <w:rFonts w:ascii="PMingLiU" w:cs="PMingLiU" w:eastAsia="PMingLiU" w:hAnsi="PMingLiU"/>
          <w:sz w:val="32"/>
          <w:szCs w:val="32"/>
          <w:color w:val="95979A"/>
        </w:rPr>
        <w:t/>
      </w:r>
      <w:r>
        <w:rPr>
          <w:rFonts w:ascii="Arial" w:cs="Arial" w:eastAsia="Arial" w:hAnsi="Arial"/>
          <w:sz w:val="32"/>
          <w:szCs w:val="32"/>
          <w:color w:val="95979A"/>
        </w:rPr>
        <w:t>ĬŋňĬŋÃŚĉĬĥȊ</w:t>
      </w:r>
      <w:r>
        <w:rPr>
          <w:rFonts w:ascii="Arial" w:cs="Arial" w:eastAsia="Arial" w:hAnsi="Arial"/>
          <w:sz w:val="16"/>
          <w:szCs w:val="16"/>
          <w:color w:val="95979A"/>
        </w:rPr>
        <w:t>•</w:t>
      </w:r>
      <w:r>
        <w:rPr>
          <w:rFonts w:ascii="Arial" w:cs="Arial" w:eastAsia="Arial" w:hAnsi="Arial"/>
          <w:sz w:val="32"/>
          <w:szCs w:val="32"/>
          <w:color w:val="95979A"/>
        </w:rPr>
        <w:t>ȊƓƑƓƖȊ</w:t>
      </w:r>
      <w:r>
        <w:rPr>
          <w:rFonts w:ascii="PMingLiU" w:cs="PMingLiU" w:eastAsia="PMingLiU" w:hAnsi="PMingLiU"/>
          <w:sz w:val="32"/>
          <w:szCs w:val="32"/>
          <w:color w:val="95979A"/>
        </w:rPr>
        <w:t/>
      </w:r>
      <w:r>
        <w:rPr>
          <w:rFonts w:ascii="Arial" w:cs="Arial" w:eastAsia="Arial" w:hAnsi="Arial"/>
          <w:sz w:val="32"/>
          <w:szCs w:val="32"/>
          <w:color w:val="95979A"/>
        </w:rPr>
        <w:t>ĥĥŠÃĞȊ</w:t>
      </w:r>
      <w:r>
        <w:rPr>
          <w:rFonts w:ascii="PMingLiU" w:cs="PMingLiU" w:eastAsia="PMingLiU" w:hAnsi="PMingLiU"/>
          <w:sz w:val="32"/>
          <w:szCs w:val="32"/>
          <w:color w:val="95979A"/>
        </w:rPr>
        <w:t></w:t>
      </w:r>
      <w:r>
        <w:rPr>
          <w:rFonts w:ascii="Arial" w:cs="Arial" w:eastAsia="Arial" w:hAnsi="Arial"/>
          <w:sz w:val="32"/>
          <w:szCs w:val="32"/>
          <w:color w:val="95979A"/>
        </w:rPr>
        <w:t>êňĬŋŚ</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231F20"/>
        </w:rPr>
        <w:t>Appendix 1 • Letter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DEFINITIONS, RECONCILIATIONS TO MEASURES UNDER GAAP AND CALCULATION OF DEFINED MEASURES</w:t>
      </w:r>
    </w:p>
    <w:p>
      <w:pPr>
        <w:spacing w:after="0" w:line="311" w:lineRule="exact"/>
        <w:rPr>
          <w:sz w:val="20"/>
          <w:szCs w:val="20"/>
          <w:color w:val="auto"/>
        </w:rPr>
      </w:pPr>
    </w:p>
    <w:p>
      <w:pPr>
        <w:ind w:right="40"/>
        <w:spacing w:after="0" w:line="200" w:lineRule="exact"/>
        <w:rPr>
          <w:sz w:val="20"/>
          <w:szCs w:val="20"/>
          <w:color w:val="auto"/>
        </w:rPr>
      </w:pPr>
      <w:r>
        <w:rPr>
          <w:rFonts w:ascii="Arial" w:cs="Arial" w:eastAsia="Arial" w:hAnsi="Arial"/>
          <w:sz w:val="12"/>
          <w:szCs w:val="12"/>
          <w:b w:val="1"/>
          <w:bCs w:val="1"/>
          <w:color w:val="231F20"/>
        </w:rPr>
        <w:t>Straight-line revenues</w:t>
      </w:r>
      <w:r>
        <w:rPr>
          <w:rFonts w:ascii="Arial" w:cs="Arial" w:eastAsia="Arial" w:hAnsi="Arial"/>
          <w:sz w:val="12"/>
          <w:szCs w:val="12"/>
          <w:color w:val="231F20"/>
        </w:rPr>
        <w:t>ȊÃŋêȊŋêßĬĀĥĉƅêåȊÞŽȊŚąêȊ</w:t>
      </w:r>
      <w:r>
        <w:rPr>
          <w:rFonts w:ascii="PMingLiU" w:cs="PMingLiU" w:eastAsia="PMingLiU" w:hAnsi="PMingLiU"/>
          <w:sz w:val="12"/>
          <w:szCs w:val="12"/>
          <w:color w:val="231F20"/>
        </w:rPr>
        <w:t/>
      </w:r>
      <w:r>
        <w:rPr>
          <w:rFonts w:ascii="Arial" w:cs="Arial" w:eastAsia="Arial" w:hAnsi="Arial"/>
          <w:sz w:val="12"/>
          <w:szCs w:val="12"/>
          <w:color w:val="231F20"/>
        </w:rPr>
        <w:t>ĬĤňÃĥŽǢȊŠĥåêŋȊ=</w:t>
      </w:r>
      <w:r>
        <w:rPr>
          <w:rFonts w:ascii="PMingLiU" w:cs="PMingLiU" w:eastAsia="PMingLiU" w:hAnsi="PMingLiU"/>
          <w:sz w:val="12"/>
          <w:szCs w:val="12"/>
          <w:color w:val="231F20"/>
        </w:rPr>
        <w:t></w:t>
      </w:r>
      <w:r>
        <w:rPr>
          <w:rFonts w:ascii="Arial" w:cs="Arial" w:eastAsia="Arial" w:hAnsi="Arial"/>
          <w:sz w:val="12"/>
          <w:szCs w:val="12"/>
          <w:color w:val="231F20"/>
        </w:rPr>
        <w:t>ǢȊĬŶêŋȊŚąêȊŚêŋĤȊĬÿȊŚąêȊßĬĥŚŋÃßŚȊÿĬŋȊßêŋŚÃĉĥȊĬÿȊĉŚŒȊŚêĥÃĥŚȊĞêÃŒêŒǡȊ#ŠêȊŚĬȊŚąêȊ</w:t>
      </w:r>
      <w:r>
        <w:rPr>
          <w:rFonts w:ascii="Arial" w:cs="Arial" w:eastAsia="Arial" w:hAnsi="Arial"/>
          <w:sz w:val="12"/>
          <w:szCs w:val="12"/>
          <w:b w:val="1"/>
          <w:bCs w:val="1"/>
          <w:color w:val="231F20"/>
        </w:rPr>
        <w:t xml:space="preserve"> </w:t>
      </w:r>
      <w:r>
        <w:rPr>
          <w:rFonts w:ascii="PMingLiU" w:cs="PMingLiU" w:eastAsia="PMingLiU" w:hAnsi="PMingLiU"/>
          <w:sz w:val="12"/>
          <w:szCs w:val="12"/>
          <w:color w:val="231F20"/>
        </w:rPr>
        <w:t/>
      </w:r>
      <w:r>
        <w:rPr>
          <w:rFonts w:ascii="Arial" w:cs="Arial" w:eastAsia="Arial" w:hAnsi="Arial"/>
          <w:sz w:val="12"/>
          <w:szCs w:val="12"/>
          <w:color w:val="231F20"/>
        </w:rPr>
        <w:t>ĬĤňÃĥŽȃŒȊŒĉĀĥĉƌßÃĥŚȊÞÃŒêȊĬÿȊĥĬĥǸßÃĥßêĞĞÃÞĞêǢȊĞĬĥĀǸŚêŋĤȊŚêĥÃĥŚȊĞêÃŒêŒǢȊŚąĉŒȊßÃĥȊŋêŒŠĞŚȊĉĥȊŒĉĀĥĉƌßÃĥŚȊƍŠßŚŠÃŚĉĬĥŒȊĉĥȊĀŋĬŷŚąȊŋÃŚêŒȊŠňĬĥȊŚêĥÃĥŚȊ ĞêÃŒêȊŒĉĀĥĉĥĀŒȊÃĥåȊŋêĥêŷÃĞŒȊǲŚŽňĉßÃĞĞŽȊĉĥßŋêÃŒêŒǳǢȊŷąêĥȊÃĤĬŠĥŚŒȊÞĉĞĞêåȊĬŋȊŋêßêĉŶêåȊŠňÿŋĬĥŚȊŠňĬĥȊŚąêŒêȊêŶêĥŚŒȊÃŋêȊĉĥĉŚĉÃĞĞŽȊåêÿêŋŋêåǡȊ</w:t>
      </w:r>
      <w:r>
        <w:rPr>
          <w:rFonts w:ascii="PMingLiU" w:cs="PMingLiU" w:eastAsia="PMingLiU" w:hAnsi="PMingLiU"/>
          <w:sz w:val="12"/>
          <w:szCs w:val="12"/>
          <w:color w:val="231F20"/>
        </w:rPr>
        <w:t></w:t>
      </w:r>
      <w:r>
        <w:rPr>
          <w:rFonts w:ascii="Arial" w:cs="Arial" w:eastAsia="Arial" w:hAnsi="Arial"/>
          <w:sz w:val="12"/>
          <w:szCs w:val="12"/>
          <w:color w:val="231F20"/>
        </w:rPr>
        <w:t>ąêŒêȊŒĉĀĥĉĥĀŒȊ ÃĥåȊŋêĥêŷÃĞŒȊÃŋêȊĬĥĞŽȊÃȊňĬŋŚĉĬĥȊĬÿȊŚąêȊ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ĬĤňÃĥŽȃŒȊŠĥåêŋĞŽĉĥĀȊÞŠŒĉĥêŒŒȊĀŋĬŷŚąȊÃĥåȊßÃĥȊåĉŒŚĬŋŚȊŚąêȊŠĥåêŋĞŽĉĥĀȊňêŋÿĬŋĤÃĥßêȊĬÿȊĬŠŋȊ</w:t>
      </w:r>
      <w:r>
        <w:rPr>
          <w:rFonts w:ascii="PMingLiU" w:cs="PMingLiU" w:eastAsia="PMingLiU" w:hAnsi="PMingLiU"/>
          <w:sz w:val="12"/>
          <w:szCs w:val="12"/>
          <w:color w:val="231F20"/>
        </w:rPr>
        <w:t></w:t>
      </w:r>
      <w:r>
        <w:rPr>
          <w:rFonts w:ascii="Arial" w:cs="Arial" w:eastAsia="Arial" w:hAnsi="Arial"/>
          <w:sz w:val="12"/>
          <w:szCs w:val="12"/>
          <w:color w:val="231F20"/>
        </w:rPr>
        <w:t>êĥÃĥŚȊ</w:t>
      </w:r>
      <w:r>
        <w:rPr>
          <w:rFonts w:ascii="PMingLiU" w:cs="PMingLiU" w:eastAsia="PMingLiU" w:hAnsi="PMingLiU"/>
          <w:sz w:val="12"/>
          <w:szCs w:val="12"/>
          <w:color w:val="231F20"/>
        </w:rPr>
        <w:t/>
      </w:r>
      <w:r>
        <w:rPr>
          <w:rFonts w:ascii="Arial" w:cs="Arial" w:eastAsia="Arial" w:hAnsi="Arial"/>
          <w:sz w:val="12"/>
          <w:szCs w:val="12"/>
          <w:color w:val="231F20"/>
        </w:rPr>
        <w:t>ĉĞĞĉĥĀŒȊ =ŋĬŷŚąǡȊ</w:t>
      </w:r>
      <w:r>
        <w:rPr>
          <w:rFonts w:ascii="PMingLiU" w:cs="PMingLiU" w:eastAsia="PMingLiU" w:hAnsi="PMingLiU"/>
          <w:sz w:val="12"/>
          <w:szCs w:val="12"/>
          <w:color w:val="231F20"/>
        </w:rPr>
        <w:t/>
      </w:r>
      <w:r>
        <w:rPr>
          <w:rFonts w:ascii="Arial" w:cs="Arial" w:eastAsia="Arial" w:hAnsi="Arial"/>
          <w:sz w:val="12"/>
          <w:szCs w:val="12"/>
          <w:color w:val="231F20"/>
        </w:rPr>
        <w:t>ŒȊÃȊŋêŒŠĞŚǢȊŚąêȊ</w:t>
      </w:r>
      <w:r>
        <w:rPr>
          <w:rFonts w:ascii="PMingLiU" w:cs="PMingLiU" w:eastAsia="PMingLiU" w:hAnsi="PMingLiU"/>
          <w:sz w:val="12"/>
          <w:szCs w:val="12"/>
          <w:color w:val="231F20"/>
        </w:rPr>
        <w:t/>
      </w:r>
      <w:r>
        <w:rPr>
          <w:rFonts w:ascii="Arial" w:cs="Arial" w:eastAsia="Arial" w:hAnsi="Arial"/>
          <w:sz w:val="12"/>
          <w:szCs w:val="12"/>
          <w:color w:val="231F20"/>
        </w:rPr>
        <w:t>ĬĤňÃĥŽȊÞêĞĉêŶêŒȊŚąÃŚȊĉŚȊĉŒȊÃňňŋĬňŋĉÃŚêȊŚĬȊňŋĬŶĉåêȊĉĥŒĉĀąŚȊĉĥŚĬȊŚąêȊĉĤňÃßŚȊĬÿȊŒŚŋÃĉĀąŚǸĞĉĥêȊŋêŶêĥŠêȊĬĥȊßêŋŚÃĉĥȊĀŋĬŷŚąȊŋÃŚêŒȊĉĥȊ ŋêŶêĥŠêȊÃĥåȊŒêĞêßŚȊĬŚąêŋȊĤêÃŒŠŋêŒǡ</w:t>
      </w:r>
    </w:p>
    <w:p>
      <w:pPr>
        <w:spacing w:after="0" w:line="203" w:lineRule="exact"/>
        <w:rPr>
          <w:sz w:val="20"/>
          <w:szCs w:val="20"/>
          <w:color w:val="auto"/>
        </w:rPr>
      </w:pPr>
    </w:p>
    <w:p>
      <w:pPr>
        <w:spacing w:after="0" w:line="200" w:lineRule="exact"/>
        <w:rPr>
          <w:sz w:val="20"/>
          <w:szCs w:val="20"/>
          <w:color w:val="auto"/>
        </w:rPr>
      </w:pPr>
      <w:r>
        <w:rPr>
          <w:rFonts w:ascii="Arial" w:cs="Arial" w:eastAsia="Arial" w:hAnsi="Arial"/>
          <w:sz w:val="12"/>
          <w:szCs w:val="12"/>
          <w:b w:val="1"/>
          <w:bCs w:val="1"/>
          <w:color w:val="231F20"/>
        </w:rPr>
        <w:t>Tenant Billings</w:t>
      </w:r>
      <w:r>
        <w:rPr>
          <w:rFonts w:ascii="Arial" w:cs="Arial" w:eastAsia="Arial" w:hAnsi="Arial"/>
          <w:sz w:val="12"/>
          <w:szCs w:val="12"/>
          <w:color w:val="231F20"/>
        </w:rPr>
        <w:t>ȊĉŒȊåêƌĥêåȊÃŒȊŋêŶêĥŠêȊĀêĥêŋÃŚêåȊÿŋĬĤȊĥĬĥǸßÃĥßêĞĞÃÞĞêǢȊĞĬĥĀǸŚêŋĤȊŚêĥÃĥŚȊĞêÃŒêŒǡȊ</w:t>
      </w:r>
      <w:r>
        <w:rPr>
          <w:rFonts w:ascii="PMingLiU" w:cs="PMingLiU" w:eastAsia="PMingLiU" w:hAnsi="PMingLiU"/>
          <w:sz w:val="12"/>
          <w:szCs w:val="12"/>
          <w:color w:val="231F20"/>
        </w:rPr>
        <w:t></w:t>
      </w:r>
      <w:r>
        <w:rPr>
          <w:rFonts w:ascii="Arial" w:cs="Arial" w:eastAsia="Arial" w:hAnsi="Arial"/>
          <w:sz w:val="12"/>
          <w:szCs w:val="12"/>
          <w:color w:val="231F20"/>
        </w:rPr>
        <w:t>êŶêĥŠêȊÿŋĬĤȊ</w:t>
      </w:r>
      <w:r>
        <w:rPr>
          <w:rFonts w:ascii="PMingLiU" w:cs="PMingLiU" w:eastAsia="PMingLiU" w:hAnsi="PMingLiU"/>
          <w:sz w:val="12"/>
          <w:szCs w:val="12"/>
          <w:color w:val="231F20"/>
        </w:rPr>
        <w:t></w:t>
      </w:r>
      <w:r>
        <w:rPr>
          <w:rFonts w:ascii="Arial" w:cs="Arial" w:eastAsia="Arial" w:hAnsi="Arial"/>
          <w:sz w:val="12"/>
          <w:szCs w:val="12"/>
          <w:color w:val="231F20"/>
        </w:rPr>
        <w:t>êĥÃĥŚȊ</w:t>
      </w:r>
      <w:r>
        <w:rPr>
          <w:rFonts w:ascii="PMingLiU" w:cs="PMingLiU" w:eastAsia="PMingLiU" w:hAnsi="PMingLiU"/>
          <w:sz w:val="12"/>
          <w:szCs w:val="12"/>
          <w:color w:val="231F20"/>
        </w:rPr>
        <w:t/>
      </w:r>
      <w:r>
        <w:rPr>
          <w:rFonts w:ascii="Arial" w:cs="Arial" w:eastAsia="Arial" w:hAnsi="Arial"/>
          <w:sz w:val="12"/>
          <w:szCs w:val="12"/>
          <w:color w:val="231F20"/>
        </w:rPr>
        <w:t>ĉĞĞĉĥĀŒȊŋêƍêßŚŒȊŒêŶêŋÃĞȊ</w:t>
      </w:r>
      <w:r>
        <w:rPr>
          <w:rFonts w:ascii="Arial" w:cs="Arial" w:eastAsia="Arial" w:hAnsi="Arial"/>
          <w:sz w:val="12"/>
          <w:szCs w:val="12"/>
          <w:b w:val="1"/>
          <w:bCs w:val="1"/>
          <w:color w:val="231F20"/>
        </w:rPr>
        <w:t xml:space="preserve"> </w:t>
      </w:r>
      <w:r>
        <w:rPr>
          <w:rFonts w:ascii="Arial" w:cs="Arial" w:eastAsia="Arial" w:hAnsi="Arial"/>
          <w:sz w:val="12"/>
          <w:szCs w:val="12"/>
          <w:color w:val="231F20"/>
        </w:rPr>
        <w:t>ěêŽȊÃŒňêßŚŒȊĬÿȊŚąêȊ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ĬĤňÃĥŽȃŒȊŋêÃĞȊêŒŚÃŚêȊÞŠŒĉĥêŒŒǣȊǲĉǳȊȀßĬĞĬßÃŚĉĬĥŒǮÃĤêĥåĤêĥŚŒȁȊŋêƍêßŚŒȊĥêŷȊŚêĥÃĥŚȊĞêÃŒêŒȊÿĬŋȊŒňÃßêȊĬĥȊêżĉŒŚĉĥĀȊŒĉŚêŒȊÃĥåȊ ÃĤêĥåĤêĥŚŒȊŚĬȊêżĉŒŚĉĥĀȊĞêÃŒêŒȊŚĬȊÃååȊÃååĉŚĉĬĥÃĞȊŚêĥÃĥŚȊêŊŠĉňĤêĥŚǤȊǲĉĉǳȊȀêŒßÃĞÃŚĉĬĥŒȁȊŋêƍêßŚŒȊßĬĥŚŋÃßŚŠÃĞȊĉĥßŋêÃŒêŒȊĉĥȊÞĉĞĞĉĥĀȊŋÃŚêŒǢȊŷąĉßąȊÃŋêȊ ŚŽňĉßÃĞĞŽȊŚĉêåȊŚĬȊƌżêåȊňêŋßêĥŚÃĀêŒȊĬŋȊÃȊŶÃŋĉÃÞĞêȊňêŋßêĥŚÃĀêȊÞÃŒêåȊĬĥȊÃȊßĬĥŒŠĤêŋȊňŋĉßêȊĉĥåêżǤȊǲĉĉĉǳȊȀßÃĥßêĞĞÃŚĉĬĥŒȁȊŋêƍêßŚŒȊŚąêȊĉĤňÃßŚȊĬÿȊŚêĥÃĥŚȊĞêÃŒêȊ ŚêŋĤĉĥÃŚĉĬĥŒȊĬŋȊĥĬĥǸŋêĥêŷÃĞŒȊĬŋǢȊĉĥȊĞĉĤĉŚêåȊßĉŋßŠĤŒŚÃĥßêŒǢȊŷąêĥȊŚąêȊĞêÃŒêȊŋÃŚêŒȊĬĥȊêżĉŒŚĉĥĀȊĞêÃŒêŒȊÃŋêȊŋêåŠßêåǤȊÃĥåȊǲĉŶǳȊȀĥêŷȊŒĉŚêŒȁȊŋêƍêßŚŒȊŚąêȊ ĉĤňÃßŚȊĬÿȊĥêŷȊňŋĬňêŋŚŽȊßĬĥŒŚŋŠßŚĉĬĥȊÃĥåȊÃßŊŠĉŒĉŚĉĬĥŒǡȊ</w:t>
      </w:r>
    </w:p>
    <w:p>
      <w:pPr>
        <w:spacing w:after="0" w:line="202" w:lineRule="exact"/>
        <w:rPr>
          <w:sz w:val="20"/>
          <w:szCs w:val="20"/>
          <w:color w:val="auto"/>
        </w:rPr>
      </w:pPr>
    </w:p>
    <w:p>
      <w:pPr>
        <w:spacing w:after="0" w:line="170" w:lineRule="exact"/>
        <w:rPr>
          <w:sz w:val="20"/>
          <w:szCs w:val="20"/>
          <w:color w:val="auto"/>
        </w:rPr>
      </w:pPr>
      <w:r>
        <w:rPr>
          <w:rFonts w:ascii="Arial" w:cs="Arial" w:eastAsia="Arial" w:hAnsi="Arial"/>
          <w:sz w:val="14"/>
          <w:szCs w:val="14"/>
          <w:b w:val="1"/>
          <w:bCs w:val="1"/>
          <w:color w:val="231F20"/>
        </w:rPr>
        <w:t>Tenant Billings Growth</w:t>
      </w:r>
      <w:r>
        <w:rPr>
          <w:rFonts w:ascii="Arial" w:cs="Arial" w:eastAsia="Arial" w:hAnsi="Arial"/>
          <w:sz w:val="14"/>
          <w:szCs w:val="14"/>
          <w:color w:val="231F20"/>
        </w:rPr>
        <w:t>ȊĉŒȊåêƌĥêåȊÃŒȊŚąêȊĉĥßŋêÃŒêȊĬŋȊåêßŋêÃŒêȊŋêŒŠĞŚĉĥĀȊÿŋĬĤȊÃȊßĬĤňÃŋĉŒĬĥȊĬÿȊ</w:t>
      </w:r>
      <w:r>
        <w:rPr>
          <w:rFonts w:ascii="PMingLiU" w:cs="PMingLiU" w:eastAsia="PMingLiU" w:hAnsi="PMingLiU"/>
          <w:sz w:val="14"/>
          <w:szCs w:val="14"/>
          <w:color w:val="231F20"/>
        </w:rPr>
        <w:t></w:t>
      </w:r>
      <w:r>
        <w:rPr>
          <w:rFonts w:ascii="Arial" w:cs="Arial" w:eastAsia="Arial" w:hAnsi="Arial"/>
          <w:sz w:val="14"/>
          <w:szCs w:val="14"/>
          <w:color w:val="231F20"/>
        </w:rPr>
        <w:t>êĥÃĥŚȊ</w:t>
      </w:r>
      <w:r>
        <w:rPr>
          <w:rFonts w:ascii="PMingLiU" w:cs="PMingLiU" w:eastAsia="PMingLiU" w:hAnsi="PMingLiU"/>
          <w:sz w:val="14"/>
          <w:szCs w:val="14"/>
          <w:color w:val="231F20"/>
        </w:rPr>
        <w:t/>
      </w:r>
      <w:r>
        <w:rPr>
          <w:rFonts w:ascii="Arial" w:cs="Arial" w:eastAsia="Arial" w:hAnsi="Arial"/>
          <w:sz w:val="14"/>
          <w:szCs w:val="14"/>
          <w:color w:val="231F20"/>
        </w:rPr>
        <w:t>ĉĞĞĉĥĀŒȊÿĬŋȊÃȊßŠŋŋêĥŚȊňêŋĉĬåȊŷĉŚąȊ</w:t>
      </w:r>
      <w:r>
        <w:rPr>
          <w:rFonts w:ascii="PMingLiU" w:cs="PMingLiU" w:eastAsia="PMingLiU" w:hAnsi="PMingLiU"/>
          <w:sz w:val="14"/>
          <w:szCs w:val="14"/>
          <w:color w:val="231F20"/>
        </w:rPr>
        <w:t></w:t>
      </w:r>
      <w:r>
        <w:rPr>
          <w:rFonts w:ascii="Arial" w:cs="Arial" w:eastAsia="Arial" w:hAnsi="Arial"/>
          <w:sz w:val="14"/>
          <w:szCs w:val="14"/>
          <w:color w:val="231F20"/>
        </w:rPr>
        <w:t>êĥÃĥŚȊ</w:t>
      </w:r>
    </w:p>
    <w:p>
      <w:pPr>
        <w:spacing w:after="0" w:line="30" w:lineRule="exact"/>
        <w:rPr>
          <w:sz w:val="20"/>
          <w:szCs w:val="20"/>
          <w:color w:val="auto"/>
        </w:rPr>
      </w:pPr>
    </w:p>
    <w:p>
      <w:pPr>
        <w:ind w:right="100"/>
        <w:spacing w:after="0" w:line="200" w:lineRule="exact"/>
        <w:rPr>
          <w:sz w:val="20"/>
          <w:szCs w:val="20"/>
          <w:color w:val="auto"/>
        </w:rPr>
      </w:pPr>
      <w:r>
        <w:rPr>
          <w:rFonts w:ascii="PMingLiU" w:cs="PMingLiU" w:eastAsia="PMingLiU" w:hAnsi="PMingLiU"/>
          <w:sz w:val="13"/>
          <w:szCs w:val="13"/>
          <w:color w:val="231F20"/>
        </w:rPr>
        <w:t/>
      </w:r>
      <w:r>
        <w:rPr>
          <w:rFonts w:ascii="Arial" w:cs="Arial" w:eastAsia="Arial" w:hAnsi="Arial"/>
          <w:sz w:val="13"/>
          <w:szCs w:val="13"/>
          <w:color w:val="231F20"/>
        </w:rPr>
        <w:t>ĉĞĞĉĥĀŒȊÿĬŋȊŚąêȊßĬŋŋêŒňĬĥåĉĥĀȊňŋĉĬŋǸŽêÃŋȊňêŋĉĬåǢȊĉĥȊêÃßąȊßÃŒêȊÃåĘŠŒŚêåȊÿĬŋȊÿĬŋêĉĀĥȊßŠŋŋêĥßŽȊêżßąÃĥĀêȊŋÃŚêȊƍŠßŚŠÃŚĉĬĥŒǡȊ</w:t>
      </w:r>
      <w:r>
        <w:rPr>
          <w:rFonts w:ascii="PMingLiU" w:cs="PMingLiU" w:eastAsia="PMingLiU" w:hAnsi="PMingLiU"/>
          <w:sz w:val="13"/>
          <w:szCs w:val="13"/>
          <w:color w:val="231F20"/>
        </w:rPr>
        <w:t></w:t>
      </w:r>
      <w:r>
        <w:rPr>
          <w:rFonts w:ascii="Arial" w:cs="Arial" w:eastAsia="Arial" w:hAnsi="Arial"/>
          <w:sz w:val="13"/>
          <w:szCs w:val="13"/>
          <w:color w:val="231F20"/>
        </w:rPr>
        <w:t>ąêȊ</w:t>
      </w:r>
      <w:r>
        <w:rPr>
          <w:rFonts w:ascii="PMingLiU" w:cs="PMingLiU" w:eastAsia="PMingLiU" w:hAnsi="PMingLiU"/>
          <w:sz w:val="13"/>
          <w:szCs w:val="13"/>
          <w:color w:val="231F20"/>
        </w:rPr>
        <w:t/>
      </w:r>
      <w:r>
        <w:rPr>
          <w:rFonts w:ascii="Arial" w:cs="Arial" w:eastAsia="Arial" w:hAnsi="Arial"/>
          <w:sz w:val="13"/>
          <w:szCs w:val="13"/>
          <w:color w:val="231F20"/>
        </w:rPr>
        <w:t>ĬĤňÃĥŽȊÞêĞĉêŶêŒȊŚąĉŒȊ ĤêÃŒŠŋêȊňŋĬŶĉåêŒȊŶÃĞŠÃÞĞêȊĉĥŒĉĀąŚȊĉĥŚĬȊŚąêȊĀŋĬŷŚąȊĉĥȊŋêßŠŋŋĉĥĀȊ</w:t>
      </w:r>
      <w:r>
        <w:rPr>
          <w:rFonts w:ascii="PMingLiU" w:cs="PMingLiU" w:eastAsia="PMingLiU" w:hAnsi="PMingLiU"/>
          <w:sz w:val="13"/>
          <w:szCs w:val="13"/>
          <w:color w:val="231F20"/>
        </w:rPr>
        <w:t></w:t>
      </w:r>
      <w:r>
        <w:rPr>
          <w:rFonts w:ascii="Arial" w:cs="Arial" w:eastAsia="Arial" w:hAnsi="Arial"/>
          <w:sz w:val="13"/>
          <w:szCs w:val="13"/>
          <w:color w:val="231F20"/>
        </w:rPr>
        <w:t>êĥÃĥŚȊ</w:t>
      </w:r>
      <w:r>
        <w:rPr>
          <w:rFonts w:ascii="PMingLiU" w:cs="PMingLiU" w:eastAsia="PMingLiU" w:hAnsi="PMingLiU"/>
          <w:sz w:val="13"/>
          <w:szCs w:val="13"/>
          <w:color w:val="231F20"/>
        </w:rPr>
        <w:t/>
      </w:r>
      <w:r>
        <w:rPr>
          <w:rFonts w:ascii="Arial" w:cs="Arial" w:eastAsia="Arial" w:hAnsi="Arial"/>
          <w:sz w:val="13"/>
          <w:szCs w:val="13"/>
          <w:color w:val="231F20"/>
        </w:rPr>
        <w:t>ĉĞĞĉĥĀŒȊÃĥåȊŠĥåêŋĞŽĉĥĀȊåêĤÃĥåȊÿĬŋȊĉŚŒȊŋêÃĞȊêŒŚÃŚêȊňĬŋŚÿĬĞĉĬǡ</w:t>
      </w:r>
    </w:p>
    <w:p>
      <w:pPr>
        <w:spacing w:after="0" w:line="199" w:lineRule="exact"/>
        <w:rPr>
          <w:sz w:val="20"/>
          <w:szCs w:val="20"/>
          <w:color w:val="auto"/>
        </w:rPr>
      </w:pPr>
    </w:p>
    <w:p>
      <w:pPr>
        <w:ind w:right="120"/>
        <w:spacing w:after="0" w:line="201" w:lineRule="exact"/>
        <w:rPr>
          <w:sz w:val="20"/>
          <w:szCs w:val="20"/>
          <w:color w:val="auto"/>
        </w:rPr>
      </w:pPr>
      <w:r>
        <w:rPr>
          <w:rFonts w:ascii="Arial" w:cs="Arial" w:eastAsia="Arial" w:hAnsi="Arial"/>
          <w:sz w:val="13"/>
          <w:szCs w:val="13"/>
          <w:b w:val="1"/>
          <w:bCs w:val="1"/>
          <w:color w:val="231F20"/>
        </w:rPr>
        <w:t>Organic Tenant Billings</w:t>
      </w:r>
      <w:r>
        <w:rPr>
          <w:rFonts w:ascii="Arial" w:cs="Arial" w:eastAsia="Arial" w:hAnsi="Arial"/>
          <w:sz w:val="13"/>
          <w:szCs w:val="13"/>
          <w:color w:val="231F20"/>
        </w:rPr>
        <w:t>ȊĉŒȊåêƌĥêåȊÃŒȊ</w:t>
      </w:r>
      <w:r>
        <w:rPr>
          <w:rFonts w:ascii="PMingLiU" w:cs="PMingLiU" w:eastAsia="PMingLiU" w:hAnsi="PMingLiU"/>
          <w:sz w:val="13"/>
          <w:szCs w:val="13"/>
          <w:color w:val="231F20"/>
        </w:rPr>
        <w:t></w:t>
      </w:r>
      <w:r>
        <w:rPr>
          <w:rFonts w:ascii="Arial" w:cs="Arial" w:eastAsia="Arial" w:hAnsi="Arial"/>
          <w:sz w:val="13"/>
          <w:szCs w:val="13"/>
          <w:color w:val="231F20"/>
        </w:rPr>
        <w:t>êĥÃĥŚȊ</w:t>
      </w:r>
      <w:r>
        <w:rPr>
          <w:rFonts w:ascii="PMingLiU" w:cs="PMingLiU" w:eastAsia="PMingLiU" w:hAnsi="PMingLiU"/>
          <w:sz w:val="13"/>
          <w:szCs w:val="13"/>
          <w:color w:val="231F20"/>
        </w:rPr>
        <w:t/>
      </w:r>
      <w:r>
        <w:rPr>
          <w:rFonts w:ascii="Arial" w:cs="Arial" w:eastAsia="Arial" w:hAnsi="Arial"/>
          <w:sz w:val="13"/>
          <w:szCs w:val="13"/>
          <w:color w:val="231F20"/>
        </w:rPr>
        <w:t>ĉĞĞĉĥĀŒȊĬĥȊŒĉŚêŒȊŚąÃŚȊŚąêȊ</w:t>
      </w:r>
      <w:r>
        <w:rPr>
          <w:rFonts w:ascii="PMingLiU" w:cs="PMingLiU" w:eastAsia="PMingLiU" w:hAnsi="PMingLiU"/>
          <w:sz w:val="13"/>
          <w:szCs w:val="13"/>
          <w:color w:val="231F20"/>
        </w:rPr>
        <w:t/>
      </w:r>
      <w:r>
        <w:rPr>
          <w:rFonts w:ascii="Arial" w:cs="Arial" w:eastAsia="Arial" w:hAnsi="Arial"/>
          <w:sz w:val="13"/>
          <w:szCs w:val="13"/>
          <w:color w:val="231F20"/>
        </w:rPr>
        <w:t>ĬĤňÃĥŽȊąÃŒȊĬŷĥêåȊŒĉĥßêȊŚąêȊÞêĀĉĥĥĉĥĀȊĬÿȊŚąêȊňŋĉĬŋǸŽêÃŋȊňêŋĉĬåǢȊÃŒȊŷêĞĞȊÃŒȊ</w:t>
      </w:r>
      <w:r>
        <w:rPr>
          <w:rFonts w:ascii="Arial" w:cs="Arial" w:eastAsia="Arial" w:hAnsi="Arial"/>
          <w:sz w:val="13"/>
          <w:szCs w:val="13"/>
          <w:b w:val="1"/>
          <w:bCs w:val="1"/>
          <w:color w:val="231F20"/>
        </w:rPr>
        <w:t xml:space="preserve"> </w:t>
      </w:r>
      <w:r>
        <w:rPr>
          <w:rFonts w:ascii="PMingLiU" w:cs="PMingLiU" w:eastAsia="PMingLiU" w:hAnsi="PMingLiU"/>
          <w:sz w:val="13"/>
          <w:szCs w:val="13"/>
          <w:color w:val="231F20"/>
        </w:rPr>
        <w:t></w:t>
      </w:r>
      <w:r>
        <w:rPr>
          <w:rFonts w:ascii="Arial" w:cs="Arial" w:eastAsia="Arial" w:hAnsi="Arial"/>
          <w:sz w:val="13"/>
          <w:szCs w:val="13"/>
          <w:color w:val="231F20"/>
        </w:rPr>
        <w:t>êĥÃĥŚȊ</w:t>
      </w:r>
      <w:r>
        <w:rPr>
          <w:rFonts w:ascii="PMingLiU" w:cs="PMingLiU" w:eastAsia="PMingLiU" w:hAnsi="PMingLiU"/>
          <w:sz w:val="13"/>
          <w:szCs w:val="13"/>
          <w:color w:val="231F20"/>
        </w:rPr>
        <w:t/>
      </w:r>
      <w:r>
        <w:rPr>
          <w:rFonts w:ascii="Arial" w:cs="Arial" w:eastAsia="Arial" w:hAnsi="Arial"/>
          <w:sz w:val="13"/>
          <w:szCs w:val="13"/>
          <w:color w:val="231F20"/>
        </w:rPr>
        <w:t>ĉĞĞĉĥĀŒȊÃßŚĉŶĉŚŽȊĬĥȊĥêŷȊŒĉŚêŒȊŚąÃŚȊĬßßŠŋŋêåȊÃÿŚêŋȊŚąêȊåÃŚêȊĬÿȊŚąêĉŋȊÃååĉŚĉĬĥȊŚĬȊŚąêȊ</w:t>
      </w:r>
      <w:r>
        <w:rPr>
          <w:rFonts w:ascii="PMingLiU" w:cs="PMingLiU" w:eastAsia="PMingLiU" w:hAnsi="PMingLiU"/>
          <w:sz w:val="13"/>
          <w:szCs w:val="13"/>
          <w:color w:val="231F20"/>
        </w:rPr>
        <w:t/>
      </w:r>
      <w:r>
        <w:rPr>
          <w:rFonts w:ascii="Arial" w:cs="Arial" w:eastAsia="Arial" w:hAnsi="Arial"/>
          <w:sz w:val="13"/>
          <w:szCs w:val="13"/>
          <w:color w:val="231F20"/>
        </w:rPr>
        <w:t>ĬĤňÃĥŽȃŒȊňĬŋŚÿĬĞĉĬǡ</w:t>
      </w:r>
    </w:p>
    <w:p>
      <w:pPr>
        <w:spacing w:after="0" w:line="198" w:lineRule="exact"/>
        <w:rPr>
          <w:sz w:val="20"/>
          <w:szCs w:val="20"/>
          <w:color w:val="auto"/>
        </w:rPr>
      </w:pPr>
    </w:p>
    <w:p>
      <w:pPr>
        <w:ind w:right="140"/>
        <w:spacing w:after="0" w:line="201" w:lineRule="exact"/>
        <w:rPr>
          <w:sz w:val="20"/>
          <w:szCs w:val="20"/>
          <w:color w:val="auto"/>
        </w:rPr>
      </w:pPr>
      <w:r>
        <w:rPr>
          <w:rFonts w:ascii="Arial" w:cs="Arial" w:eastAsia="Arial" w:hAnsi="Arial"/>
          <w:sz w:val="12"/>
          <w:szCs w:val="12"/>
          <w:b w:val="1"/>
          <w:bCs w:val="1"/>
          <w:color w:val="231F20"/>
        </w:rPr>
        <w:t>Organic Tenant Billings Growth</w:t>
      </w:r>
      <w:r>
        <w:rPr>
          <w:rFonts w:ascii="Arial" w:cs="Arial" w:eastAsia="Arial" w:hAnsi="Arial"/>
          <w:sz w:val="12"/>
          <w:szCs w:val="12"/>
          <w:color w:val="231F20"/>
        </w:rPr>
        <w:t>ȊĉŒȊåêƌĥêåȊÃŒȊŚąêȊňĬŋŚĉĬĥȊĬÿȊ</w:t>
      </w:r>
      <w:r>
        <w:rPr>
          <w:rFonts w:ascii="PMingLiU" w:cs="PMingLiU" w:eastAsia="PMingLiU" w:hAnsi="PMingLiU"/>
          <w:sz w:val="12"/>
          <w:szCs w:val="12"/>
          <w:color w:val="231F20"/>
        </w:rPr>
        <w:t></w:t>
      </w:r>
      <w:r>
        <w:rPr>
          <w:rFonts w:ascii="Arial" w:cs="Arial" w:eastAsia="Arial" w:hAnsi="Arial"/>
          <w:sz w:val="12"/>
          <w:szCs w:val="12"/>
          <w:color w:val="231F20"/>
        </w:rPr>
        <w:t>êĥÃĥŚȊ</w:t>
      </w:r>
      <w:r>
        <w:rPr>
          <w:rFonts w:ascii="PMingLiU" w:cs="PMingLiU" w:eastAsia="PMingLiU" w:hAnsi="PMingLiU"/>
          <w:sz w:val="12"/>
          <w:szCs w:val="12"/>
          <w:color w:val="231F20"/>
        </w:rPr>
        <w:t/>
      </w:r>
      <w:r>
        <w:rPr>
          <w:rFonts w:ascii="Arial" w:cs="Arial" w:eastAsia="Arial" w:hAnsi="Arial"/>
          <w:sz w:val="12"/>
          <w:szCs w:val="12"/>
          <w:color w:val="231F20"/>
        </w:rPr>
        <w:t>ĉĞĞĉĥĀŒȊ=ŋĬŷŚąȊÃŚŚŋĉÞŠŚÃÞĞêȊŚĬȊfŋĀÃĥĉßȊ</w:t>
      </w:r>
      <w:r>
        <w:rPr>
          <w:rFonts w:ascii="PMingLiU" w:cs="PMingLiU" w:eastAsia="PMingLiU" w:hAnsi="PMingLiU"/>
          <w:sz w:val="12"/>
          <w:szCs w:val="12"/>
          <w:color w:val="231F20"/>
        </w:rPr>
        <w:t></w:t>
      </w:r>
      <w:r>
        <w:rPr>
          <w:rFonts w:ascii="Arial" w:cs="Arial" w:eastAsia="Arial" w:hAnsi="Arial"/>
          <w:sz w:val="12"/>
          <w:szCs w:val="12"/>
          <w:color w:val="231F20"/>
        </w:rPr>
        <w:t>êĥÃĥŚȊ</w:t>
      </w:r>
      <w:r>
        <w:rPr>
          <w:rFonts w:ascii="PMingLiU" w:cs="PMingLiU" w:eastAsia="PMingLiU" w:hAnsi="PMingLiU"/>
          <w:sz w:val="12"/>
          <w:szCs w:val="12"/>
          <w:color w:val="231F20"/>
        </w:rPr>
        <w:t/>
      </w:r>
      <w:r>
        <w:rPr>
          <w:rFonts w:ascii="Arial" w:cs="Arial" w:eastAsia="Arial" w:hAnsi="Arial"/>
          <w:sz w:val="12"/>
          <w:szCs w:val="12"/>
          <w:color w:val="231F20"/>
        </w:rPr>
        <w:t>ĉĞĞĉĥĀŒǡȊ</w:t>
      </w:r>
      <w:r>
        <w:rPr>
          <w:rFonts w:ascii="PMingLiU" w:cs="PMingLiU" w:eastAsia="PMingLiU" w:hAnsi="PMingLiU"/>
          <w:sz w:val="12"/>
          <w:szCs w:val="12"/>
          <w:color w:val="231F20"/>
        </w:rPr>
        <w:t></w:t>
      </w:r>
      <w:r>
        <w:rPr>
          <w:rFonts w:ascii="Arial" w:cs="Arial" w:eastAsia="Arial" w:hAnsi="Arial"/>
          <w:sz w:val="12"/>
          <w:szCs w:val="12"/>
          <w:color w:val="231F20"/>
        </w:rPr>
        <w:t>ąêȊ</w:t>
      </w:r>
      <w:r>
        <w:rPr>
          <w:rFonts w:ascii="PMingLiU" w:cs="PMingLiU" w:eastAsia="PMingLiU" w:hAnsi="PMingLiU"/>
          <w:sz w:val="12"/>
          <w:szCs w:val="12"/>
          <w:color w:val="231F20"/>
        </w:rPr>
        <w:t/>
      </w:r>
      <w:r>
        <w:rPr>
          <w:rFonts w:ascii="Arial" w:cs="Arial" w:eastAsia="Arial" w:hAnsi="Arial"/>
          <w:sz w:val="12"/>
          <w:szCs w:val="12"/>
          <w:color w:val="231F20"/>
        </w:rPr>
        <w:t>ĬĤňÃĥŽȊÞêĞĉêŶêŒȊ</w:t>
      </w:r>
      <w:r>
        <w:rPr>
          <w:rFonts w:ascii="Arial" w:cs="Arial" w:eastAsia="Arial" w:hAnsi="Arial"/>
          <w:sz w:val="12"/>
          <w:szCs w:val="12"/>
          <w:b w:val="1"/>
          <w:bCs w:val="1"/>
          <w:color w:val="231F20"/>
        </w:rPr>
        <w:t xml:space="preserve"> </w:t>
      </w:r>
      <w:r>
        <w:rPr>
          <w:rFonts w:ascii="Arial" w:cs="Arial" w:eastAsia="Arial" w:hAnsi="Arial"/>
          <w:sz w:val="12"/>
          <w:szCs w:val="12"/>
          <w:color w:val="231F20"/>
        </w:rPr>
        <w:t>ĬŋĀÃĥĉßȊĀŋĬŷŚąȊĉŒȊÃȊŠŒêÿŠĞȊĤêÃŒŠŋêȊĬÿȊĉŚŒȊÃÞĉĞĉŚŽȊŚĬȊÃååȊŚêĥÃĥßŽȊÃĥåȊĉĥßŋêĤêĥŚÃĞȊŋêŶêĥŠêȊŚĬȊĉŚŒȊÃŒŒêŚŒȊÿĬŋȊŚąêȊŋêňĬŋŚêåȊňêŋĉĬåǢȊŷąĉßąȊêĥÃÞĞêŒȊ ĉĥŶêŒŚĬŋŒȊÃĥåȊÃĥÃĞŽŒŚŒȊŚĬȊĀÃĉĥȊÃååĉŚĉĬĥÃĞȊĉĥŒĉĀąŚȊĉĥŚĬȊŚąêȊŋêĞÃŚĉŶêȊÃŚŚŋÃßŚĉŶêĥêŒŒǢȊÃĥåȊŚąêŋêÿĬŋêȊŚąêȊŶÃĞŠêǢȊĬÿȊŚąêȊ</w:t>
      </w:r>
      <w:r>
        <w:rPr>
          <w:rFonts w:ascii="PMingLiU" w:cs="PMingLiU" w:eastAsia="PMingLiU" w:hAnsi="PMingLiU"/>
          <w:sz w:val="12"/>
          <w:szCs w:val="12"/>
          <w:color w:val="231F20"/>
        </w:rPr>
        <w:t/>
      </w:r>
      <w:r>
        <w:rPr>
          <w:rFonts w:ascii="Arial" w:cs="Arial" w:eastAsia="Arial" w:hAnsi="Arial"/>
          <w:sz w:val="12"/>
          <w:szCs w:val="12"/>
          <w:color w:val="231F20"/>
        </w:rPr>
        <w:t>ĬĤňÃĥŽȃŒȊňŋĬňêŋŚŽȊÃŒŒêŚŒǡ</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458470</wp:posOffset>
                </wp:positionV>
                <wp:extent cx="6629400" cy="28829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288290"/>
                        </a:xfrm>
                        <a:prstGeom prst="rect">
                          <a:avLst/>
                        </a:prstGeom>
                        <a:solidFill>
                          <a:srgbClr val="E6E7E8"/>
                        </a:solidFill>
                      </wps:spPr>
                      <wps:bodyPr/>
                    </wps:wsp>
                  </a:graphicData>
                </a:graphic>
              </wp:anchor>
            </w:drawing>
          </mc:Choice>
          <mc:Fallback>
            <w:pict>
              <v:rect id="Shape 407" o:spid="_x0000_s1432" style="position:absolute;margin-left:0pt;margin-top:36.1pt;width:522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231F20"/>
        </w:rPr>
        <w:t>RECONCILIATION OF ADJUSTED EBITDA TO NET INCOME</w:t>
      </w:r>
      <w:r>
        <w:rPr>
          <w:rFonts w:ascii="Arial" w:cs="Arial" w:eastAsia="Arial" w:hAnsi="Arial"/>
          <w:sz w:val="10"/>
          <w:szCs w:val="10"/>
          <w:b w:val="1"/>
          <w:bCs w:val="1"/>
          <w:color w:val="231F20"/>
        </w:rPr>
        <w:t>1</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 in millions. Totals may not add due to rounding.)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80" w:type="dxa"/>
            <w:vAlign w:val="bottom"/>
          </w:tcPr>
          <w:p>
            <w:pPr>
              <w:spacing w:after="0"/>
              <w:rPr>
                <w:sz w:val="16"/>
                <w:szCs w:val="16"/>
                <w:color w:val="auto"/>
              </w:rPr>
            </w:pPr>
          </w:p>
        </w:tc>
        <w:tc>
          <w:tcPr>
            <w:tcW w:w="1520" w:type="dxa"/>
            <w:vAlign w:val="bottom"/>
          </w:tcPr>
          <w:p>
            <w:pPr>
              <w:jc w:val="right"/>
              <w:ind w:right="285"/>
              <w:spacing w:after="0"/>
              <w:rPr>
                <w:sz w:val="20"/>
                <w:szCs w:val="20"/>
                <w:color w:val="auto"/>
              </w:rPr>
            </w:pPr>
            <w:r>
              <w:rPr>
                <w:rFonts w:ascii="Arial" w:cs="Arial" w:eastAsia="Arial" w:hAnsi="Arial"/>
                <w:sz w:val="15"/>
                <w:szCs w:val="15"/>
                <w:b w:val="1"/>
                <w:bCs w:val="1"/>
                <w:color w:val="231F20"/>
              </w:rPr>
              <w:t>2021</w:t>
            </w:r>
          </w:p>
        </w:tc>
        <w:tc>
          <w:tcPr>
            <w:tcW w:w="1140" w:type="dxa"/>
            <w:vAlign w:val="bottom"/>
          </w:tcPr>
          <w:p>
            <w:pPr>
              <w:jc w:val="right"/>
              <w:ind w:right="225"/>
              <w:spacing w:after="0"/>
              <w:rPr>
                <w:sz w:val="20"/>
                <w:szCs w:val="20"/>
                <w:color w:val="auto"/>
              </w:rPr>
            </w:pPr>
            <w:r>
              <w:rPr>
                <w:rFonts w:ascii="Arial" w:cs="Arial" w:eastAsia="Arial" w:hAnsi="Arial"/>
                <w:sz w:val="15"/>
                <w:szCs w:val="15"/>
                <w:b w:val="1"/>
                <w:bCs w:val="1"/>
                <w:color w:val="231F20"/>
              </w:rPr>
              <w:t>2022</w:t>
            </w:r>
          </w:p>
        </w:tc>
        <w:tc>
          <w:tcPr>
            <w:tcW w:w="1220" w:type="dxa"/>
            <w:vAlign w:val="bottom"/>
          </w:tcPr>
          <w:p>
            <w:pPr>
              <w:jc w:val="right"/>
              <w:ind w:right="225"/>
              <w:spacing w:after="0"/>
              <w:rPr>
                <w:sz w:val="20"/>
                <w:szCs w:val="20"/>
                <w:color w:val="auto"/>
              </w:rPr>
            </w:pPr>
            <w:r>
              <w:rPr>
                <w:rFonts w:ascii="Arial" w:cs="Arial" w:eastAsia="Arial" w:hAnsi="Arial"/>
                <w:sz w:val="15"/>
                <w:szCs w:val="15"/>
                <w:b w:val="1"/>
                <w:bCs w:val="1"/>
                <w:color w:val="231F20"/>
              </w:rPr>
              <w:t>2023</w:t>
            </w:r>
          </w:p>
        </w:tc>
        <w:tc>
          <w:tcPr>
            <w:tcW w:w="1240" w:type="dxa"/>
            <w:vAlign w:val="bottom"/>
          </w:tcPr>
          <w:p>
            <w:pPr>
              <w:jc w:val="right"/>
              <w:ind w:right="265"/>
              <w:spacing w:after="0"/>
              <w:rPr>
                <w:sz w:val="20"/>
                <w:szCs w:val="20"/>
                <w:color w:val="auto"/>
              </w:rPr>
            </w:pPr>
            <w:r>
              <w:rPr>
                <w:rFonts w:ascii="Arial" w:cs="Arial" w:eastAsia="Arial" w:hAnsi="Arial"/>
                <w:sz w:val="15"/>
                <w:szCs w:val="15"/>
                <w:b w:val="1"/>
                <w:bCs w:val="1"/>
                <w:color w:val="231F20"/>
              </w:rPr>
              <w:t>2024</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231F20"/>
              </w:rPr>
              <w:t>2025</w:t>
            </w:r>
          </w:p>
        </w:tc>
      </w:tr>
      <w:tr>
        <w:trPr>
          <w:trHeight w:val="48"/>
        </w:trPr>
        <w:tc>
          <w:tcPr>
            <w:tcW w:w="4380" w:type="dxa"/>
            <w:vAlign w:val="bottom"/>
            <w:tcBorders>
              <w:bottom w:val="single" w:sz="8" w:color="5D5E60"/>
            </w:tcBorders>
          </w:tcPr>
          <w:p>
            <w:pPr>
              <w:spacing w:after="0"/>
              <w:rPr>
                <w:sz w:val="4"/>
                <w:szCs w:val="4"/>
                <w:color w:val="auto"/>
              </w:rPr>
            </w:pPr>
          </w:p>
        </w:tc>
        <w:tc>
          <w:tcPr>
            <w:tcW w:w="1520" w:type="dxa"/>
            <w:vAlign w:val="bottom"/>
            <w:tcBorders>
              <w:bottom w:val="single" w:sz="8" w:color="5D5E60"/>
            </w:tcBorders>
          </w:tcPr>
          <w:p>
            <w:pPr>
              <w:spacing w:after="0"/>
              <w:rPr>
                <w:sz w:val="4"/>
                <w:szCs w:val="4"/>
                <w:color w:val="auto"/>
              </w:rPr>
            </w:pPr>
          </w:p>
        </w:tc>
        <w:tc>
          <w:tcPr>
            <w:tcW w:w="1140" w:type="dxa"/>
            <w:vAlign w:val="bottom"/>
            <w:tcBorders>
              <w:bottom w:val="single" w:sz="8" w:color="5D5E60"/>
            </w:tcBorders>
          </w:tcPr>
          <w:p>
            <w:pPr>
              <w:spacing w:after="0"/>
              <w:rPr>
                <w:sz w:val="4"/>
                <w:szCs w:val="4"/>
                <w:color w:val="auto"/>
              </w:rPr>
            </w:pPr>
          </w:p>
        </w:tc>
        <w:tc>
          <w:tcPr>
            <w:tcW w:w="1220" w:type="dxa"/>
            <w:vAlign w:val="bottom"/>
            <w:tcBorders>
              <w:bottom w:val="single" w:sz="8" w:color="5D5E60"/>
            </w:tcBorders>
          </w:tcPr>
          <w:p>
            <w:pPr>
              <w:spacing w:after="0"/>
              <w:rPr>
                <w:sz w:val="4"/>
                <w:szCs w:val="4"/>
                <w:color w:val="auto"/>
              </w:rPr>
            </w:pPr>
          </w:p>
        </w:tc>
        <w:tc>
          <w:tcPr>
            <w:tcW w:w="1240" w:type="dxa"/>
            <w:vAlign w:val="bottom"/>
            <w:tcBorders>
              <w:bottom w:val="single" w:sz="8" w:color="5D5E60"/>
            </w:tcBorders>
          </w:tcPr>
          <w:p>
            <w:pPr>
              <w:spacing w:after="0"/>
              <w:rPr>
                <w:sz w:val="4"/>
                <w:szCs w:val="4"/>
                <w:color w:val="auto"/>
              </w:rPr>
            </w:pPr>
          </w:p>
        </w:tc>
        <w:tc>
          <w:tcPr>
            <w:tcW w:w="920" w:type="dxa"/>
            <w:vAlign w:val="bottom"/>
            <w:tcBorders>
              <w:bottom w:val="single" w:sz="8" w:color="5D5E60"/>
            </w:tcBorders>
          </w:tcPr>
          <w:p>
            <w:pPr>
              <w:spacing w:after="0"/>
              <w:rPr>
                <w:sz w:val="4"/>
                <w:szCs w:val="4"/>
                <w:color w:val="auto"/>
              </w:rPr>
            </w:pPr>
          </w:p>
        </w:tc>
      </w:tr>
      <w:tr>
        <w:trPr>
          <w:trHeight w:val="252"/>
        </w:trPr>
        <w:tc>
          <w:tcPr>
            <w:tcW w:w="4380" w:type="dxa"/>
            <w:vAlign w:val="bottom"/>
          </w:tcPr>
          <w:p>
            <w:pPr>
              <w:ind w:left="180"/>
              <w:spacing w:after="0"/>
              <w:rPr>
                <w:sz w:val="20"/>
                <w:szCs w:val="20"/>
                <w:color w:val="auto"/>
              </w:rPr>
            </w:pPr>
            <w:r>
              <w:rPr>
                <w:rFonts w:ascii="Arial" w:cs="Arial" w:eastAsia="Arial" w:hAnsi="Arial"/>
                <w:sz w:val="15"/>
                <w:szCs w:val="15"/>
                <w:color w:val="231F20"/>
              </w:rPr>
              <w:t>_êŚȊĉĥßĬĤê</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ȐƓǢƖƗƙȊ</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ȐƒǢƗƚƘȊ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ȐƒǢƔƗƘȊ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ȐƓǢƓƙƑȊ</w:t>
            </w:r>
          </w:p>
        </w:tc>
        <w:tc>
          <w:tcPr>
            <w:tcW w:w="920" w:type="dxa"/>
            <w:vAlign w:val="bottom"/>
          </w:tcPr>
          <w:p>
            <w:pPr>
              <w:jc w:val="right"/>
              <w:spacing w:after="0"/>
              <w:rPr>
                <w:sz w:val="20"/>
                <w:szCs w:val="20"/>
                <w:color w:val="auto"/>
              </w:rPr>
            </w:pPr>
            <w:r>
              <w:rPr>
                <w:rFonts w:ascii="Arial" w:cs="Arial" w:eastAsia="Arial" w:hAnsi="Arial"/>
                <w:sz w:val="15"/>
                <w:szCs w:val="15"/>
                <w:color w:val="231F20"/>
              </w:rPr>
              <w:t>ȐƓǢƗƓƚ</w:t>
            </w:r>
          </w:p>
        </w:tc>
      </w:tr>
      <w:tr>
        <w:trPr>
          <w:trHeight w:val="321"/>
        </w:trPr>
        <w:tc>
          <w:tcPr>
            <w:tcW w:w="4380" w:type="dxa"/>
            <w:vAlign w:val="bottom"/>
          </w:tcPr>
          <w:p>
            <w:pPr>
              <w:ind w:left="180"/>
              <w:spacing w:after="0"/>
              <w:rPr>
                <w:sz w:val="20"/>
                <w:szCs w:val="20"/>
                <w:color w:val="auto"/>
              </w:rPr>
            </w:pPr>
            <w:r>
              <w:rPr>
                <w:rFonts w:ascii="Arial" w:cs="Arial" w:eastAsia="Arial" w:hAnsi="Arial"/>
                <w:sz w:val="15"/>
                <w:szCs w:val="15"/>
                <w:color w:val="231F20"/>
                <w:w w:val="86"/>
              </w:rPr>
              <w:t>ǲFĥßĬĤêǳȊĞĬŒŒȊÿŋĬĤȊåĉŒßĬĥŚĉĥŠêåȊĬňêŋÃŚĉĬĥŒǢȊĥêŚȊĬÿȊŚÃżêŒ</w:t>
            </w:r>
          </w:p>
        </w:tc>
        <w:tc>
          <w:tcPr>
            <w:tcW w:w="1520" w:type="dxa"/>
            <w:vAlign w:val="bottom"/>
          </w:tcPr>
          <w:p>
            <w:pPr>
              <w:jc w:val="right"/>
              <w:ind w:right="285"/>
              <w:spacing w:after="0"/>
              <w:rPr>
                <w:sz w:val="20"/>
                <w:szCs w:val="20"/>
                <w:color w:val="auto"/>
              </w:rPr>
            </w:pPr>
            <w:r>
              <w:rPr>
                <w:rFonts w:ascii="Arial" w:cs="Arial" w:eastAsia="Arial" w:hAnsi="Arial"/>
                <w:sz w:val="15"/>
                <w:szCs w:val="15"/>
                <w:color w:val="231F20"/>
              </w:rPr>
              <w:t>ǲƒƘƒǳ</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ƓƘƘȊ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ƘƒȊ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ȊȊȊȊȊȊȊȊȊȊƚƘƙȊ</w:t>
            </w:r>
          </w:p>
        </w:tc>
        <w:tc>
          <w:tcPr>
            <w:tcW w:w="920" w:type="dxa"/>
            <w:vAlign w:val="bottom"/>
          </w:tcPr>
          <w:p>
            <w:pPr>
              <w:jc w:val="right"/>
              <w:spacing w:after="0"/>
              <w:rPr>
                <w:sz w:val="20"/>
                <w:szCs w:val="20"/>
                <w:color w:val="auto"/>
              </w:rPr>
            </w:pPr>
            <w:r>
              <w:rPr>
                <w:rFonts w:ascii="Arial" w:cs="Arial" w:eastAsia="Arial" w:hAnsi="Arial"/>
                <w:sz w:val="15"/>
                <w:szCs w:val="15"/>
                <w:color w:val="231F20"/>
              </w:rPr>
              <w:t>Ǹ</w:t>
            </w:r>
          </w:p>
        </w:tc>
      </w:tr>
      <w:tr>
        <w:trPr>
          <w:trHeight w:val="318"/>
        </w:trPr>
        <w:tc>
          <w:tcPr>
            <w:tcW w:w="4380" w:type="dxa"/>
            <w:vAlign w:val="bottom"/>
          </w:tcPr>
          <w:p>
            <w:pPr>
              <w:ind w:left="180"/>
              <w:spacing w:after="0"/>
              <w:rPr>
                <w:sz w:val="20"/>
                <w:szCs w:val="20"/>
                <w:color w:val="auto"/>
              </w:rPr>
            </w:pPr>
            <w:r>
              <w:rPr>
                <w:rFonts w:ascii="Arial" w:cs="Arial" w:eastAsia="Arial" w:hAnsi="Arial"/>
                <w:sz w:val="15"/>
                <w:szCs w:val="15"/>
                <w:color w:val="231F20"/>
              </w:rPr>
              <w:t>FĥßĬĤêȊŚÃżȊňŋĬŶĉŒĉĬĥȊ</w:t>
            </w:r>
          </w:p>
        </w:tc>
        <w:tc>
          <w:tcPr>
            <w:tcW w:w="1520" w:type="dxa"/>
            <w:vAlign w:val="bottom"/>
          </w:tcPr>
          <w:p>
            <w:pPr>
              <w:jc w:val="right"/>
              <w:ind w:right="285"/>
              <w:spacing w:after="0"/>
              <w:rPr>
                <w:sz w:val="20"/>
                <w:szCs w:val="20"/>
                <w:color w:val="auto"/>
              </w:rPr>
            </w:pPr>
            <w:r>
              <w:rPr>
                <w:rFonts w:ascii="Arial" w:cs="Arial" w:eastAsia="Arial" w:hAnsi="Arial"/>
                <w:sz w:val="15"/>
                <w:szCs w:val="15"/>
                <w:color w:val="231F20"/>
              </w:rPr>
              <w:t>ȊƓƒƕ</w:t>
            </w:r>
          </w:p>
        </w:tc>
        <w:tc>
          <w:tcPr>
            <w:tcW w:w="1140" w:type="dxa"/>
            <w:vAlign w:val="bottom"/>
          </w:tcPr>
          <w:p>
            <w:pPr>
              <w:jc w:val="right"/>
              <w:ind w:right="225"/>
              <w:spacing w:after="0"/>
              <w:rPr>
                <w:sz w:val="20"/>
                <w:szCs w:val="20"/>
                <w:color w:val="auto"/>
              </w:rPr>
            </w:pPr>
            <w:r>
              <w:rPr>
                <w:rFonts w:ascii="Arial" w:cs="Arial" w:eastAsia="Arial" w:hAnsi="Arial"/>
                <w:sz w:val="15"/>
                <w:szCs w:val="15"/>
                <w:color w:val="231F20"/>
              </w:rPr>
              <w:t>113</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Ȋƚƒ</w:t>
            </w:r>
          </w:p>
        </w:tc>
        <w:tc>
          <w:tcPr>
            <w:tcW w:w="1240" w:type="dxa"/>
            <w:vAlign w:val="bottom"/>
          </w:tcPr>
          <w:p>
            <w:pPr>
              <w:jc w:val="right"/>
              <w:ind w:right="265"/>
              <w:spacing w:after="0"/>
              <w:rPr>
                <w:sz w:val="20"/>
                <w:szCs w:val="20"/>
                <w:color w:val="auto"/>
              </w:rPr>
            </w:pPr>
            <w:r>
              <w:rPr>
                <w:rFonts w:ascii="Arial" w:cs="Arial" w:eastAsia="Arial" w:hAnsi="Arial"/>
                <w:sz w:val="15"/>
                <w:szCs w:val="15"/>
                <w:color w:val="231F20"/>
              </w:rPr>
              <w:t>ȊƔƗƗ</w:t>
            </w:r>
          </w:p>
        </w:tc>
        <w:tc>
          <w:tcPr>
            <w:tcW w:w="920" w:type="dxa"/>
            <w:vAlign w:val="bottom"/>
          </w:tcPr>
          <w:p>
            <w:pPr>
              <w:jc w:val="right"/>
              <w:spacing w:after="0"/>
              <w:rPr>
                <w:sz w:val="20"/>
                <w:szCs w:val="20"/>
                <w:color w:val="auto"/>
              </w:rPr>
            </w:pPr>
            <w:r>
              <w:rPr>
                <w:rFonts w:ascii="Arial" w:cs="Arial" w:eastAsia="Arial" w:hAnsi="Arial"/>
                <w:sz w:val="15"/>
                <w:szCs w:val="15"/>
                <w:color w:val="231F20"/>
              </w:rPr>
              <w:t>ȊƕƒƗ</w:t>
            </w:r>
          </w:p>
        </w:tc>
      </w:tr>
      <w:tr>
        <w:trPr>
          <w:trHeight w:val="321"/>
        </w:trPr>
        <w:tc>
          <w:tcPr>
            <w:tcW w:w="4380" w:type="dxa"/>
            <w:vAlign w:val="bottom"/>
          </w:tcPr>
          <w:p>
            <w:pPr>
              <w:ind w:left="180"/>
              <w:spacing w:after="0"/>
              <w:rPr>
                <w:sz w:val="20"/>
                <w:szCs w:val="20"/>
                <w:color w:val="auto"/>
              </w:rPr>
            </w:pPr>
            <w:r>
              <w:rPr>
                <w:rFonts w:ascii="Arial" w:cs="Arial" w:eastAsia="Arial" w:hAnsi="Arial"/>
                <w:sz w:val="15"/>
                <w:szCs w:val="15"/>
                <w:color w:val="231F20"/>
              </w:rPr>
              <w:t>fŚąêŋȊǲĉĥßĬĤêǳȊêżňêĥŒê</w:t>
            </w:r>
          </w:p>
        </w:tc>
        <w:tc>
          <w:tcPr>
            <w:tcW w:w="1520" w:type="dxa"/>
            <w:vAlign w:val="bottom"/>
          </w:tcPr>
          <w:p>
            <w:pPr>
              <w:jc w:val="right"/>
              <w:ind w:right="285"/>
              <w:spacing w:after="0"/>
              <w:rPr>
                <w:sz w:val="20"/>
                <w:szCs w:val="20"/>
                <w:color w:val="auto"/>
              </w:rPr>
            </w:pPr>
            <w:r>
              <w:rPr>
                <w:rFonts w:ascii="Arial" w:cs="Arial" w:eastAsia="Arial" w:hAnsi="Arial"/>
                <w:sz w:val="15"/>
                <w:szCs w:val="15"/>
                <w:color w:val="231F20"/>
              </w:rPr>
              <w:t>ǲƖƗƖǳ</w:t>
            </w:r>
          </w:p>
        </w:tc>
        <w:tc>
          <w:tcPr>
            <w:tcW w:w="1140" w:type="dxa"/>
            <w:vAlign w:val="bottom"/>
          </w:tcPr>
          <w:p>
            <w:pPr>
              <w:jc w:val="right"/>
              <w:ind w:right="225"/>
              <w:spacing w:after="0"/>
              <w:rPr>
                <w:sz w:val="20"/>
                <w:szCs w:val="20"/>
                <w:color w:val="auto"/>
              </w:rPr>
            </w:pPr>
            <w:r>
              <w:rPr>
                <w:rFonts w:ascii="Arial" w:cs="Arial" w:eastAsia="Arial" w:hAnsi="Arial"/>
                <w:sz w:val="15"/>
                <w:szCs w:val="15"/>
                <w:color w:val="231F20"/>
              </w:rPr>
              <w:t>ǲƕƔƖǳ</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ƔƓƗȊ</w:t>
            </w:r>
          </w:p>
        </w:tc>
        <w:tc>
          <w:tcPr>
            <w:tcW w:w="1240" w:type="dxa"/>
            <w:vAlign w:val="bottom"/>
          </w:tcPr>
          <w:p>
            <w:pPr>
              <w:jc w:val="right"/>
              <w:ind w:right="265"/>
              <w:spacing w:after="0"/>
              <w:rPr>
                <w:sz w:val="20"/>
                <w:szCs w:val="20"/>
                <w:color w:val="auto"/>
              </w:rPr>
            </w:pPr>
            <w:r>
              <w:rPr>
                <w:rFonts w:ascii="Arial" w:cs="Arial" w:eastAsia="Arial" w:hAnsi="Arial"/>
                <w:sz w:val="15"/>
                <w:szCs w:val="15"/>
                <w:color w:val="231F20"/>
              </w:rPr>
              <w:t>ǲƔƘƙǳ</w:t>
            </w:r>
          </w:p>
        </w:tc>
        <w:tc>
          <w:tcPr>
            <w:tcW w:w="920" w:type="dxa"/>
            <w:vAlign w:val="bottom"/>
          </w:tcPr>
          <w:p>
            <w:pPr>
              <w:jc w:val="right"/>
              <w:spacing w:after="0"/>
              <w:rPr>
                <w:sz w:val="20"/>
                <w:szCs w:val="20"/>
                <w:color w:val="auto"/>
              </w:rPr>
            </w:pPr>
            <w:r>
              <w:rPr>
                <w:rFonts w:ascii="Arial" w:cs="Arial" w:eastAsia="Arial" w:hAnsi="Arial"/>
                <w:sz w:val="15"/>
                <w:szCs w:val="15"/>
                <w:color w:val="231F20"/>
              </w:rPr>
              <w:t>ƖƘƗ</w:t>
            </w:r>
          </w:p>
        </w:tc>
      </w:tr>
      <w:tr>
        <w:trPr>
          <w:trHeight w:val="318"/>
        </w:trPr>
        <w:tc>
          <w:tcPr>
            <w:tcW w:w="4380" w:type="dxa"/>
            <w:vAlign w:val="bottom"/>
          </w:tcPr>
          <w:p>
            <w:pPr>
              <w:ind w:left="180"/>
              <w:spacing w:after="0"/>
              <w:rPr>
                <w:sz w:val="20"/>
                <w:szCs w:val="20"/>
                <w:color w:val="auto"/>
              </w:rPr>
            </w:pPr>
            <w:r>
              <w:rPr>
                <w:rFonts w:ascii="Arial" w:cs="Arial" w:eastAsia="Arial" w:hAnsi="Arial"/>
                <w:sz w:val="15"/>
                <w:szCs w:val="15"/>
                <w:color w:val="231F20"/>
              </w:rPr>
              <w:t>XĬŒŒȊĬĥȊŋêŚĉŋêĤêĥŚȊĬÿȊĞĬĥĀǸŚêŋĤȊĬÞĞĉĀÃŚĉĬĥŒ</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ȊȊȊȊȊȊȊȊȊȊȊȊȊƔƙȊ</w:t>
            </w:r>
          </w:p>
        </w:tc>
        <w:tc>
          <w:tcPr>
            <w:tcW w:w="1140" w:type="dxa"/>
            <w:vAlign w:val="bottom"/>
          </w:tcPr>
          <w:p>
            <w:pPr>
              <w:jc w:val="right"/>
              <w:ind w:right="225"/>
              <w:spacing w:after="0"/>
              <w:rPr>
                <w:sz w:val="20"/>
                <w:szCs w:val="20"/>
                <w:color w:val="auto"/>
              </w:rPr>
            </w:pPr>
            <w:r>
              <w:rPr>
                <w:rFonts w:ascii="Arial" w:cs="Arial" w:eastAsia="Arial" w:hAnsi="Arial"/>
                <w:sz w:val="15"/>
                <w:szCs w:val="15"/>
                <w:color w:val="231F20"/>
              </w:rPr>
              <w:t>0</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0</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ȊȊȊȊȊȊȊȊȊȊȊȊȊȊȊȊǸȊ</w:t>
            </w:r>
          </w:p>
        </w:tc>
        <w:tc>
          <w:tcPr>
            <w:tcW w:w="920" w:type="dxa"/>
            <w:vAlign w:val="bottom"/>
          </w:tcPr>
          <w:p>
            <w:pPr>
              <w:jc w:val="right"/>
              <w:spacing w:after="0"/>
              <w:rPr>
                <w:sz w:val="20"/>
                <w:szCs w:val="20"/>
                <w:color w:val="auto"/>
              </w:rPr>
            </w:pPr>
            <w:r>
              <w:rPr>
                <w:rFonts w:ascii="Arial" w:cs="Arial" w:eastAsia="Arial" w:hAnsi="Arial"/>
                <w:sz w:val="15"/>
                <w:szCs w:val="15"/>
                <w:color w:val="231F20"/>
              </w:rPr>
              <w:t>Ǹ</w:t>
            </w:r>
          </w:p>
        </w:tc>
      </w:tr>
      <w:tr>
        <w:trPr>
          <w:trHeight w:val="321"/>
        </w:trPr>
        <w:tc>
          <w:tcPr>
            <w:tcW w:w="4380" w:type="dxa"/>
            <w:vAlign w:val="bottom"/>
          </w:tcPr>
          <w:p>
            <w:pPr>
              <w:ind w:left="180"/>
              <w:spacing w:after="0"/>
              <w:rPr>
                <w:sz w:val="20"/>
                <w:szCs w:val="20"/>
                <w:color w:val="auto"/>
              </w:rPr>
            </w:pPr>
            <w:r>
              <w:rPr>
                <w:rFonts w:ascii="Arial" w:cs="Arial" w:eastAsia="Arial" w:hAnsi="Arial"/>
                <w:sz w:val="15"/>
                <w:szCs w:val="15"/>
                <w:color w:val="231F20"/>
              </w:rPr>
              <w:t>FĥŚêŋêŒŚȊêżňêĥŒê</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ƙƘƒȊ</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ƒǢƒƔƗȊ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ƒǢƔƙƙȊ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ƒǢƕƑƖȊ</w:t>
            </w:r>
          </w:p>
        </w:tc>
        <w:tc>
          <w:tcPr>
            <w:tcW w:w="920" w:type="dxa"/>
            <w:vAlign w:val="bottom"/>
          </w:tcPr>
          <w:p>
            <w:pPr>
              <w:jc w:val="right"/>
              <w:spacing w:after="0"/>
              <w:rPr>
                <w:sz w:val="20"/>
                <w:szCs w:val="20"/>
                <w:color w:val="auto"/>
              </w:rPr>
            </w:pPr>
            <w:r>
              <w:rPr>
                <w:rFonts w:ascii="Arial" w:cs="Arial" w:eastAsia="Arial" w:hAnsi="Arial"/>
                <w:sz w:val="15"/>
                <w:szCs w:val="15"/>
                <w:color w:val="231F20"/>
              </w:rPr>
              <w:t>ƒǢƔƖƚ</w:t>
            </w:r>
          </w:p>
        </w:tc>
      </w:tr>
      <w:tr>
        <w:trPr>
          <w:trHeight w:val="320"/>
        </w:trPr>
        <w:tc>
          <w:tcPr>
            <w:tcW w:w="4380" w:type="dxa"/>
            <w:vAlign w:val="bottom"/>
          </w:tcPr>
          <w:p>
            <w:pPr>
              <w:ind w:left="180"/>
              <w:spacing w:after="0"/>
              <w:rPr>
                <w:sz w:val="20"/>
                <w:szCs w:val="20"/>
                <w:color w:val="auto"/>
              </w:rPr>
            </w:pPr>
            <w:r>
              <w:rPr>
                <w:rFonts w:ascii="Arial" w:cs="Arial" w:eastAsia="Arial" w:hAnsi="Arial"/>
                <w:sz w:val="15"/>
                <w:szCs w:val="15"/>
                <w:color w:val="231F20"/>
              </w:rPr>
              <w:t>FĥŚêŋêŒŚȊĉĥßĬĤê</w:t>
            </w:r>
          </w:p>
        </w:tc>
        <w:tc>
          <w:tcPr>
            <w:tcW w:w="1520" w:type="dxa"/>
            <w:vAlign w:val="bottom"/>
          </w:tcPr>
          <w:p>
            <w:pPr>
              <w:jc w:val="right"/>
              <w:ind w:right="285"/>
              <w:spacing w:after="0"/>
              <w:rPr>
                <w:sz w:val="20"/>
                <w:szCs w:val="20"/>
                <w:color w:val="auto"/>
              </w:rPr>
            </w:pPr>
            <w:r>
              <w:rPr>
                <w:rFonts w:ascii="Arial" w:cs="Arial" w:eastAsia="Arial" w:hAnsi="Arial"/>
                <w:sz w:val="15"/>
                <w:szCs w:val="15"/>
                <w:color w:val="231F20"/>
              </w:rPr>
              <w:t>ǲƓƑǳ</w:t>
            </w:r>
          </w:p>
        </w:tc>
        <w:tc>
          <w:tcPr>
            <w:tcW w:w="1140" w:type="dxa"/>
            <w:vAlign w:val="bottom"/>
          </w:tcPr>
          <w:p>
            <w:pPr>
              <w:jc w:val="right"/>
              <w:ind w:right="225"/>
              <w:spacing w:after="0"/>
              <w:rPr>
                <w:sz w:val="20"/>
                <w:szCs w:val="20"/>
                <w:color w:val="auto"/>
              </w:rPr>
            </w:pPr>
            <w:r>
              <w:rPr>
                <w:rFonts w:ascii="Arial" w:cs="Arial" w:eastAsia="Arial" w:hAnsi="Arial"/>
                <w:sz w:val="15"/>
                <w:szCs w:val="15"/>
                <w:color w:val="231F20"/>
              </w:rPr>
              <w:t>ǲƕƚǳ</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ǲƒƒƚǳ</w:t>
            </w:r>
          </w:p>
        </w:tc>
        <w:tc>
          <w:tcPr>
            <w:tcW w:w="1240" w:type="dxa"/>
            <w:vAlign w:val="bottom"/>
          </w:tcPr>
          <w:p>
            <w:pPr>
              <w:jc w:val="right"/>
              <w:ind w:right="265"/>
              <w:spacing w:after="0"/>
              <w:rPr>
                <w:sz w:val="20"/>
                <w:szCs w:val="20"/>
                <w:color w:val="auto"/>
              </w:rPr>
            </w:pPr>
            <w:r>
              <w:rPr>
                <w:rFonts w:ascii="Arial" w:cs="Arial" w:eastAsia="Arial" w:hAnsi="Arial"/>
                <w:sz w:val="15"/>
                <w:szCs w:val="15"/>
                <w:color w:val="231F20"/>
              </w:rPr>
              <w:t>ǲƒƔƖǳ</w:t>
            </w:r>
          </w:p>
        </w:tc>
        <w:tc>
          <w:tcPr>
            <w:tcW w:w="920" w:type="dxa"/>
            <w:vAlign w:val="bottom"/>
          </w:tcPr>
          <w:p>
            <w:pPr>
              <w:jc w:val="right"/>
              <w:spacing w:after="0"/>
              <w:rPr>
                <w:sz w:val="20"/>
                <w:szCs w:val="20"/>
                <w:color w:val="auto"/>
              </w:rPr>
            </w:pPr>
            <w:r>
              <w:rPr>
                <w:rFonts w:ascii="Arial" w:cs="Arial" w:eastAsia="Arial" w:hAnsi="Arial"/>
                <w:sz w:val="15"/>
                <w:szCs w:val="15"/>
                <w:color w:val="231F20"/>
              </w:rPr>
              <w:t>ǲƒƔƕǳ</w:t>
            </w:r>
          </w:p>
        </w:tc>
      </w:tr>
      <w:tr>
        <w:trPr>
          <w:trHeight w:val="319"/>
        </w:trPr>
        <w:tc>
          <w:tcPr>
            <w:tcW w:w="4380" w:type="dxa"/>
            <w:vAlign w:val="bottom"/>
          </w:tcPr>
          <w:p>
            <w:pPr>
              <w:ind w:left="180"/>
              <w:spacing w:after="0"/>
              <w:rPr>
                <w:sz w:val="20"/>
                <w:szCs w:val="20"/>
                <w:color w:val="auto"/>
              </w:rPr>
            </w:pPr>
            <w:r>
              <w:rPr>
                <w:rFonts w:ascii="Arial" w:cs="Arial" w:eastAsia="Arial" w:hAnsi="Arial"/>
                <w:sz w:val="15"/>
                <w:szCs w:val="15"/>
                <w:color w:val="231F20"/>
              </w:rPr>
              <w:t>fŚąêŋȊĬňêŋÃŚĉĥĀȊêżňêĥŒêŒ</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ƔƚƚȊ</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ƓƘƒȊ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ƔƘƒȊ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ƘƕȊ</w:t>
            </w:r>
          </w:p>
        </w:tc>
        <w:tc>
          <w:tcPr>
            <w:tcW w:w="920" w:type="dxa"/>
            <w:vAlign w:val="bottom"/>
          </w:tcPr>
          <w:p>
            <w:pPr>
              <w:jc w:val="right"/>
              <w:spacing w:after="0"/>
              <w:rPr>
                <w:sz w:val="20"/>
                <w:szCs w:val="20"/>
                <w:color w:val="auto"/>
              </w:rPr>
            </w:pPr>
            <w:r>
              <w:rPr>
                <w:rFonts w:ascii="Arial" w:cs="Arial" w:eastAsia="Arial" w:hAnsi="Arial"/>
                <w:sz w:val="15"/>
                <w:szCs w:val="15"/>
                <w:color w:val="231F20"/>
              </w:rPr>
              <w:t>Ɨƙ</w:t>
            </w:r>
          </w:p>
        </w:tc>
      </w:tr>
      <w:tr>
        <w:trPr>
          <w:trHeight w:val="320"/>
        </w:trPr>
        <w:tc>
          <w:tcPr>
            <w:tcW w:w="4380" w:type="dxa"/>
            <w:vAlign w:val="bottom"/>
          </w:tcPr>
          <w:p>
            <w:pPr>
              <w:ind w:left="180"/>
              <w:spacing w:after="0"/>
              <w:rPr>
                <w:sz w:val="20"/>
                <w:szCs w:val="20"/>
                <w:color w:val="auto"/>
              </w:rPr>
            </w:pPr>
            <w:r>
              <w:rPr>
                <w:rFonts w:ascii="Arial" w:cs="Arial" w:eastAsia="Arial" w:hAnsi="Arial"/>
                <w:sz w:val="15"/>
                <w:szCs w:val="15"/>
                <w:color w:val="231F20"/>
              </w:rPr>
              <w:t>=ĬĬåŷĉĞĞȊĉĤňÃĉŋĤêĥŚ</w:t>
            </w:r>
            <w:r>
              <w:rPr>
                <w:rFonts w:ascii="Arial" w:cs="Arial" w:eastAsia="Arial" w:hAnsi="Arial"/>
                <w:sz w:val="8"/>
                <w:szCs w:val="8"/>
                <w:color w:val="231F20"/>
              </w:rPr>
              <w:t>2</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ȊȊȊȊȊȊȊȊȊȊȊȊȊȊȊǸȊȊȊ</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ȊȊȊȊȊȊȊȊȊȊȊȊȊȊǸȊȊȊ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ȊȊȊȊȊȊȊȊȊȊȊȊȊƙƑȊ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ȊȊȊȊȊȊȊȊȊȊȊȊȊȊǸȊȊȊ</w:t>
            </w:r>
          </w:p>
        </w:tc>
        <w:tc>
          <w:tcPr>
            <w:tcW w:w="920" w:type="dxa"/>
            <w:vAlign w:val="bottom"/>
          </w:tcPr>
          <w:p>
            <w:pPr>
              <w:jc w:val="right"/>
              <w:spacing w:after="0"/>
              <w:rPr>
                <w:sz w:val="20"/>
                <w:szCs w:val="20"/>
                <w:color w:val="auto"/>
              </w:rPr>
            </w:pPr>
            <w:r>
              <w:rPr>
                <w:rFonts w:ascii="Arial" w:cs="Arial" w:eastAsia="Arial" w:hAnsi="Arial"/>
                <w:sz w:val="15"/>
                <w:szCs w:val="15"/>
                <w:color w:val="231F20"/>
              </w:rPr>
              <w:t>Ǹ</w:t>
            </w:r>
          </w:p>
        </w:tc>
      </w:tr>
      <w:tr>
        <w:trPr>
          <w:trHeight w:val="321"/>
        </w:trPr>
        <w:tc>
          <w:tcPr>
            <w:tcW w:w="4380" w:type="dxa"/>
            <w:vAlign w:val="bottom"/>
          </w:tcPr>
          <w:p>
            <w:pPr>
              <w:ind w:left="180"/>
              <w:spacing w:after="0"/>
              <w:rPr>
                <w:sz w:val="20"/>
                <w:szCs w:val="20"/>
                <w:color w:val="auto"/>
              </w:rPr>
            </w:pPr>
            <w:r>
              <w:rPr>
                <w:rFonts w:ascii="Arial" w:cs="Arial" w:eastAsia="Arial" w:hAnsi="Arial"/>
                <w:sz w:val="15"/>
                <w:szCs w:val="15"/>
                <w:color w:val="231F20"/>
              </w:rPr>
              <w:t>#êňŋêßĉÃŚĉĬĥǢȊÃĤĬŋŚĉƅÃŚĉĬĥȊÃĥåȊÃßßŋêŚĉĬĥ</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ƓǢƒƔƕȊ</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ƔǢƒƗƖȊ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ƓǢƚƓƚȊ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ƓǢƑƓƚȊ</w:t>
            </w:r>
          </w:p>
        </w:tc>
        <w:tc>
          <w:tcPr>
            <w:tcW w:w="920" w:type="dxa"/>
            <w:vAlign w:val="bottom"/>
          </w:tcPr>
          <w:p>
            <w:pPr>
              <w:jc w:val="right"/>
              <w:spacing w:after="0"/>
              <w:rPr>
                <w:sz w:val="20"/>
                <w:szCs w:val="20"/>
                <w:color w:val="auto"/>
              </w:rPr>
            </w:pPr>
            <w:r>
              <w:rPr>
                <w:rFonts w:ascii="Arial" w:cs="Arial" w:eastAsia="Arial" w:hAnsi="Arial"/>
                <w:sz w:val="15"/>
                <w:szCs w:val="15"/>
                <w:color w:val="231F20"/>
              </w:rPr>
              <w:t>ƓǢƑƕƓ</w:t>
            </w:r>
          </w:p>
        </w:tc>
      </w:tr>
      <w:tr>
        <w:trPr>
          <w:trHeight w:val="320"/>
        </w:trPr>
        <w:tc>
          <w:tcPr>
            <w:tcW w:w="4380" w:type="dxa"/>
            <w:vAlign w:val="bottom"/>
          </w:tcPr>
          <w:p>
            <w:pPr>
              <w:ind w:left="180"/>
              <w:spacing w:after="0" w:line="182" w:lineRule="exact"/>
              <w:rPr>
                <w:sz w:val="20"/>
                <w:szCs w:val="20"/>
                <w:color w:val="auto"/>
              </w:rPr>
            </w:pPr>
            <w:r>
              <w:rPr>
                <w:rFonts w:ascii="PMingLiU" w:cs="PMingLiU" w:eastAsia="PMingLiU" w:hAnsi="PMingLiU"/>
                <w:sz w:val="15"/>
                <w:szCs w:val="15"/>
                <w:color w:val="231F20"/>
              </w:rPr>
              <w:t></w:t>
            </w:r>
            <w:r>
              <w:rPr>
                <w:rFonts w:ascii="Arial" w:cs="Arial" w:eastAsia="Arial" w:hAnsi="Arial"/>
                <w:sz w:val="15"/>
                <w:szCs w:val="15"/>
                <w:color w:val="231F20"/>
              </w:rPr>
              <w:t>ŚĬßěǸÞÃŒêåȊßĬĤňêĥŒÃŚĉĬĥȊêżňêĥŒê</w:t>
            </w:r>
          </w:p>
        </w:tc>
        <w:tc>
          <w:tcPr>
            <w:tcW w:w="1520" w:type="dxa"/>
            <w:vAlign w:val="bottom"/>
          </w:tcPr>
          <w:p>
            <w:pPr>
              <w:jc w:val="right"/>
              <w:ind w:right="285"/>
              <w:spacing w:after="0"/>
              <w:rPr>
                <w:sz w:val="20"/>
                <w:szCs w:val="20"/>
                <w:color w:val="auto"/>
              </w:rPr>
            </w:pPr>
            <w:r>
              <w:rPr>
                <w:rFonts w:ascii="Arial" w:cs="Arial" w:eastAsia="Arial" w:hAnsi="Arial"/>
                <w:sz w:val="15"/>
                <w:szCs w:val="15"/>
                <w:color w:val="231F20"/>
              </w:rPr>
              <w:t>112</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ƒƗƓȊ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ƒƙƔȊ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ƒƚƔȊ</w:t>
            </w:r>
          </w:p>
        </w:tc>
        <w:tc>
          <w:tcPr>
            <w:tcW w:w="920" w:type="dxa"/>
            <w:vAlign w:val="bottom"/>
          </w:tcPr>
          <w:p>
            <w:pPr>
              <w:jc w:val="right"/>
              <w:spacing w:after="0"/>
              <w:rPr>
                <w:sz w:val="20"/>
                <w:szCs w:val="20"/>
                <w:color w:val="auto"/>
              </w:rPr>
            </w:pPr>
            <w:r>
              <w:rPr>
                <w:rFonts w:ascii="Arial" w:cs="Arial" w:eastAsia="Arial" w:hAnsi="Arial"/>
                <w:sz w:val="15"/>
                <w:szCs w:val="15"/>
                <w:color w:val="231F20"/>
              </w:rPr>
              <w:t>ƒƘƕ</w:t>
            </w:r>
          </w:p>
        </w:tc>
      </w:tr>
      <w:tr>
        <w:trPr>
          <w:trHeight w:val="44"/>
        </w:trPr>
        <w:tc>
          <w:tcPr>
            <w:tcW w:w="4380" w:type="dxa"/>
            <w:vAlign w:val="bottom"/>
            <w:tcBorders>
              <w:bottom w:val="single" w:sz="8" w:color="5D5E60"/>
            </w:tcBorders>
          </w:tcPr>
          <w:p>
            <w:pPr>
              <w:spacing w:after="0"/>
              <w:rPr>
                <w:sz w:val="3"/>
                <w:szCs w:val="3"/>
                <w:color w:val="auto"/>
              </w:rPr>
            </w:pPr>
          </w:p>
        </w:tc>
        <w:tc>
          <w:tcPr>
            <w:tcW w:w="1520" w:type="dxa"/>
            <w:vAlign w:val="bottom"/>
            <w:tcBorders>
              <w:bottom w:val="single" w:sz="8" w:color="5D5E60"/>
            </w:tcBorders>
          </w:tcPr>
          <w:p>
            <w:pPr>
              <w:spacing w:after="0"/>
              <w:rPr>
                <w:sz w:val="3"/>
                <w:szCs w:val="3"/>
                <w:color w:val="auto"/>
              </w:rPr>
            </w:pPr>
          </w:p>
        </w:tc>
        <w:tc>
          <w:tcPr>
            <w:tcW w:w="114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1240" w:type="dxa"/>
            <w:vAlign w:val="bottom"/>
            <w:tcBorders>
              <w:bottom w:val="single" w:sz="8" w:color="5D5E60"/>
            </w:tcBorders>
          </w:tcPr>
          <w:p>
            <w:pPr>
              <w:spacing w:after="0"/>
              <w:rPr>
                <w:sz w:val="3"/>
                <w:szCs w:val="3"/>
                <w:color w:val="auto"/>
              </w:rPr>
            </w:pPr>
          </w:p>
        </w:tc>
        <w:tc>
          <w:tcPr>
            <w:tcW w:w="920" w:type="dxa"/>
            <w:vAlign w:val="bottom"/>
            <w:tcBorders>
              <w:bottom w:val="single" w:sz="8" w:color="5D5E60"/>
            </w:tcBorders>
          </w:tcPr>
          <w:p>
            <w:pPr>
              <w:spacing w:after="0"/>
              <w:rPr>
                <w:sz w:val="3"/>
                <w:szCs w:val="3"/>
                <w:color w:val="auto"/>
              </w:rPr>
            </w:pPr>
          </w:p>
        </w:tc>
      </w:tr>
      <w:tr>
        <w:trPr>
          <w:trHeight w:val="256"/>
        </w:trPr>
        <w:tc>
          <w:tcPr>
            <w:tcW w:w="4380" w:type="dxa"/>
            <w:vAlign w:val="bottom"/>
          </w:tcPr>
          <w:p>
            <w:pPr>
              <w:ind w:left="180"/>
              <w:spacing w:after="0"/>
              <w:rPr>
                <w:sz w:val="20"/>
                <w:szCs w:val="20"/>
                <w:color w:val="auto"/>
              </w:rPr>
            </w:pPr>
            <w:r>
              <w:rPr>
                <w:rFonts w:ascii="Arial" w:cs="Arial" w:eastAsia="Arial" w:hAnsi="Arial"/>
                <w:sz w:val="15"/>
                <w:szCs w:val="15"/>
                <w:b w:val="1"/>
                <w:bCs w:val="1"/>
                <w:color w:val="231F20"/>
              </w:rPr>
              <w:t>ADJUSTED EBITDA</w:t>
            </w:r>
          </w:p>
        </w:tc>
        <w:tc>
          <w:tcPr>
            <w:tcW w:w="1520" w:type="dxa"/>
            <w:vAlign w:val="bottom"/>
          </w:tcPr>
          <w:p>
            <w:pPr>
              <w:jc w:val="right"/>
              <w:ind w:right="285"/>
              <w:spacing w:after="0"/>
              <w:rPr>
                <w:sz w:val="20"/>
                <w:szCs w:val="20"/>
                <w:color w:val="auto"/>
              </w:rPr>
            </w:pPr>
            <w:r>
              <w:rPr>
                <w:rFonts w:ascii="Arial" w:cs="Arial" w:eastAsia="Arial" w:hAnsi="Arial"/>
                <w:sz w:val="15"/>
                <w:szCs w:val="15"/>
                <w:b w:val="1"/>
                <w:bCs w:val="1"/>
                <w:color w:val="231F20"/>
              </w:rPr>
              <w:t>$5,578</w:t>
            </w:r>
          </w:p>
        </w:tc>
        <w:tc>
          <w:tcPr>
            <w:tcW w:w="1140" w:type="dxa"/>
            <w:vAlign w:val="bottom"/>
          </w:tcPr>
          <w:p>
            <w:pPr>
              <w:jc w:val="right"/>
              <w:ind w:right="225"/>
              <w:spacing w:after="0"/>
              <w:rPr>
                <w:sz w:val="20"/>
                <w:szCs w:val="20"/>
                <w:color w:val="auto"/>
              </w:rPr>
            </w:pPr>
            <w:r>
              <w:rPr>
                <w:rFonts w:ascii="Arial" w:cs="Arial" w:eastAsia="Arial" w:hAnsi="Arial"/>
                <w:sz w:val="15"/>
                <w:szCs w:val="15"/>
                <w:b w:val="1"/>
                <w:bCs w:val="1"/>
                <w:color w:val="231F20"/>
              </w:rPr>
              <w:t>$6,336</w:t>
            </w:r>
          </w:p>
        </w:tc>
        <w:tc>
          <w:tcPr>
            <w:tcW w:w="1220" w:type="dxa"/>
            <w:vAlign w:val="bottom"/>
          </w:tcPr>
          <w:p>
            <w:pPr>
              <w:jc w:val="right"/>
              <w:ind w:right="225"/>
              <w:spacing w:after="0"/>
              <w:rPr>
                <w:sz w:val="20"/>
                <w:szCs w:val="20"/>
                <w:color w:val="auto"/>
              </w:rPr>
            </w:pPr>
            <w:r>
              <w:rPr>
                <w:rFonts w:ascii="Arial" w:cs="Arial" w:eastAsia="Arial" w:hAnsi="Arial"/>
                <w:sz w:val="15"/>
                <w:szCs w:val="15"/>
                <w:b w:val="1"/>
                <w:bCs w:val="1"/>
                <w:color w:val="231F20"/>
              </w:rPr>
              <w:t>$6,688</w:t>
            </w:r>
          </w:p>
        </w:tc>
        <w:tc>
          <w:tcPr>
            <w:tcW w:w="1240" w:type="dxa"/>
            <w:vAlign w:val="bottom"/>
          </w:tcPr>
          <w:p>
            <w:pPr>
              <w:jc w:val="right"/>
              <w:ind w:right="265"/>
              <w:spacing w:after="0"/>
              <w:rPr>
                <w:sz w:val="20"/>
                <w:szCs w:val="20"/>
                <w:color w:val="auto"/>
              </w:rPr>
            </w:pPr>
            <w:r>
              <w:rPr>
                <w:rFonts w:ascii="Arial" w:cs="Arial" w:eastAsia="Arial" w:hAnsi="Arial"/>
                <w:sz w:val="15"/>
                <w:szCs w:val="15"/>
                <w:b w:val="1"/>
                <w:bCs w:val="1"/>
                <w:color w:val="231F20"/>
              </w:rPr>
              <w:t>$6,812</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231F20"/>
              </w:rPr>
              <w:t>$7,130</w:t>
            </w:r>
          </w:p>
        </w:tc>
      </w:tr>
      <w:tr>
        <w:trPr>
          <w:trHeight w:val="44"/>
        </w:trPr>
        <w:tc>
          <w:tcPr>
            <w:tcW w:w="4380" w:type="dxa"/>
            <w:vAlign w:val="bottom"/>
            <w:tcBorders>
              <w:bottom w:val="single" w:sz="8" w:color="5D5E60"/>
            </w:tcBorders>
          </w:tcPr>
          <w:p>
            <w:pPr>
              <w:spacing w:after="0"/>
              <w:rPr>
                <w:sz w:val="3"/>
                <w:szCs w:val="3"/>
                <w:color w:val="auto"/>
              </w:rPr>
            </w:pPr>
          </w:p>
        </w:tc>
        <w:tc>
          <w:tcPr>
            <w:tcW w:w="1520" w:type="dxa"/>
            <w:vAlign w:val="bottom"/>
            <w:tcBorders>
              <w:bottom w:val="single" w:sz="8" w:color="5D5E60"/>
            </w:tcBorders>
          </w:tcPr>
          <w:p>
            <w:pPr>
              <w:spacing w:after="0"/>
              <w:rPr>
                <w:sz w:val="3"/>
                <w:szCs w:val="3"/>
                <w:color w:val="auto"/>
              </w:rPr>
            </w:pPr>
          </w:p>
        </w:tc>
        <w:tc>
          <w:tcPr>
            <w:tcW w:w="114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1240" w:type="dxa"/>
            <w:vAlign w:val="bottom"/>
            <w:tcBorders>
              <w:bottom w:val="single" w:sz="8" w:color="5D5E60"/>
            </w:tcBorders>
          </w:tcPr>
          <w:p>
            <w:pPr>
              <w:spacing w:after="0"/>
              <w:rPr>
                <w:sz w:val="3"/>
                <w:szCs w:val="3"/>
                <w:color w:val="auto"/>
              </w:rPr>
            </w:pPr>
          </w:p>
        </w:tc>
        <w:tc>
          <w:tcPr>
            <w:tcW w:w="920" w:type="dxa"/>
            <w:vAlign w:val="bottom"/>
            <w:tcBorders>
              <w:bottom w:val="single" w:sz="8" w:color="5D5E60"/>
            </w:tcBorders>
          </w:tcPr>
          <w:p>
            <w:pPr>
              <w:spacing w:after="0"/>
              <w:rPr>
                <w:sz w:val="3"/>
                <w:szCs w:val="3"/>
                <w:color w:val="auto"/>
              </w:rPr>
            </w:pPr>
          </w:p>
        </w:tc>
      </w:tr>
      <w:tr>
        <w:trPr>
          <w:trHeight w:val="256"/>
        </w:trPr>
        <w:tc>
          <w:tcPr>
            <w:tcW w:w="4380" w:type="dxa"/>
            <w:vAlign w:val="bottom"/>
          </w:tcPr>
          <w:p>
            <w:pPr>
              <w:ind w:left="180"/>
              <w:spacing w:after="0"/>
              <w:rPr>
                <w:sz w:val="20"/>
                <w:szCs w:val="20"/>
                <w:color w:val="auto"/>
              </w:rPr>
            </w:pPr>
            <w:r>
              <w:rPr>
                <w:rFonts w:ascii="Arial" w:cs="Arial" w:eastAsia="Arial" w:hAnsi="Arial"/>
                <w:sz w:val="15"/>
                <w:szCs w:val="15"/>
                <w:color w:val="231F20"/>
              </w:rPr>
              <w:t>#ĉŶĉåêåȊÞŽȊŚĬŚÃĞȊŋêŶêĥŠê</w:t>
            </w:r>
          </w:p>
        </w:tc>
        <w:tc>
          <w:tcPr>
            <w:tcW w:w="1520" w:type="dxa"/>
            <w:vAlign w:val="bottom"/>
          </w:tcPr>
          <w:p>
            <w:pPr>
              <w:jc w:val="right"/>
              <w:ind w:right="245"/>
              <w:spacing w:after="0"/>
              <w:rPr>
                <w:sz w:val="20"/>
                <w:szCs w:val="20"/>
                <w:color w:val="auto"/>
              </w:rPr>
            </w:pPr>
            <w:r>
              <w:rPr>
                <w:rFonts w:ascii="Arial" w:cs="Arial" w:eastAsia="Arial" w:hAnsi="Arial"/>
                <w:sz w:val="15"/>
                <w:szCs w:val="15"/>
                <w:color w:val="231F20"/>
              </w:rPr>
              <w:t>ȐƙǢƒƗƑȊ</w:t>
            </w:r>
          </w:p>
        </w:tc>
        <w:tc>
          <w:tcPr>
            <w:tcW w:w="1140" w:type="dxa"/>
            <w:vAlign w:val="bottom"/>
          </w:tcPr>
          <w:p>
            <w:pPr>
              <w:jc w:val="right"/>
              <w:ind w:right="185"/>
              <w:spacing w:after="0"/>
              <w:rPr>
                <w:sz w:val="20"/>
                <w:szCs w:val="20"/>
                <w:color w:val="auto"/>
              </w:rPr>
            </w:pPr>
            <w:r>
              <w:rPr>
                <w:rFonts w:ascii="Arial" w:cs="Arial" w:eastAsia="Arial" w:hAnsi="Arial"/>
                <w:sz w:val="15"/>
                <w:szCs w:val="15"/>
                <w:color w:val="231F20"/>
              </w:rPr>
              <w:t>ȐƚǢƗƕƖȊ</w:t>
            </w:r>
          </w:p>
        </w:tc>
        <w:tc>
          <w:tcPr>
            <w:tcW w:w="1220" w:type="dxa"/>
            <w:vAlign w:val="bottom"/>
          </w:tcPr>
          <w:p>
            <w:pPr>
              <w:jc w:val="right"/>
              <w:ind w:right="205"/>
              <w:spacing w:after="0"/>
              <w:rPr>
                <w:sz w:val="20"/>
                <w:szCs w:val="20"/>
                <w:color w:val="auto"/>
              </w:rPr>
            </w:pPr>
            <w:r>
              <w:rPr>
                <w:rFonts w:ascii="Arial" w:cs="Arial" w:eastAsia="Arial" w:hAnsi="Arial"/>
                <w:sz w:val="15"/>
                <w:szCs w:val="15"/>
                <w:color w:val="231F20"/>
              </w:rPr>
              <w:t>ȐƒƑǢƑƒƓȊ</w:t>
            </w:r>
          </w:p>
        </w:tc>
        <w:tc>
          <w:tcPr>
            <w:tcW w:w="1240" w:type="dxa"/>
            <w:vAlign w:val="bottom"/>
          </w:tcPr>
          <w:p>
            <w:pPr>
              <w:jc w:val="right"/>
              <w:ind w:right="225"/>
              <w:spacing w:after="0"/>
              <w:rPr>
                <w:sz w:val="20"/>
                <w:szCs w:val="20"/>
                <w:color w:val="auto"/>
              </w:rPr>
            </w:pPr>
            <w:r>
              <w:rPr>
                <w:rFonts w:ascii="Arial" w:cs="Arial" w:eastAsia="Arial" w:hAnsi="Arial"/>
                <w:sz w:val="15"/>
                <w:szCs w:val="15"/>
                <w:color w:val="231F20"/>
              </w:rPr>
              <w:t>ȐƒƑǢƒƓƘȊ</w:t>
            </w:r>
          </w:p>
        </w:tc>
        <w:tc>
          <w:tcPr>
            <w:tcW w:w="920" w:type="dxa"/>
            <w:vAlign w:val="bottom"/>
          </w:tcPr>
          <w:p>
            <w:pPr>
              <w:jc w:val="right"/>
              <w:spacing w:after="0"/>
              <w:rPr>
                <w:sz w:val="20"/>
                <w:szCs w:val="20"/>
                <w:color w:val="auto"/>
              </w:rPr>
            </w:pPr>
            <w:r>
              <w:rPr>
                <w:rFonts w:ascii="Arial" w:cs="Arial" w:eastAsia="Arial" w:hAnsi="Arial"/>
                <w:sz w:val="15"/>
                <w:szCs w:val="15"/>
                <w:color w:val="231F20"/>
              </w:rPr>
              <w:t>ȐƒƑǢƗƕƖ</w:t>
            </w:r>
          </w:p>
        </w:tc>
      </w:tr>
      <w:tr>
        <w:trPr>
          <w:trHeight w:val="44"/>
        </w:trPr>
        <w:tc>
          <w:tcPr>
            <w:tcW w:w="4380" w:type="dxa"/>
            <w:vAlign w:val="bottom"/>
            <w:tcBorders>
              <w:bottom w:val="single" w:sz="8" w:color="5D5E60"/>
            </w:tcBorders>
          </w:tcPr>
          <w:p>
            <w:pPr>
              <w:spacing w:after="0"/>
              <w:rPr>
                <w:sz w:val="3"/>
                <w:szCs w:val="3"/>
                <w:color w:val="auto"/>
              </w:rPr>
            </w:pPr>
          </w:p>
        </w:tc>
        <w:tc>
          <w:tcPr>
            <w:tcW w:w="1520" w:type="dxa"/>
            <w:vAlign w:val="bottom"/>
            <w:tcBorders>
              <w:bottom w:val="single" w:sz="8" w:color="5D5E60"/>
            </w:tcBorders>
          </w:tcPr>
          <w:p>
            <w:pPr>
              <w:spacing w:after="0"/>
              <w:rPr>
                <w:sz w:val="3"/>
                <w:szCs w:val="3"/>
                <w:color w:val="auto"/>
              </w:rPr>
            </w:pPr>
          </w:p>
        </w:tc>
        <w:tc>
          <w:tcPr>
            <w:tcW w:w="114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1240" w:type="dxa"/>
            <w:vAlign w:val="bottom"/>
            <w:tcBorders>
              <w:bottom w:val="single" w:sz="8" w:color="5D5E60"/>
            </w:tcBorders>
          </w:tcPr>
          <w:p>
            <w:pPr>
              <w:spacing w:after="0"/>
              <w:rPr>
                <w:sz w:val="3"/>
                <w:szCs w:val="3"/>
                <w:color w:val="auto"/>
              </w:rPr>
            </w:pPr>
          </w:p>
        </w:tc>
        <w:tc>
          <w:tcPr>
            <w:tcW w:w="920" w:type="dxa"/>
            <w:vAlign w:val="bottom"/>
            <w:tcBorders>
              <w:bottom w:val="single" w:sz="8" w:color="5D5E60"/>
            </w:tcBorders>
          </w:tcPr>
          <w:p>
            <w:pPr>
              <w:spacing w:after="0"/>
              <w:rPr>
                <w:sz w:val="3"/>
                <w:szCs w:val="3"/>
                <w:color w:val="auto"/>
              </w:rPr>
            </w:pPr>
          </w:p>
        </w:tc>
      </w:tr>
      <w:tr>
        <w:trPr>
          <w:trHeight w:val="256"/>
        </w:trPr>
        <w:tc>
          <w:tcPr>
            <w:tcW w:w="4380" w:type="dxa"/>
            <w:vAlign w:val="bottom"/>
          </w:tcPr>
          <w:p>
            <w:pPr>
              <w:ind w:left="180"/>
              <w:spacing w:after="0"/>
              <w:rPr>
                <w:sz w:val="20"/>
                <w:szCs w:val="20"/>
                <w:color w:val="auto"/>
              </w:rPr>
            </w:pPr>
            <w:r>
              <w:rPr>
                <w:rFonts w:ascii="Arial" w:cs="Arial" w:eastAsia="Arial" w:hAnsi="Arial"/>
                <w:sz w:val="15"/>
                <w:szCs w:val="15"/>
                <w:b w:val="1"/>
                <w:bCs w:val="1"/>
                <w:color w:val="231F20"/>
              </w:rPr>
              <w:t>ADJUSTED EBITDA MARGIN</w:t>
            </w:r>
          </w:p>
        </w:tc>
        <w:tc>
          <w:tcPr>
            <w:tcW w:w="1520" w:type="dxa"/>
            <w:vAlign w:val="bottom"/>
          </w:tcPr>
          <w:p>
            <w:pPr>
              <w:jc w:val="right"/>
              <w:ind w:right="285"/>
              <w:spacing w:after="0"/>
              <w:rPr>
                <w:sz w:val="20"/>
                <w:szCs w:val="20"/>
                <w:color w:val="auto"/>
              </w:rPr>
            </w:pPr>
            <w:r>
              <w:rPr>
                <w:rFonts w:ascii="Arial" w:cs="Arial" w:eastAsia="Arial" w:hAnsi="Arial"/>
                <w:sz w:val="15"/>
                <w:szCs w:val="15"/>
                <w:b w:val="1"/>
                <w:bCs w:val="1"/>
                <w:color w:val="231F20"/>
              </w:rPr>
              <w:t>68%</w:t>
            </w:r>
          </w:p>
        </w:tc>
        <w:tc>
          <w:tcPr>
            <w:tcW w:w="1140" w:type="dxa"/>
            <w:vAlign w:val="bottom"/>
          </w:tcPr>
          <w:p>
            <w:pPr>
              <w:jc w:val="right"/>
              <w:ind w:right="225"/>
              <w:spacing w:after="0"/>
              <w:rPr>
                <w:sz w:val="20"/>
                <w:szCs w:val="20"/>
                <w:color w:val="auto"/>
              </w:rPr>
            </w:pPr>
            <w:r>
              <w:rPr>
                <w:rFonts w:ascii="Arial" w:cs="Arial" w:eastAsia="Arial" w:hAnsi="Arial"/>
                <w:sz w:val="15"/>
                <w:szCs w:val="15"/>
                <w:b w:val="1"/>
                <w:bCs w:val="1"/>
                <w:color w:val="231F20"/>
              </w:rPr>
              <w:t>66%</w:t>
            </w:r>
          </w:p>
        </w:tc>
        <w:tc>
          <w:tcPr>
            <w:tcW w:w="1220" w:type="dxa"/>
            <w:vAlign w:val="bottom"/>
          </w:tcPr>
          <w:p>
            <w:pPr>
              <w:jc w:val="right"/>
              <w:ind w:right="225"/>
              <w:spacing w:after="0"/>
              <w:rPr>
                <w:sz w:val="20"/>
                <w:szCs w:val="20"/>
                <w:color w:val="auto"/>
              </w:rPr>
            </w:pPr>
            <w:r>
              <w:rPr>
                <w:rFonts w:ascii="Arial" w:cs="Arial" w:eastAsia="Arial" w:hAnsi="Arial"/>
                <w:sz w:val="15"/>
                <w:szCs w:val="15"/>
                <w:b w:val="1"/>
                <w:bCs w:val="1"/>
                <w:color w:val="231F20"/>
              </w:rPr>
              <w:t>67%</w:t>
            </w:r>
          </w:p>
        </w:tc>
        <w:tc>
          <w:tcPr>
            <w:tcW w:w="1240" w:type="dxa"/>
            <w:vAlign w:val="bottom"/>
          </w:tcPr>
          <w:p>
            <w:pPr>
              <w:jc w:val="right"/>
              <w:ind w:right="265"/>
              <w:spacing w:after="0"/>
              <w:rPr>
                <w:sz w:val="20"/>
                <w:szCs w:val="20"/>
                <w:color w:val="auto"/>
              </w:rPr>
            </w:pPr>
            <w:r>
              <w:rPr>
                <w:rFonts w:ascii="Arial" w:cs="Arial" w:eastAsia="Arial" w:hAnsi="Arial"/>
                <w:sz w:val="15"/>
                <w:szCs w:val="15"/>
                <w:b w:val="1"/>
                <w:bCs w:val="1"/>
                <w:color w:val="231F20"/>
              </w:rPr>
              <w:t>67%</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231F20"/>
              </w:rPr>
              <w:t>67%</w:t>
            </w:r>
          </w:p>
        </w:tc>
      </w:tr>
      <w:tr>
        <w:trPr>
          <w:trHeight w:val="50"/>
        </w:trPr>
        <w:tc>
          <w:tcPr>
            <w:tcW w:w="4380" w:type="dxa"/>
            <w:vAlign w:val="bottom"/>
            <w:tcBorders>
              <w:bottom w:val="single" w:sz="8" w:color="5D5E60"/>
            </w:tcBorders>
          </w:tcPr>
          <w:p>
            <w:pPr>
              <w:spacing w:after="0"/>
              <w:rPr>
                <w:sz w:val="4"/>
                <w:szCs w:val="4"/>
                <w:color w:val="auto"/>
              </w:rPr>
            </w:pPr>
          </w:p>
        </w:tc>
        <w:tc>
          <w:tcPr>
            <w:tcW w:w="1520" w:type="dxa"/>
            <w:vAlign w:val="bottom"/>
            <w:tcBorders>
              <w:bottom w:val="single" w:sz="8" w:color="5D5E60"/>
            </w:tcBorders>
          </w:tcPr>
          <w:p>
            <w:pPr>
              <w:spacing w:after="0"/>
              <w:rPr>
                <w:sz w:val="4"/>
                <w:szCs w:val="4"/>
                <w:color w:val="auto"/>
              </w:rPr>
            </w:pPr>
          </w:p>
        </w:tc>
        <w:tc>
          <w:tcPr>
            <w:tcW w:w="1140" w:type="dxa"/>
            <w:vAlign w:val="bottom"/>
            <w:tcBorders>
              <w:bottom w:val="single" w:sz="8" w:color="5D5E60"/>
            </w:tcBorders>
          </w:tcPr>
          <w:p>
            <w:pPr>
              <w:spacing w:after="0"/>
              <w:rPr>
                <w:sz w:val="4"/>
                <w:szCs w:val="4"/>
                <w:color w:val="auto"/>
              </w:rPr>
            </w:pPr>
          </w:p>
        </w:tc>
        <w:tc>
          <w:tcPr>
            <w:tcW w:w="1220" w:type="dxa"/>
            <w:vAlign w:val="bottom"/>
            <w:tcBorders>
              <w:bottom w:val="single" w:sz="8" w:color="5D5E60"/>
            </w:tcBorders>
          </w:tcPr>
          <w:p>
            <w:pPr>
              <w:spacing w:after="0"/>
              <w:rPr>
                <w:sz w:val="4"/>
                <w:szCs w:val="4"/>
                <w:color w:val="auto"/>
              </w:rPr>
            </w:pPr>
          </w:p>
        </w:tc>
        <w:tc>
          <w:tcPr>
            <w:tcW w:w="1240" w:type="dxa"/>
            <w:vAlign w:val="bottom"/>
            <w:tcBorders>
              <w:bottom w:val="single" w:sz="8" w:color="5D5E60"/>
            </w:tcBorders>
          </w:tcPr>
          <w:p>
            <w:pPr>
              <w:spacing w:after="0"/>
              <w:rPr>
                <w:sz w:val="4"/>
                <w:szCs w:val="4"/>
                <w:color w:val="auto"/>
              </w:rPr>
            </w:pPr>
          </w:p>
        </w:tc>
        <w:tc>
          <w:tcPr>
            <w:tcW w:w="920" w:type="dxa"/>
            <w:vAlign w:val="bottom"/>
            <w:tcBorders>
              <w:bottom w:val="single" w:sz="8" w:color="5D5E6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-2647950</wp:posOffset>
            </wp:positionV>
            <wp:extent cx="659003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52">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-2445385</wp:posOffset>
            </wp:positionV>
            <wp:extent cx="659003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53">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-2242185</wp:posOffset>
            </wp:positionV>
            <wp:extent cx="659003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54">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-2038985</wp:posOffset>
            </wp:positionV>
            <wp:extent cx="659003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55">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-1836420</wp:posOffset>
            </wp:positionV>
            <wp:extent cx="659003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56">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-1633220</wp:posOffset>
            </wp:positionV>
            <wp:extent cx="659003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57">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-1430020</wp:posOffset>
            </wp:positionV>
            <wp:extent cx="659003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58">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-1226820</wp:posOffset>
            </wp:positionV>
            <wp:extent cx="659003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59">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-821055</wp:posOffset>
            </wp:positionV>
            <wp:extent cx="659003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60">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-1024255</wp:posOffset>
            </wp:positionV>
            <wp:extent cx="659003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61">
                      <a:extLst>
                        <a:ext uri="{28A0092B-C50C-407E-A947-70E740481C1C}"/>
                      </a:extLst>
                    </a:blip>
                    <a:srcRect/>
                    <a:stretch>
                      <a:fillRect/>
                    </a:stretch>
                  </pic:blipFill>
                  <pic:spPr bwMode="auto">
                    <a:xfrm>
                      <a:off x="0" y="0"/>
                      <a:ext cx="6590030" cy="5715"/>
                    </a:xfrm>
                    <a:prstGeom prst="rect">
                      <a:avLst/>
                    </a:prstGeom>
                    <a:noFill/>
                  </pic:spPr>
                </pic:pic>
              </a:graphicData>
            </a:graphic>
          </wp:anchor>
        </w:drawing>
      </w:r>
    </w:p>
    <w:p>
      <w:pPr>
        <w:sectPr>
          <w:pgSz w:w="11880" w:h="15480" w:orient="portrait"/>
          <w:cols w:equalWidth="0" w:num="1">
            <w:col w:w="10460"/>
          </w:cols>
          <w:pgMar w:left="720" w:top="658" w:right="700" w:bottom="1440" w:gutter="0" w:footer="0" w:header="0"/>
        </w:sectPr>
      </w:pPr>
    </w:p>
    <w:bookmarkStart w:id="151" w:name="page152"/>
    <w:bookmarkEnd w:id="151"/>
    <w:p>
      <w:pPr>
        <w:spacing w:after="0" w:line="388" w:lineRule="exact"/>
        <w:rPr>
          <w:sz w:val="20"/>
          <w:szCs w:val="20"/>
          <w:color w:val="auto"/>
        </w:rPr>
      </w:pPr>
      <w:r>
        <w:rPr>
          <w:rFonts w:ascii="PMingLiU" w:cs="PMingLiU" w:eastAsia="PMingLiU" w:hAnsi="PMingLiU"/>
          <w:sz w:val="32"/>
          <w:szCs w:val="32"/>
          <w:color w:val="95979A"/>
        </w:rPr>
        <w:t/>
      </w:r>
      <w:r>
        <w:rPr>
          <w:rFonts w:ascii="Arial" w:cs="Arial" w:eastAsia="Arial" w:hAnsi="Arial"/>
          <w:sz w:val="32"/>
          <w:szCs w:val="32"/>
          <w:color w:val="95979A"/>
        </w:rPr>
        <w:t>ĤêŋĉßÃĥȊ</w:t>
      </w:r>
      <w:r>
        <w:rPr>
          <w:rFonts w:ascii="PMingLiU" w:cs="PMingLiU" w:eastAsia="PMingLiU" w:hAnsi="PMingLiU"/>
          <w:sz w:val="32"/>
          <w:szCs w:val="32"/>
          <w:color w:val="95979A"/>
        </w:rPr>
        <w:t></w:t>
      </w:r>
      <w:r>
        <w:rPr>
          <w:rFonts w:ascii="Arial" w:cs="Arial" w:eastAsia="Arial" w:hAnsi="Arial"/>
          <w:sz w:val="32"/>
          <w:szCs w:val="32"/>
          <w:color w:val="95979A"/>
        </w:rPr>
        <w:t>ĬŷêŋȊ</w:t>
      </w:r>
      <w:r>
        <w:rPr>
          <w:rFonts w:ascii="PMingLiU" w:cs="PMingLiU" w:eastAsia="PMingLiU" w:hAnsi="PMingLiU"/>
          <w:sz w:val="32"/>
          <w:szCs w:val="32"/>
          <w:color w:val="95979A"/>
        </w:rPr>
        <w:t/>
      </w:r>
      <w:r>
        <w:rPr>
          <w:rFonts w:ascii="Arial" w:cs="Arial" w:eastAsia="Arial" w:hAnsi="Arial"/>
          <w:sz w:val="32"/>
          <w:szCs w:val="32"/>
          <w:color w:val="95979A"/>
        </w:rPr>
        <w:t>ĬŋňĬŋÃŚĉĬĥȊ</w:t>
      </w:r>
      <w:r>
        <w:rPr>
          <w:rFonts w:ascii="Arial" w:cs="Arial" w:eastAsia="Arial" w:hAnsi="Arial"/>
          <w:sz w:val="16"/>
          <w:szCs w:val="16"/>
          <w:color w:val="95979A"/>
        </w:rPr>
        <w:t>•</w:t>
      </w:r>
      <w:r>
        <w:rPr>
          <w:rFonts w:ascii="Arial" w:cs="Arial" w:eastAsia="Arial" w:hAnsi="Arial"/>
          <w:sz w:val="32"/>
          <w:szCs w:val="32"/>
          <w:color w:val="95979A"/>
        </w:rPr>
        <w:t>ȊƓƑƓƖȊ</w:t>
      </w:r>
      <w:r>
        <w:rPr>
          <w:rFonts w:ascii="PMingLiU" w:cs="PMingLiU" w:eastAsia="PMingLiU" w:hAnsi="PMingLiU"/>
          <w:sz w:val="32"/>
          <w:szCs w:val="32"/>
          <w:color w:val="95979A"/>
        </w:rPr>
        <w:t/>
      </w:r>
      <w:r>
        <w:rPr>
          <w:rFonts w:ascii="Arial" w:cs="Arial" w:eastAsia="Arial" w:hAnsi="Arial"/>
          <w:sz w:val="32"/>
          <w:szCs w:val="32"/>
          <w:color w:val="95979A"/>
        </w:rPr>
        <w:t>ĥĥŠÃĞȊ</w:t>
      </w:r>
      <w:r>
        <w:rPr>
          <w:rFonts w:ascii="PMingLiU" w:cs="PMingLiU" w:eastAsia="PMingLiU" w:hAnsi="PMingLiU"/>
          <w:sz w:val="32"/>
          <w:szCs w:val="32"/>
          <w:color w:val="95979A"/>
        </w:rPr>
        <w:t></w:t>
      </w:r>
      <w:r>
        <w:rPr>
          <w:rFonts w:ascii="Arial" w:cs="Arial" w:eastAsia="Arial" w:hAnsi="Arial"/>
          <w:sz w:val="32"/>
          <w:szCs w:val="32"/>
          <w:color w:val="95979A"/>
        </w:rPr>
        <w:t>êňĬŋŚ</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2"/>
          <w:szCs w:val="22"/>
          <w:color w:val="231F20"/>
        </w:rPr>
        <w:t>Appendix 1 • Letter to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283845</wp:posOffset>
                </wp:positionV>
                <wp:extent cx="6629400" cy="28829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288290"/>
                        </a:xfrm>
                        <a:prstGeom prst="rect">
                          <a:avLst/>
                        </a:prstGeom>
                        <a:solidFill>
                          <a:srgbClr val="E6E7E8"/>
                        </a:solidFill>
                      </wps:spPr>
                      <wps:bodyPr/>
                    </wps:wsp>
                  </a:graphicData>
                </a:graphic>
              </wp:anchor>
            </w:drawing>
          </mc:Choice>
          <mc:Fallback>
            <w:pict>
              <v:rect id="Shape 418" o:spid="_x0000_s1443" style="position:absolute;margin-left:0.05pt;margin-top:22.35pt;width:522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231F20"/>
        </w:rPr>
        <w:t>AFFO RECONCILIATION</w:t>
      </w:r>
      <w:r>
        <w:rPr>
          <w:rFonts w:ascii="Arial" w:cs="Arial" w:eastAsia="Arial" w:hAnsi="Arial"/>
          <w:sz w:val="10"/>
          <w:szCs w:val="10"/>
          <w:b w:val="1"/>
          <w:bCs w:val="1"/>
          <w:color w:val="231F20"/>
        </w:rPr>
        <w:t>1</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 in millions, except per share data. Totals may not add due to rounding.)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060" w:type="dxa"/>
            <w:vAlign w:val="bottom"/>
          </w:tcPr>
          <w:p>
            <w:pPr>
              <w:jc w:val="right"/>
              <w:ind w:right="285"/>
              <w:spacing w:after="0"/>
              <w:rPr>
                <w:sz w:val="20"/>
                <w:szCs w:val="20"/>
                <w:color w:val="auto"/>
              </w:rPr>
            </w:pPr>
            <w:r>
              <w:rPr>
                <w:rFonts w:ascii="Arial" w:cs="Arial" w:eastAsia="Arial" w:hAnsi="Arial"/>
                <w:sz w:val="15"/>
                <w:szCs w:val="15"/>
                <w:b w:val="1"/>
                <w:bCs w:val="1"/>
                <w:color w:val="231F20"/>
              </w:rPr>
              <w:t>2021</w:t>
            </w:r>
          </w:p>
        </w:tc>
        <w:tc>
          <w:tcPr>
            <w:tcW w:w="1200" w:type="dxa"/>
            <w:vAlign w:val="bottom"/>
          </w:tcPr>
          <w:p>
            <w:pPr>
              <w:jc w:val="right"/>
              <w:ind w:right="285"/>
              <w:spacing w:after="0"/>
              <w:rPr>
                <w:sz w:val="20"/>
                <w:szCs w:val="20"/>
                <w:color w:val="auto"/>
              </w:rPr>
            </w:pPr>
            <w:r>
              <w:rPr>
                <w:rFonts w:ascii="Arial" w:cs="Arial" w:eastAsia="Arial" w:hAnsi="Arial"/>
                <w:sz w:val="15"/>
                <w:szCs w:val="15"/>
                <w:b w:val="1"/>
                <w:bCs w:val="1"/>
                <w:color w:val="231F20"/>
              </w:rPr>
              <w:t>2022</w:t>
            </w:r>
          </w:p>
        </w:tc>
        <w:tc>
          <w:tcPr>
            <w:tcW w:w="1220" w:type="dxa"/>
            <w:vAlign w:val="bottom"/>
          </w:tcPr>
          <w:p>
            <w:pPr>
              <w:jc w:val="right"/>
              <w:ind w:right="285"/>
              <w:spacing w:after="0"/>
              <w:rPr>
                <w:sz w:val="20"/>
                <w:szCs w:val="20"/>
                <w:color w:val="auto"/>
              </w:rPr>
            </w:pPr>
            <w:r>
              <w:rPr>
                <w:rFonts w:ascii="Arial" w:cs="Arial" w:eastAsia="Arial" w:hAnsi="Arial"/>
                <w:sz w:val="15"/>
                <w:szCs w:val="15"/>
                <w:b w:val="1"/>
                <w:bCs w:val="1"/>
                <w:color w:val="231F20"/>
              </w:rPr>
              <w:t>2023</w:t>
            </w:r>
            <w:r>
              <w:rPr>
                <w:rFonts w:ascii="Arial" w:cs="Arial" w:eastAsia="Arial" w:hAnsi="Arial"/>
                <w:sz w:val="8"/>
                <w:szCs w:val="8"/>
                <w:b w:val="1"/>
                <w:bCs w:val="1"/>
                <w:color w:val="231F20"/>
              </w:rPr>
              <w:t>2</w:t>
            </w:r>
          </w:p>
        </w:tc>
        <w:tc>
          <w:tcPr>
            <w:tcW w:w="1220" w:type="dxa"/>
            <w:vAlign w:val="bottom"/>
          </w:tcPr>
          <w:p>
            <w:pPr>
              <w:jc w:val="right"/>
              <w:ind w:right="265"/>
              <w:spacing w:after="0"/>
              <w:rPr>
                <w:sz w:val="20"/>
                <w:szCs w:val="20"/>
                <w:color w:val="auto"/>
              </w:rPr>
            </w:pPr>
            <w:r>
              <w:rPr>
                <w:rFonts w:ascii="Arial" w:cs="Arial" w:eastAsia="Arial" w:hAnsi="Arial"/>
                <w:sz w:val="15"/>
                <w:szCs w:val="15"/>
                <w:b w:val="1"/>
                <w:bCs w:val="1"/>
                <w:color w:val="231F20"/>
              </w:rPr>
              <w:t>2024</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231F20"/>
              </w:rPr>
              <w:t>2025</w:t>
            </w:r>
          </w:p>
        </w:tc>
      </w:tr>
      <w:tr>
        <w:trPr>
          <w:trHeight w:val="48"/>
        </w:trPr>
        <w:tc>
          <w:tcPr>
            <w:tcW w:w="4840" w:type="dxa"/>
            <w:vAlign w:val="bottom"/>
            <w:tcBorders>
              <w:bottom w:val="single" w:sz="8" w:color="5D5E60"/>
            </w:tcBorders>
          </w:tcPr>
          <w:p>
            <w:pPr>
              <w:spacing w:after="0"/>
              <w:rPr>
                <w:sz w:val="4"/>
                <w:szCs w:val="4"/>
                <w:color w:val="auto"/>
              </w:rPr>
            </w:pPr>
          </w:p>
        </w:tc>
        <w:tc>
          <w:tcPr>
            <w:tcW w:w="1060" w:type="dxa"/>
            <w:vAlign w:val="bottom"/>
            <w:tcBorders>
              <w:bottom w:val="single" w:sz="8" w:color="5D5E60"/>
            </w:tcBorders>
          </w:tcPr>
          <w:p>
            <w:pPr>
              <w:spacing w:after="0"/>
              <w:rPr>
                <w:sz w:val="4"/>
                <w:szCs w:val="4"/>
                <w:color w:val="auto"/>
              </w:rPr>
            </w:pPr>
          </w:p>
        </w:tc>
        <w:tc>
          <w:tcPr>
            <w:tcW w:w="1200" w:type="dxa"/>
            <w:vAlign w:val="bottom"/>
            <w:tcBorders>
              <w:bottom w:val="single" w:sz="8" w:color="5D5E60"/>
            </w:tcBorders>
          </w:tcPr>
          <w:p>
            <w:pPr>
              <w:spacing w:after="0"/>
              <w:rPr>
                <w:sz w:val="4"/>
                <w:szCs w:val="4"/>
                <w:color w:val="auto"/>
              </w:rPr>
            </w:pPr>
          </w:p>
        </w:tc>
        <w:tc>
          <w:tcPr>
            <w:tcW w:w="1220" w:type="dxa"/>
            <w:vAlign w:val="bottom"/>
            <w:tcBorders>
              <w:bottom w:val="single" w:sz="8" w:color="5D5E60"/>
            </w:tcBorders>
          </w:tcPr>
          <w:p>
            <w:pPr>
              <w:spacing w:after="0"/>
              <w:rPr>
                <w:sz w:val="4"/>
                <w:szCs w:val="4"/>
                <w:color w:val="auto"/>
              </w:rPr>
            </w:pPr>
          </w:p>
        </w:tc>
        <w:tc>
          <w:tcPr>
            <w:tcW w:w="1220" w:type="dxa"/>
            <w:vAlign w:val="bottom"/>
            <w:tcBorders>
              <w:bottom w:val="single" w:sz="8" w:color="5D5E60"/>
            </w:tcBorders>
          </w:tcPr>
          <w:p>
            <w:pPr>
              <w:spacing w:after="0"/>
              <w:rPr>
                <w:sz w:val="4"/>
                <w:szCs w:val="4"/>
                <w:color w:val="auto"/>
              </w:rPr>
            </w:pPr>
          </w:p>
        </w:tc>
        <w:tc>
          <w:tcPr>
            <w:tcW w:w="880" w:type="dxa"/>
            <w:vAlign w:val="bottom"/>
            <w:tcBorders>
              <w:bottom w:val="single" w:sz="8" w:color="5D5E60"/>
            </w:tcBorders>
          </w:tcPr>
          <w:p>
            <w:pPr>
              <w:spacing w:after="0"/>
              <w:rPr>
                <w:sz w:val="4"/>
                <w:szCs w:val="4"/>
                <w:color w:val="auto"/>
              </w:rPr>
            </w:pPr>
          </w:p>
        </w:tc>
      </w:tr>
      <w:tr>
        <w:trPr>
          <w:trHeight w:val="250"/>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åĘŠŒŚêåȊ(</w:t>
            </w:r>
            <w:r>
              <w:rPr>
                <w:rFonts w:ascii="PMingLiU" w:cs="PMingLiU" w:eastAsia="PMingLiU" w:hAnsi="PMingLiU"/>
                <w:sz w:val="15"/>
                <w:szCs w:val="15"/>
                <w:color w:val="231F20"/>
              </w:rPr>
              <w:t/>
            </w:r>
            <w:r>
              <w:rPr>
                <w:rFonts w:ascii="Arial" w:cs="Arial" w:eastAsia="Arial" w:hAnsi="Arial"/>
                <w:sz w:val="15"/>
                <w:szCs w:val="15"/>
                <w:color w:val="231F20"/>
              </w:rPr>
              <w:t>F</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ȐƖǢƖƘƙȊ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ȐƗǢƔƔƗȊ</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ȐƗǢƗƙƙȊ</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ȐƗǢƙƒƓȊ</w:t>
            </w:r>
          </w:p>
        </w:tc>
        <w:tc>
          <w:tcPr>
            <w:tcW w:w="880" w:type="dxa"/>
            <w:vAlign w:val="bottom"/>
          </w:tcPr>
          <w:p>
            <w:pPr>
              <w:jc w:val="right"/>
              <w:spacing w:after="0"/>
              <w:rPr>
                <w:sz w:val="20"/>
                <w:szCs w:val="20"/>
                <w:color w:val="auto"/>
              </w:rPr>
            </w:pPr>
            <w:r>
              <w:rPr>
                <w:rFonts w:ascii="Arial" w:cs="Arial" w:eastAsia="Arial" w:hAnsi="Arial"/>
                <w:sz w:val="15"/>
                <w:szCs w:val="15"/>
                <w:color w:val="231F20"/>
              </w:rPr>
              <w:t>ȐƘǢƒƔƑ</w:t>
            </w:r>
          </w:p>
        </w:tc>
      </w:tr>
      <w:tr>
        <w:trPr>
          <w:trHeight w:val="322"/>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w:t>
            </w:r>
            <w:r>
              <w:rPr>
                <w:rFonts w:ascii="Arial" w:cs="Arial" w:eastAsia="Arial" w:hAnsi="Arial"/>
                <w:sz w:val="15"/>
                <w:szCs w:val="15"/>
                <w:color w:val="231F20"/>
              </w:rPr>
              <w:t>ŚŋÃĉĀąŚǸĞĉĥêȊŋêŶêĥŠê</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ǲƕƗƑǳ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ǲƖƑƚǳ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ǲƕƗƖǳ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ǲƓƘƙǳ</w:t>
            </w:r>
          </w:p>
        </w:tc>
        <w:tc>
          <w:tcPr>
            <w:tcW w:w="880" w:type="dxa"/>
            <w:vAlign w:val="bottom"/>
          </w:tcPr>
          <w:p>
            <w:pPr>
              <w:jc w:val="right"/>
              <w:spacing w:after="0"/>
              <w:rPr>
                <w:sz w:val="20"/>
                <w:szCs w:val="20"/>
                <w:color w:val="auto"/>
              </w:rPr>
            </w:pPr>
            <w:r>
              <w:rPr>
                <w:rFonts w:ascii="Arial" w:cs="Arial" w:eastAsia="Arial" w:hAnsi="Arial"/>
                <w:sz w:val="15"/>
                <w:szCs w:val="15"/>
                <w:color w:val="231F20"/>
              </w:rPr>
              <w:t>ǲƒƑƒǳ</w:t>
            </w:r>
          </w:p>
        </w:tc>
      </w:tr>
      <w:tr>
        <w:trPr>
          <w:trHeight w:val="320"/>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w:t>
            </w:r>
            <w:r>
              <w:rPr>
                <w:rFonts w:ascii="Arial" w:cs="Arial" w:eastAsia="Arial" w:hAnsi="Arial"/>
                <w:sz w:val="15"/>
                <w:szCs w:val="15"/>
                <w:color w:val="231F20"/>
              </w:rPr>
              <w:t>ŚŋÃĉĀąŚǸĞĉĥêȊêżňêĥŒê</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ƕƙȊ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ƔƕȊ</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ƓƕȊ</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ƕƘȊ</w:t>
            </w:r>
          </w:p>
        </w:tc>
        <w:tc>
          <w:tcPr>
            <w:tcW w:w="880" w:type="dxa"/>
            <w:vAlign w:val="bottom"/>
          </w:tcPr>
          <w:p>
            <w:pPr>
              <w:jc w:val="right"/>
              <w:spacing w:after="0"/>
              <w:rPr>
                <w:sz w:val="20"/>
                <w:szCs w:val="20"/>
                <w:color w:val="auto"/>
              </w:rPr>
            </w:pPr>
            <w:r>
              <w:rPr>
                <w:rFonts w:ascii="Arial" w:cs="Arial" w:eastAsia="Arial" w:hAnsi="Arial"/>
                <w:sz w:val="15"/>
                <w:szCs w:val="15"/>
                <w:color w:val="231F20"/>
              </w:rPr>
              <w:t>ƔƗ</w:t>
            </w:r>
          </w:p>
        </w:tc>
      </w:tr>
      <w:tr>
        <w:trPr>
          <w:trHeight w:val="320"/>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ÃŒąȊĉĥŚêŋêŒŚ</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ǲƙƔƒǳ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ǲƒǢƑƙƚǳ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ǲƒǢƔƔƙǳ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ǲƒǢƔƖƑǳ</w:t>
            </w:r>
          </w:p>
        </w:tc>
        <w:tc>
          <w:tcPr>
            <w:tcW w:w="880" w:type="dxa"/>
            <w:vAlign w:val="bottom"/>
          </w:tcPr>
          <w:p>
            <w:pPr>
              <w:jc w:val="right"/>
              <w:spacing w:after="0"/>
              <w:rPr>
                <w:sz w:val="20"/>
                <w:szCs w:val="20"/>
                <w:color w:val="auto"/>
              </w:rPr>
            </w:pPr>
            <w:r>
              <w:rPr>
                <w:rFonts w:ascii="Arial" w:cs="Arial" w:eastAsia="Arial" w:hAnsi="Arial"/>
                <w:sz w:val="15"/>
                <w:szCs w:val="15"/>
                <w:color w:val="231F20"/>
              </w:rPr>
              <w:t>ǲƒǢƔƑƖǳ</w:t>
            </w:r>
          </w:p>
        </w:tc>
      </w:tr>
      <w:tr>
        <w:trPr>
          <w:trHeight w:val="320"/>
        </w:trPr>
        <w:tc>
          <w:tcPr>
            <w:tcW w:w="4840" w:type="dxa"/>
            <w:vAlign w:val="bottom"/>
          </w:tcPr>
          <w:p>
            <w:pPr>
              <w:ind w:left="180"/>
              <w:spacing w:after="0"/>
              <w:rPr>
                <w:sz w:val="20"/>
                <w:szCs w:val="20"/>
                <w:color w:val="auto"/>
              </w:rPr>
            </w:pPr>
            <w:r>
              <w:rPr>
                <w:rFonts w:ascii="Arial" w:cs="Arial" w:eastAsia="Arial" w:hAnsi="Arial"/>
                <w:sz w:val="15"/>
                <w:szCs w:val="15"/>
                <w:color w:val="231F20"/>
              </w:rPr>
              <w:t>FĥŚêŋêŒŚȊFĥßĬĤê</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20</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ƕƚȊ</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ƒƒƚȊ</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135</w:t>
            </w:r>
          </w:p>
        </w:tc>
        <w:tc>
          <w:tcPr>
            <w:tcW w:w="880" w:type="dxa"/>
            <w:vAlign w:val="bottom"/>
          </w:tcPr>
          <w:p>
            <w:pPr>
              <w:jc w:val="right"/>
              <w:spacing w:after="0"/>
              <w:rPr>
                <w:sz w:val="20"/>
                <w:szCs w:val="20"/>
                <w:color w:val="auto"/>
              </w:rPr>
            </w:pPr>
            <w:r>
              <w:rPr>
                <w:rFonts w:ascii="Arial" w:cs="Arial" w:eastAsia="Arial" w:hAnsi="Arial"/>
                <w:sz w:val="15"/>
                <w:szCs w:val="15"/>
                <w:color w:val="231F20"/>
              </w:rPr>
              <w:t>ƒƔƕ</w:t>
            </w:r>
          </w:p>
        </w:tc>
      </w:tr>
      <w:tr>
        <w:trPr>
          <w:trHeight w:val="318"/>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ÃŒąȊňÃĉåȊÿĬŋȊĉĥßĬĤêȊŚÃżêŒ</w:t>
            </w:r>
            <w:r>
              <w:rPr>
                <w:rFonts w:ascii="Arial" w:cs="Arial" w:eastAsia="Arial" w:hAnsi="Arial"/>
                <w:sz w:val="8"/>
                <w:szCs w:val="8"/>
                <w:color w:val="231F20"/>
              </w:rPr>
              <w:t>ƔǢƕ</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ǲƓƓƘǳ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ǲƓƗƑǳ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ǲƓƖƔǳ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ǲƓƘƙǳ</w:t>
            </w:r>
          </w:p>
        </w:tc>
        <w:tc>
          <w:tcPr>
            <w:tcW w:w="880" w:type="dxa"/>
            <w:vAlign w:val="bottom"/>
          </w:tcPr>
          <w:p>
            <w:pPr>
              <w:jc w:val="right"/>
              <w:spacing w:after="0"/>
              <w:rPr>
                <w:sz w:val="20"/>
                <w:szCs w:val="20"/>
                <w:color w:val="auto"/>
              </w:rPr>
            </w:pPr>
            <w:r>
              <w:rPr>
                <w:rFonts w:ascii="Arial" w:cs="Arial" w:eastAsia="Arial" w:hAnsi="Arial"/>
                <w:sz w:val="15"/>
                <w:szCs w:val="15"/>
                <w:color w:val="231F20"/>
              </w:rPr>
              <w:t>ǲƓƗƗǳ</w:t>
            </w:r>
          </w:p>
        </w:tc>
      </w:tr>
      <w:tr>
        <w:trPr>
          <w:trHeight w:val="321"/>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ÃňĉŚÃĞȊĉĤňŋĬŶêĤêĥŚŒȊßÃňĉŚÃĞȊêżňêĥåĉŚŠŋêŒ</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ǲƒƖƑǳ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ǲƒƗƖǳ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ǲƒƙƘǳ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ǲƒƖƘǳ</w:t>
            </w:r>
          </w:p>
        </w:tc>
        <w:tc>
          <w:tcPr>
            <w:tcW w:w="880" w:type="dxa"/>
            <w:vAlign w:val="bottom"/>
          </w:tcPr>
          <w:p>
            <w:pPr>
              <w:jc w:val="right"/>
              <w:spacing w:after="0"/>
              <w:rPr>
                <w:sz w:val="20"/>
                <w:szCs w:val="20"/>
                <w:color w:val="auto"/>
              </w:rPr>
            </w:pPr>
            <w:r>
              <w:rPr>
                <w:rFonts w:ascii="Arial" w:cs="Arial" w:eastAsia="Arial" w:hAnsi="Arial"/>
                <w:sz w:val="15"/>
                <w:szCs w:val="15"/>
                <w:color w:val="231F20"/>
              </w:rPr>
              <w:t>ǲƒƙƖǳ</w:t>
            </w:r>
          </w:p>
        </w:tc>
      </w:tr>
      <w:tr>
        <w:trPr>
          <w:trHeight w:val="321"/>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ĬŋňĬŋÃŚêȊßÃňĉŚÃĞȊêżňêĥåĉŚŠŋêŒ</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ǲƙǳ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ǲƚǳ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ǲƒƗǳ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ǲƒƕǳ</w:t>
            </w:r>
          </w:p>
        </w:tc>
        <w:tc>
          <w:tcPr>
            <w:tcW w:w="880" w:type="dxa"/>
            <w:vAlign w:val="bottom"/>
          </w:tcPr>
          <w:p>
            <w:pPr>
              <w:jc w:val="right"/>
              <w:spacing w:after="0"/>
              <w:rPr>
                <w:sz w:val="20"/>
                <w:szCs w:val="20"/>
                <w:color w:val="auto"/>
              </w:rPr>
            </w:pPr>
            <w:r>
              <w:rPr>
                <w:rFonts w:ascii="Arial" w:cs="Arial" w:eastAsia="Arial" w:hAnsi="Arial"/>
                <w:sz w:val="15"/>
                <w:szCs w:val="15"/>
                <w:color w:val="231F20"/>
              </w:rPr>
              <w:t>ǲƒƑǳ</w:t>
            </w:r>
          </w:p>
        </w:tc>
      </w:tr>
      <w:tr>
        <w:trPr>
          <w:trHeight w:val="320"/>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w w:val="97"/>
              </w:rPr>
              <w:t/>
            </w:r>
            <w:r>
              <w:rPr>
                <w:rFonts w:ascii="Arial" w:cs="Arial" w:eastAsia="Arial" w:hAnsi="Arial"/>
                <w:sz w:val="15"/>
                <w:szCs w:val="15"/>
                <w:color w:val="231F20"/>
                <w:w w:val="97"/>
              </w:rPr>
              <w:t>åĘŠŒŚĤêĥŚŒȊÃĥåȊåĉŶĉåêĥåŒȊÿĬŋȊĥĬĥßĬĥŚŋĬĞĞĉĥĀȊĉĥŚêŋêŒŚŒ</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ǲƘƕǳ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ǲƒƚƑǳ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ǲƔƑƖǳ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ǲƔƕƙǳ</w:t>
            </w:r>
          </w:p>
        </w:tc>
        <w:tc>
          <w:tcPr>
            <w:tcW w:w="880" w:type="dxa"/>
            <w:vAlign w:val="bottom"/>
          </w:tcPr>
          <w:p>
            <w:pPr>
              <w:jc w:val="right"/>
              <w:spacing w:after="0"/>
              <w:rPr>
                <w:sz w:val="20"/>
                <w:szCs w:val="20"/>
                <w:color w:val="auto"/>
              </w:rPr>
            </w:pPr>
            <w:r>
              <w:rPr>
                <w:rFonts w:ascii="Arial" w:cs="Arial" w:eastAsia="Arial" w:hAnsi="Arial"/>
                <w:sz w:val="15"/>
                <w:szCs w:val="15"/>
                <w:color w:val="231F20"/>
              </w:rPr>
              <w:t>ǲƔƚƒǳ</w:t>
            </w:r>
          </w:p>
        </w:tc>
      </w:tr>
      <w:tr>
        <w:trPr>
          <w:trHeight w:val="320"/>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åĘŠŒŚĤêĥŚŒȊÿĬŋȊåĉŒßĬĥŚĉĥŠêåȊĬňêŋÃŚĉĬĥŒ</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ƔƙƑȊ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ƔƒƙȊ</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ƔƕƖȊ</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ƔƗƖȊ</w:t>
            </w:r>
          </w:p>
        </w:tc>
        <w:tc>
          <w:tcPr>
            <w:tcW w:w="880" w:type="dxa"/>
            <w:vAlign w:val="bottom"/>
          </w:tcPr>
          <w:p>
            <w:pPr>
              <w:jc w:val="right"/>
              <w:spacing w:after="0"/>
              <w:rPr>
                <w:sz w:val="20"/>
                <w:szCs w:val="20"/>
                <w:color w:val="auto"/>
              </w:rPr>
            </w:pPr>
            <w:r>
              <w:rPr>
                <w:rFonts w:ascii="Arial" w:cs="Arial" w:eastAsia="Arial" w:hAnsi="Arial"/>
                <w:sz w:val="15"/>
                <w:szCs w:val="15"/>
                <w:color w:val="231F20"/>
              </w:rPr>
              <w:t>Ǹ</w:t>
            </w:r>
          </w:p>
        </w:tc>
      </w:tr>
      <w:tr>
        <w:trPr>
          <w:trHeight w:val="45"/>
        </w:trPr>
        <w:tc>
          <w:tcPr>
            <w:tcW w:w="4840" w:type="dxa"/>
            <w:vAlign w:val="bottom"/>
            <w:tcBorders>
              <w:bottom w:val="single" w:sz="8" w:color="5D5E60"/>
            </w:tcBorders>
          </w:tcPr>
          <w:p>
            <w:pPr>
              <w:spacing w:after="0"/>
              <w:rPr>
                <w:sz w:val="3"/>
                <w:szCs w:val="3"/>
                <w:color w:val="auto"/>
              </w:rPr>
            </w:pPr>
          </w:p>
        </w:tc>
        <w:tc>
          <w:tcPr>
            <w:tcW w:w="1060" w:type="dxa"/>
            <w:vAlign w:val="bottom"/>
            <w:tcBorders>
              <w:bottom w:val="single" w:sz="8" w:color="5D5E60"/>
            </w:tcBorders>
          </w:tcPr>
          <w:p>
            <w:pPr>
              <w:spacing w:after="0"/>
              <w:rPr>
                <w:sz w:val="3"/>
                <w:szCs w:val="3"/>
                <w:color w:val="auto"/>
              </w:rPr>
            </w:pPr>
          </w:p>
        </w:tc>
        <w:tc>
          <w:tcPr>
            <w:tcW w:w="120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880" w:type="dxa"/>
            <w:vAlign w:val="bottom"/>
            <w:tcBorders>
              <w:bottom w:val="single" w:sz="8" w:color="5D5E60"/>
            </w:tcBorders>
          </w:tcPr>
          <w:p>
            <w:pPr>
              <w:spacing w:after="0"/>
              <w:rPr>
                <w:sz w:val="3"/>
                <w:szCs w:val="3"/>
                <w:color w:val="auto"/>
              </w:rPr>
            </w:pPr>
          </w:p>
        </w:tc>
      </w:tr>
      <w:tr>
        <w:trPr>
          <w:trHeight w:val="255"/>
        </w:trPr>
        <w:tc>
          <w:tcPr>
            <w:tcW w:w="4840" w:type="dxa"/>
            <w:vAlign w:val="bottom"/>
          </w:tcPr>
          <w:p>
            <w:pPr>
              <w:ind w:left="180"/>
              <w:spacing w:after="0"/>
              <w:rPr>
                <w:sz w:val="20"/>
                <w:szCs w:val="20"/>
                <w:color w:val="auto"/>
              </w:rPr>
            </w:pPr>
            <w:r>
              <w:rPr>
                <w:rFonts w:ascii="Arial" w:cs="Arial" w:eastAsia="Arial" w:hAnsi="Arial"/>
                <w:sz w:val="15"/>
                <w:szCs w:val="15"/>
                <w:b w:val="1"/>
                <w:bCs w:val="1"/>
                <w:color w:val="231F20"/>
              </w:rPr>
              <w:t>AFFO Attributable to Common Stockholders</w:t>
            </w:r>
          </w:p>
        </w:tc>
        <w:tc>
          <w:tcPr>
            <w:tcW w:w="1060" w:type="dxa"/>
            <w:vAlign w:val="bottom"/>
          </w:tcPr>
          <w:p>
            <w:pPr>
              <w:jc w:val="right"/>
              <w:ind w:right="285"/>
              <w:spacing w:after="0"/>
              <w:rPr>
                <w:sz w:val="20"/>
                <w:szCs w:val="20"/>
                <w:color w:val="auto"/>
              </w:rPr>
            </w:pPr>
            <w:r>
              <w:rPr>
                <w:rFonts w:ascii="Arial" w:cs="Arial" w:eastAsia="Arial" w:hAnsi="Arial"/>
                <w:sz w:val="15"/>
                <w:szCs w:val="15"/>
                <w:b w:val="1"/>
                <w:bCs w:val="1"/>
                <w:color w:val="231F20"/>
              </w:rPr>
              <w:t>$4,277</w:t>
            </w:r>
          </w:p>
        </w:tc>
        <w:tc>
          <w:tcPr>
            <w:tcW w:w="1200" w:type="dxa"/>
            <w:vAlign w:val="bottom"/>
          </w:tcPr>
          <w:p>
            <w:pPr>
              <w:jc w:val="right"/>
              <w:ind w:right="285"/>
              <w:spacing w:after="0"/>
              <w:rPr>
                <w:sz w:val="20"/>
                <w:szCs w:val="20"/>
                <w:color w:val="auto"/>
              </w:rPr>
            </w:pPr>
            <w:r>
              <w:rPr>
                <w:rFonts w:ascii="Arial" w:cs="Arial" w:eastAsia="Arial" w:hAnsi="Arial"/>
                <w:sz w:val="15"/>
                <w:szCs w:val="15"/>
                <w:b w:val="1"/>
                <w:bCs w:val="1"/>
                <w:color w:val="231F20"/>
              </w:rPr>
              <w:t>$4,517</w:t>
            </w:r>
          </w:p>
        </w:tc>
        <w:tc>
          <w:tcPr>
            <w:tcW w:w="1220" w:type="dxa"/>
            <w:vAlign w:val="bottom"/>
          </w:tcPr>
          <w:p>
            <w:pPr>
              <w:jc w:val="right"/>
              <w:ind w:right="285"/>
              <w:spacing w:after="0"/>
              <w:rPr>
                <w:sz w:val="20"/>
                <w:szCs w:val="20"/>
                <w:color w:val="auto"/>
              </w:rPr>
            </w:pPr>
            <w:r>
              <w:rPr>
                <w:rFonts w:ascii="Arial" w:cs="Arial" w:eastAsia="Arial" w:hAnsi="Arial"/>
                <w:sz w:val="15"/>
                <w:szCs w:val="15"/>
                <w:b w:val="1"/>
                <w:bCs w:val="1"/>
                <w:color w:val="231F20"/>
              </w:rPr>
              <w:t>$4,612</w:t>
            </w:r>
          </w:p>
        </w:tc>
        <w:tc>
          <w:tcPr>
            <w:tcW w:w="1220" w:type="dxa"/>
            <w:vAlign w:val="bottom"/>
          </w:tcPr>
          <w:p>
            <w:pPr>
              <w:jc w:val="right"/>
              <w:ind w:right="265"/>
              <w:spacing w:after="0"/>
              <w:rPr>
                <w:sz w:val="20"/>
                <w:szCs w:val="20"/>
                <w:color w:val="auto"/>
              </w:rPr>
            </w:pPr>
            <w:r>
              <w:rPr>
                <w:rFonts w:ascii="Arial" w:cs="Arial" w:eastAsia="Arial" w:hAnsi="Arial"/>
                <w:sz w:val="15"/>
                <w:szCs w:val="15"/>
                <w:b w:val="1"/>
                <w:bCs w:val="1"/>
                <w:color w:val="231F20"/>
              </w:rPr>
              <w:t>$4,934</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231F20"/>
              </w:rPr>
              <w:t>$5,042</w:t>
            </w:r>
          </w:p>
        </w:tc>
      </w:tr>
      <w:tr>
        <w:trPr>
          <w:trHeight w:val="44"/>
        </w:trPr>
        <w:tc>
          <w:tcPr>
            <w:tcW w:w="4840" w:type="dxa"/>
            <w:vAlign w:val="bottom"/>
            <w:tcBorders>
              <w:bottom w:val="single" w:sz="8" w:color="5D5E60"/>
            </w:tcBorders>
          </w:tcPr>
          <w:p>
            <w:pPr>
              <w:spacing w:after="0"/>
              <w:rPr>
                <w:sz w:val="3"/>
                <w:szCs w:val="3"/>
                <w:color w:val="auto"/>
              </w:rPr>
            </w:pPr>
          </w:p>
        </w:tc>
        <w:tc>
          <w:tcPr>
            <w:tcW w:w="1060" w:type="dxa"/>
            <w:vAlign w:val="bottom"/>
            <w:tcBorders>
              <w:bottom w:val="single" w:sz="8" w:color="5D5E60"/>
            </w:tcBorders>
          </w:tcPr>
          <w:p>
            <w:pPr>
              <w:spacing w:after="0"/>
              <w:rPr>
                <w:sz w:val="3"/>
                <w:szCs w:val="3"/>
                <w:color w:val="auto"/>
              </w:rPr>
            </w:pPr>
          </w:p>
        </w:tc>
        <w:tc>
          <w:tcPr>
            <w:tcW w:w="120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880" w:type="dxa"/>
            <w:vAlign w:val="bottom"/>
            <w:tcBorders>
              <w:bottom w:val="single" w:sz="8" w:color="5D5E60"/>
            </w:tcBorders>
          </w:tcPr>
          <w:p>
            <w:pPr>
              <w:spacing w:after="0"/>
              <w:rPr>
                <w:sz w:val="3"/>
                <w:szCs w:val="3"/>
                <w:color w:val="auto"/>
              </w:rPr>
            </w:pPr>
          </w:p>
        </w:tc>
      </w:tr>
      <w:tr>
        <w:trPr>
          <w:trHeight w:val="255"/>
        </w:trPr>
        <w:tc>
          <w:tcPr>
            <w:tcW w:w="4840" w:type="dxa"/>
            <w:vAlign w:val="bottom"/>
          </w:tcPr>
          <w:p>
            <w:pPr>
              <w:ind w:left="180"/>
              <w:spacing w:after="0"/>
              <w:rPr>
                <w:sz w:val="20"/>
                <w:szCs w:val="20"/>
                <w:color w:val="auto"/>
              </w:rPr>
            </w:pPr>
            <w:r>
              <w:rPr>
                <w:rFonts w:ascii="Arial" w:cs="Arial" w:eastAsia="Arial" w:hAnsi="Arial"/>
                <w:sz w:val="15"/>
                <w:szCs w:val="15"/>
                <w:color w:val="231F20"/>
                <w:w w:val="99"/>
              </w:rPr>
              <w:t>#ĉŶĉåêåȊÞŽȊŷêĉĀąŚêåȊÃŶêŋÃĀêȊåĉĞŠŚêåȊŒąÃŋêŒȊĬŠŚŒŚÃĥåĉĥĀ</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rPr>
              <w:t>ƕƖƔǡƔ</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ƕƗƓǡƙ</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ƕƗƘǡƓ</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ƕƗƙǡƒ</w:t>
            </w:r>
          </w:p>
        </w:tc>
        <w:tc>
          <w:tcPr>
            <w:tcW w:w="880" w:type="dxa"/>
            <w:vAlign w:val="bottom"/>
          </w:tcPr>
          <w:p>
            <w:pPr>
              <w:jc w:val="right"/>
              <w:spacing w:after="0"/>
              <w:rPr>
                <w:sz w:val="20"/>
                <w:szCs w:val="20"/>
                <w:color w:val="auto"/>
              </w:rPr>
            </w:pPr>
            <w:r>
              <w:rPr>
                <w:rFonts w:ascii="Arial" w:cs="Arial" w:eastAsia="Arial" w:hAnsi="Arial"/>
                <w:sz w:val="15"/>
                <w:szCs w:val="15"/>
                <w:color w:val="231F20"/>
              </w:rPr>
              <w:t>ƕƗƙǡƙ</w:t>
            </w:r>
          </w:p>
        </w:tc>
      </w:tr>
      <w:tr>
        <w:trPr>
          <w:trHeight w:val="45"/>
        </w:trPr>
        <w:tc>
          <w:tcPr>
            <w:tcW w:w="4840" w:type="dxa"/>
            <w:vAlign w:val="bottom"/>
            <w:tcBorders>
              <w:bottom w:val="single" w:sz="8" w:color="5D5E60"/>
            </w:tcBorders>
          </w:tcPr>
          <w:p>
            <w:pPr>
              <w:spacing w:after="0"/>
              <w:rPr>
                <w:sz w:val="3"/>
                <w:szCs w:val="3"/>
                <w:color w:val="auto"/>
              </w:rPr>
            </w:pPr>
          </w:p>
        </w:tc>
        <w:tc>
          <w:tcPr>
            <w:tcW w:w="1060" w:type="dxa"/>
            <w:vAlign w:val="bottom"/>
            <w:tcBorders>
              <w:bottom w:val="single" w:sz="8" w:color="5D5E60"/>
            </w:tcBorders>
          </w:tcPr>
          <w:p>
            <w:pPr>
              <w:spacing w:after="0"/>
              <w:rPr>
                <w:sz w:val="3"/>
                <w:szCs w:val="3"/>
                <w:color w:val="auto"/>
              </w:rPr>
            </w:pPr>
          </w:p>
        </w:tc>
        <w:tc>
          <w:tcPr>
            <w:tcW w:w="120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1220" w:type="dxa"/>
            <w:vAlign w:val="bottom"/>
            <w:tcBorders>
              <w:bottom w:val="single" w:sz="8" w:color="5D5E60"/>
            </w:tcBorders>
          </w:tcPr>
          <w:p>
            <w:pPr>
              <w:spacing w:after="0"/>
              <w:rPr>
                <w:sz w:val="3"/>
                <w:szCs w:val="3"/>
                <w:color w:val="auto"/>
              </w:rPr>
            </w:pPr>
          </w:p>
        </w:tc>
        <w:tc>
          <w:tcPr>
            <w:tcW w:w="880" w:type="dxa"/>
            <w:vAlign w:val="bottom"/>
            <w:tcBorders>
              <w:bottom w:val="single" w:sz="8" w:color="5D5E60"/>
            </w:tcBorders>
          </w:tcPr>
          <w:p>
            <w:pPr>
              <w:spacing w:after="0"/>
              <w:rPr>
                <w:sz w:val="3"/>
                <w:szCs w:val="3"/>
                <w:color w:val="auto"/>
              </w:rPr>
            </w:pPr>
          </w:p>
        </w:tc>
      </w:tr>
      <w:tr>
        <w:trPr>
          <w:trHeight w:val="255"/>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&lt;&lt;fȊ</w:t>
            </w:r>
            <w:r>
              <w:rPr>
                <w:rFonts w:ascii="PMingLiU" w:cs="PMingLiU" w:eastAsia="PMingLiU" w:hAnsi="PMingLiU"/>
                <w:sz w:val="15"/>
                <w:szCs w:val="15"/>
                <w:color w:val="231F20"/>
              </w:rPr>
              <w:t/>
            </w:r>
            <w:r>
              <w:rPr>
                <w:rFonts w:ascii="Arial" w:cs="Arial" w:eastAsia="Arial" w:hAnsi="Arial"/>
                <w:sz w:val="15"/>
                <w:szCs w:val="15"/>
                <w:color w:val="231F20"/>
              </w:rPr>
              <w:t>ŚŚŋĉÞŠŚÃÞĞêȊŚĬȊ</w:t>
            </w:r>
            <w:r>
              <w:rPr>
                <w:rFonts w:ascii="PMingLiU" w:cs="PMingLiU" w:eastAsia="PMingLiU" w:hAnsi="PMingLiU"/>
                <w:sz w:val="15"/>
                <w:szCs w:val="15"/>
                <w:color w:val="231F20"/>
              </w:rPr>
              <w:t/>
            </w:r>
            <w:r>
              <w:rPr>
                <w:rFonts w:ascii="Arial" w:cs="Arial" w:eastAsia="Arial" w:hAnsi="Arial"/>
                <w:sz w:val="15"/>
                <w:szCs w:val="15"/>
                <w:color w:val="231F20"/>
              </w:rPr>
              <w:t>ĬĤĤĬĥȊ</w:t>
            </w:r>
            <w:r>
              <w:rPr>
                <w:rFonts w:ascii="PMingLiU" w:cs="PMingLiU" w:eastAsia="PMingLiU" w:hAnsi="PMingLiU"/>
                <w:sz w:val="15"/>
                <w:szCs w:val="15"/>
                <w:color w:val="231F20"/>
              </w:rPr>
              <w:t></w:t>
            </w:r>
            <w:r>
              <w:rPr>
                <w:rFonts w:ascii="Arial" w:cs="Arial" w:eastAsia="Arial" w:hAnsi="Arial"/>
                <w:sz w:val="15"/>
                <w:szCs w:val="15"/>
                <w:color w:val="231F20"/>
              </w:rPr>
              <w:t>ŚĬßěąĬĞåêŋŒȊňêŋȊ</w:t>
            </w:r>
            <w:r>
              <w:rPr>
                <w:rFonts w:ascii="PMingLiU" w:cs="PMingLiU" w:eastAsia="PMingLiU" w:hAnsi="PMingLiU"/>
                <w:sz w:val="15"/>
                <w:szCs w:val="15"/>
                <w:color w:val="231F20"/>
              </w:rPr>
              <w:t></w:t>
            </w:r>
            <w:r>
              <w:rPr>
                <w:rFonts w:ascii="Arial" w:cs="Arial" w:eastAsia="Arial" w:hAnsi="Arial"/>
                <w:sz w:val="15"/>
                <w:szCs w:val="15"/>
                <w:color w:val="231F20"/>
              </w:rPr>
              <w:t>ąÃŋê</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ȊȐƚǡƕƔȊ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ȊȐƚǡƘƗȊ</w:t>
            </w:r>
          </w:p>
        </w:tc>
        <w:tc>
          <w:tcPr>
            <w:tcW w:w="1220" w:type="dxa"/>
            <w:vAlign w:val="bottom"/>
          </w:tcPr>
          <w:p>
            <w:pPr>
              <w:jc w:val="right"/>
              <w:ind w:right="245"/>
              <w:spacing w:after="0"/>
              <w:rPr>
                <w:sz w:val="20"/>
                <w:szCs w:val="20"/>
                <w:color w:val="auto"/>
              </w:rPr>
            </w:pPr>
            <w:r>
              <w:rPr>
                <w:rFonts w:ascii="Arial" w:cs="Arial" w:eastAsia="Arial" w:hAnsi="Arial"/>
                <w:sz w:val="15"/>
                <w:szCs w:val="15"/>
                <w:color w:val="231F20"/>
              </w:rPr>
              <w:t>ȊȐƚǡƙƘȊ</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ȊȐƒƑǡƖƕȊ</w:t>
            </w:r>
          </w:p>
        </w:tc>
        <w:tc>
          <w:tcPr>
            <w:tcW w:w="880" w:type="dxa"/>
            <w:vAlign w:val="bottom"/>
          </w:tcPr>
          <w:p>
            <w:pPr>
              <w:jc w:val="right"/>
              <w:spacing w:after="0"/>
              <w:rPr>
                <w:sz w:val="20"/>
                <w:szCs w:val="20"/>
                <w:color w:val="auto"/>
              </w:rPr>
            </w:pPr>
            <w:r>
              <w:rPr>
                <w:rFonts w:ascii="Arial" w:cs="Arial" w:eastAsia="Arial" w:hAnsi="Arial"/>
                <w:sz w:val="15"/>
                <w:szCs w:val="15"/>
                <w:color w:val="231F20"/>
              </w:rPr>
              <w:t>ȐƒƑǡƘƗ</w:t>
            </w:r>
          </w:p>
        </w:tc>
      </w:tr>
      <w:tr>
        <w:trPr>
          <w:trHeight w:val="319"/>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&lt;&lt;fȊÃŚŚŋĉÞŠŚÃÞĞêȊŚĬȊ</w:t>
            </w:r>
            <w:r>
              <w:rPr>
                <w:rFonts w:ascii="PMingLiU" w:cs="PMingLiU" w:eastAsia="PMingLiU" w:hAnsi="PMingLiU"/>
                <w:sz w:val="15"/>
                <w:szCs w:val="15"/>
                <w:color w:val="231F20"/>
              </w:rPr>
              <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ȊßĬĤĤĬĥȊŒŚĬßěąĬĞåêŋŒȊÿŋĬĤȊ</w:t>
            </w:r>
          </w:p>
        </w:tc>
        <w:tc>
          <w:tcPr>
            <w:tcW w:w="1060" w:type="dxa"/>
            <w:vAlign w:val="bottom"/>
          </w:tcPr>
          <w:p>
            <w:pPr>
              <w:jc w:val="right"/>
              <w:ind w:right="285"/>
              <w:spacing w:after="0"/>
              <w:rPr>
                <w:sz w:val="20"/>
                <w:szCs w:val="20"/>
                <w:color w:val="auto"/>
              </w:rPr>
            </w:pPr>
            <w:r>
              <w:rPr>
                <w:rFonts w:ascii="Arial" w:cs="Arial" w:eastAsia="Arial" w:hAnsi="Arial"/>
                <w:sz w:val="15"/>
                <w:szCs w:val="15"/>
                <w:color w:val="231F20"/>
                <w:w w:val="95"/>
              </w:rPr>
              <w:t>ǲȐƔƙƑǳ</w:t>
            </w:r>
          </w:p>
        </w:tc>
        <w:tc>
          <w:tcPr>
            <w:tcW w:w="1200" w:type="dxa"/>
            <w:vAlign w:val="bottom"/>
          </w:tcPr>
          <w:p>
            <w:pPr>
              <w:jc w:val="right"/>
              <w:ind w:right="285"/>
              <w:spacing w:after="0"/>
              <w:rPr>
                <w:sz w:val="20"/>
                <w:szCs w:val="20"/>
                <w:color w:val="auto"/>
              </w:rPr>
            </w:pPr>
            <w:r>
              <w:rPr>
                <w:rFonts w:ascii="Arial" w:cs="Arial" w:eastAsia="Arial" w:hAnsi="Arial"/>
                <w:sz w:val="15"/>
                <w:szCs w:val="15"/>
                <w:color w:val="231F20"/>
              </w:rPr>
              <w:t>ǲȐƔƒƚǳ</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ǲȐƔƕƖǳ</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ǲȐƔƗƖǳ</w:t>
            </w:r>
          </w:p>
        </w:tc>
        <w:tc>
          <w:tcPr>
            <w:tcW w:w="880" w:type="dxa"/>
            <w:vAlign w:val="bottom"/>
          </w:tcPr>
          <w:p>
            <w:pPr>
              <w:jc w:val="right"/>
              <w:spacing w:after="0"/>
              <w:rPr>
                <w:sz w:val="20"/>
                <w:szCs w:val="20"/>
                <w:color w:val="auto"/>
              </w:rPr>
            </w:pPr>
            <w:r>
              <w:rPr>
                <w:rFonts w:ascii="Arial" w:cs="Arial" w:eastAsia="Arial" w:hAnsi="Arial"/>
                <w:sz w:val="15"/>
                <w:szCs w:val="15"/>
                <w:color w:val="231F20"/>
              </w:rPr>
              <w:t>Ǹ</w:t>
            </w:r>
          </w:p>
        </w:tc>
      </w:tr>
      <w:tr>
        <w:trPr>
          <w:trHeight w:val="200"/>
        </w:trPr>
        <w:tc>
          <w:tcPr>
            <w:tcW w:w="4840" w:type="dxa"/>
            <w:vAlign w:val="bottom"/>
          </w:tcPr>
          <w:p>
            <w:pPr>
              <w:ind w:left="180"/>
              <w:spacing w:after="0"/>
              <w:rPr>
                <w:sz w:val="20"/>
                <w:szCs w:val="20"/>
                <w:color w:val="auto"/>
              </w:rPr>
            </w:pPr>
            <w:r>
              <w:rPr>
                <w:rFonts w:ascii="Arial" w:cs="Arial" w:eastAsia="Arial" w:hAnsi="Arial"/>
                <w:sz w:val="15"/>
                <w:szCs w:val="15"/>
                <w:color w:val="231F20"/>
              </w:rPr>
              <w:t>åĉŒßĬĥŚĉĥŠêåȊĬňêŋÃŚĉĬĥŒ</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22"/>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&lt;&lt;fȊÃŚŚŋĉÞŠŚÃÞĞêȊŚĬȊ</w:t>
            </w:r>
            <w:r>
              <w:rPr>
                <w:rFonts w:ascii="PMingLiU" w:cs="PMingLiU" w:eastAsia="PMingLiU" w:hAnsi="PMingLiU"/>
                <w:sz w:val="15"/>
                <w:szCs w:val="15"/>
                <w:color w:val="231F20"/>
              </w:rPr>
              <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ȊßĬĤĤĬĥȊŒŚĬßěąĬĞåêŋŒȊÿŋĬĤȊ</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ƔǢƙƚƘȊ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ƕǢƒƚƘȊ</w:t>
            </w:r>
          </w:p>
        </w:tc>
        <w:tc>
          <w:tcPr>
            <w:tcW w:w="1220" w:type="dxa"/>
            <w:vAlign w:val="bottom"/>
          </w:tcPr>
          <w:p>
            <w:pPr>
              <w:jc w:val="right"/>
              <w:ind w:right="245"/>
              <w:spacing w:after="0"/>
              <w:rPr>
                <w:sz w:val="20"/>
                <w:szCs w:val="20"/>
                <w:color w:val="auto"/>
              </w:rPr>
            </w:pPr>
            <w:r>
              <w:rPr>
                <w:rFonts w:ascii="Arial" w:cs="Arial" w:eastAsia="Arial" w:hAnsi="Arial"/>
                <w:sz w:val="15"/>
                <w:szCs w:val="15"/>
                <w:color w:val="231F20"/>
              </w:rPr>
              <w:t>ƕǢƓƗƗȊ</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ƕǢƖƗƚȊ</w:t>
            </w:r>
          </w:p>
        </w:tc>
        <w:tc>
          <w:tcPr>
            <w:tcW w:w="880" w:type="dxa"/>
            <w:vAlign w:val="bottom"/>
          </w:tcPr>
          <w:p>
            <w:pPr>
              <w:jc w:val="right"/>
              <w:spacing w:after="0"/>
              <w:rPr>
                <w:sz w:val="20"/>
                <w:szCs w:val="20"/>
                <w:color w:val="auto"/>
              </w:rPr>
            </w:pPr>
            <w:r>
              <w:rPr>
                <w:rFonts w:ascii="Arial" w:cs="Arial" w:eastAsia="Arial" w:hAnsi="Arial"/>
                <w:sz w:val="15"/>
                <w:szCs w:val="15"/>
                <w:color w:val="231F20"/>
              </w:rPr>
              <w:t>ƖǢƑƕƓ</w:t>
            </w:r>
          </w:p>
        </w:tc>
      </w:tr>
      <w:tr>
        <w:trPr>
          <w:trHeight w:val="198"/>
        </w:trPr>
        <w:tc>
          <w:tcPr>
            <w:tcW w:w="4840" w:type="dxa"/>
            <w:vAlign w:val="bottom"/>
          </w:tcPr>
          <w:p>
            <w:pPr>
              <w:ind w:left="180"/>
              <w:spacing w:after="0"/>
              <w:rPr>
                <w:sz w:val="20"/>
                <w:szCs w:val="20"/>
                <w:color w:val="auto"/>
              </w:rPr>
            </w:pPr>
            <w:r>
              <w:rPr>
                <w:rFonts w:ascii="Arial" w:cs="Arial" w:eastAsia="Arial" w:hAnsi="Arial"/>
                <w:sz w:val="15"/>
                <w:szCs w:val="15"/>
                <w:color w:val="231F20"/>
              </w:rPr>
              <w:t>ßĬĥŚĉĥŠĉĥĀȊĬňêŋÃŚĉĬĥŒ</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22"/>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w w:val="77"/>
              </w:rPr>
              <w:t/>
            </w:r>
            <w:r>
              <w:rPr>
                <w:rFonts w:ascii="Arial" w:cs="Arial" w:eastAsia="Arial" w:hAnsi="Arial"/>
                <w:sz w:val="15"/>
                <w:szCs w:val="15"/>
                <w:color w:val="231F20"/>
                <w:w w:val="77"/>
              </w:rPr>
              <w:t>åĘŠŒŚĤêĥŚȊÿĬŋȊÿŠĞĞȊňêŋĉĬåȊĉĥŚêŋêŒŚȊêżňêĥŒêȊŒÃŶĉĥĀŒȊÃŒŒĬßĉÃŚêåȊŷĉŚąȊ</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ȐƓƙȊ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ȐƘƚȊ</w:t>
            </w:r>
          </w:p>
        </w:tc>
        <w:tc>
          <w:tcPr>
            <w:tcW w:w="1220" w:type="dxa"/>
            <w:vAlign w:val="bottom"/>
          </w:tcPr>
          <w:p>
            <w:pPr>
              <w:jc w:val="right"/>
              <w:ind w:right="285"/>
              <w:spacing w:after="0"/>
              <w:rPr>
                <w:sz w:val="20"/>
                <w:szCs w:val="20"/>
                <w:color w:val="auto"/>
              </w:rPr>
            </w:pPr>
            <w:r>
              <w:rPr>
                <w:rFonts w:ascii="Arial" w:cs="Arial" w:eastAsia="Arial" w:hAnsi="Arial"/>
                <w:sz w:val="15"/>
                <w:szCs w:val="15"/>
                <w:color w:val="231F20"/>
              </w:rPr>
              <w:t>$131</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ȐƚƓȊ</w:t>
            </w:r>
          </w:p>
        </w:tc>
        <w:tc>
          <w:tcPr>
            <w:tcW w:w="880" w:type="dxa"/>
            <w:vAlign w:val="bottom"/>
          </w:tcPr>
          <w:p>
            <w:pPr>
              <w:jc w:val="right"/>
              <w:spacing w:after="0"/>
              <w:rPr>
                <w:sz w:val="20"/>
                <w:szCs w:val="20"/>
                <w:color w:val="auto"/>
              </w:rPr>
            </w:pPr>
            <w:r>
              <w:rPr>
                <w:rFonts w:ascii="Arial" w:cs="Arial" w:eastAsia="Arial" w:hAnsi="Arial"/>
                <w:sz w:val="15"/>
                <w:szCs w:val="15"/>
                <w:color w:val="231F20"/>
              </w:rPr>
              <w:t>Ǹ</w:t>
            </w:r>
          </w:p>
        </w:tc>
      </w:tr>
      <w:tr>
        <w:trPr>
          <w:trHeight w:val="198"/>
        </w:trPr>
        <w:tc>
          <w:tcPr>
            <w:tcW w:w="4840" w:type="dxa"/>
            <w:vAlign w:val="bottom"/>
          </w:tcPr>
          <w:p>
            <w:pPr>
              <w:ind w:left="180"/>
              <w:spacing w:after="0" w:line="182" w:lineRule="exact"/>
              <w:rPr>
                <w:sz w:val="20"/>
                <w:szCs w:val="20"/>
                <w:color w:val="auto"/>
              </w:rPr>
            </w:pPr>
            <w:r>
              <w:rPr>
                <w:rFonts w:ascii="Arial" w:cs="Arial" w:eastAsia="Arial" w:hAnsi="Arial"/>
                <w:sz w:val="15"/>
                <w:szCs w:val="15"/>
                <w:color w:val="231F20"/>
              </w:rPr>
              <w:t>ŚąêȊŠŒêȊĬÿȊ</w:t>
            </w:r>
            <w:r>
              <w:rPr>
                <w:rFonts w:ascii="PMingLiU" w:cs="PMingLiU" w:eastAsia="PMingLiU" w:hAnsi="PMingLiU"/>
                <w:sz w:val="15"/>
                <w:szCs w:val="15"/>
                <w:color w:val="231F20"/>
              </w:rPr>
              <w:t></w:t>
            </w:r>
            <w:r>
              <w:rPr>
                <w:rFonts w:ascii="Arial" w:cs="Arial" w:eastAsia="Arial" w:hAnsi="Arial"/>
                <w:sz w:val="15"/>
                <w:szCs w:val="15"/>
                <w:color w:val="231F20"/>
              </w:rPr>
              <w:t>Ȋ</w:t>
            </w:r>
            <w:r>
              <w:rPr>
                <w:rFonts w:ascii="PMingLiU" w:cs="PMingLiU" w:eastAsia="PMingLiU" w:hAnsi="PMingLiU"/>
                <w:sz w:val="15"/>
                <w:szCs w:val="15"/>
                <w:color w:val="231F20"/>
              </w:rPr>
              <w:t></w:t>
            </w:r>
            <w:r>
              <w:rPr>
                <w:rFonts w:ascii="Arial" w:cs="Arial" w:eastAsia="Arial" w:hAnsi="Arial"/>
                <w:sz w:val="15"/>
                <w:szCs w:val="15"/>
                <w:color w:val="231F20"/>
              </w:rPr>
              <w:t>F</w:t>
            </w:r>
            <w:r>
              <w:rPr>
                <w:rFonts w:ascii="PMingLiU" w:cs="PMingLiU" w:eastAsia="PMingLiU" w:hAnsi="PMingLiU"/>
                <w:sz w:val="15"/>
                <w:szCs w:val="15"/>
                <w:color w:val="231F20"/>
              </w:rPr>
              <w:t></w:t>
            </w:r>
            <w:r>
              <w:rPr>
                <w:rFonts w:ascii="Arial" w:cs="Arial" w:eastAsia="Arial" w:hAnsi="Arial"/>
                <w:sz w:val="15"/>
                <w:szCs w:val="15"/>
                <w:color w:val="231F20"/>
              </w:rPr>
              <w:t>XȊ</w:t>
            </w:r>
            <w:r>
              <w:rPr>
                <w:rFonts w:ascii="PMingLiU" w:cs="PMingLiU" w:eastAsia="PMingLiU" w:hAnsi="PMingLiU"/>
                <w:sz w:val="15"/>
                <w:szCs w:val="15"/>
                <w:color w:val="231F20"/>
              </w:rPr>
              <w:t></w:t>
            </w:r>
            <w:r>
              <w:rPr>
                <w:rFonts w:ascii="Arial" w:cs="Arial" w:eastAsia="Arial" w:hAnsi="Arial"/>
                <w:sz w:val="15"/>
                <w:szCs w:val="15"/>
                <w:color w:val="231F20"/>
              </w:rPr>
              <w:t>ŋÃĥŒÃßŚĉĬĥȊňŋĬßêêåŒ</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4"/>
        </w:trPr>
        <w:tc>
          <w:tcPr>
            <w:tcW w:w="4840" w:type="dxa"/>
            <w:vAlign w:val="bottom"/>
            <w:tcBorders>
              <w:bottom w:val="single" w:sz="8" w:color="5D5E60"/>
            </w:tcBorders>
          </w:tcPr>
          <w:p>
            <w:pPr>
              <w:spacing w:after="0"/>
              <w:rPr>
                <w:sz w:val="7"/>
                <w:szCs w:val="7"/>
                <w:color w:val="auto"/>
              </w:rPr>
            </w:pPr>
          </w:p>
        </w:tc>
        <w:tc>
          <w:tcPr>
            <w:tcW w:w="1060" w:type="dxa"/>
            <w:vAlign w:val="bottom"/>
            <w:tcBorders>
              <w:bottom w:val="single" w:sz="8" w:color="5D5E60"/>
            </w:tcBorders>
          </w:tcPr>
          <w:p>
            <w:pPr>
              <w:spacing w:after="0"/>
              <w:rPr>
                <w:sz w:val="7"/>
                <w:szCs w:val="7"/>
                <w:color w:val="auto"/>
              </w:rPr>
            </w:pPr>
          </w:p>
        </w:tc>
        <w:tc>
          <w:tcPr>
            <w:tcW w:w="1200" w:type="dxa"/>
            <w:vAlign w:val="bottom"/>
            <w:tcBorders>
              <w:bottom w:val="single" w:sz="8" w:color="5D5E60"/>
            </w:tcBorders>
          </w:tcPr>
          <w:p>
            <w:pPr>
              <w:spacing w:after="0"/>
              <w:rPr>
                <w:sz w:val="7"/>
                <w:szCs w:val="7"/>
                <w:color w:val="auto"/>
              </w:rPr>
            </w:pPr>
          </w:p>
        </w:tc>
        <w:tc>
          <w:tcPr>
            <w:tcW w:w="1220" w:type="dxa"/>
            <w:vAlign w:val="bottom"/>
            <w:tcBorders>
              <w:bottom w:val="single" w:sz="8" w:color="5D5E60"/>
            </w:tcBorders>
          </w:tcPr>
          <w:p>
            <w:pPr>
              <w:spacing w:after="0"/>
              <w:rPr>
                <w:sz w:val="7"/>
                <w:szCs w:val="7"/>
                <w:color w:val="auto"/>
              </w:rPr>
            </w:pPr>
          </w:p>
        </w:tc>
        <w:tc>
          <w:tcPr>
            <w:tcW w:w="1220" w:type="dxa"/>
            <w:vAlign w:val="bottom"/>
            <w:tcBorders>
              <w:bottom w:val="single" w:sz="8" w:color="5D5E60"/>
            </w:tcBorders>
          </w:tcPr>
          <w:p>
            <w:pPr>
              <w:spacing w:after="0"/>
              <w:rPr>
                <w:sz w:val="7"/>
                <w:szCs w:val="7"/>
                <w:color w:val="auto"/>
              </w:rPr>
            </w:pPr>
          </w:p>
        </w:tc>
        <w:tc>
          <w:tcPr>
            <w:tcW w:w="880" w:type="dxa"/>
            <w:vAlign w:val="bottom"/>
            <w:tcBorders>
              <w:bottom w:val="single" w:sz="8" w:color="5D5E60"/>
            </w:tcBorders>
          </w:tcPr>
          <w:p>
            <w:pPr>
              <w:spacing w:after="0"/>
              <w:rPr>
                <w:sz w:val="7"/>
                <w:szCs w:val="7"/>
                <w:color w:val="auto"/>
              </w:rPr>
            </w:pPr>
          </w:p>
        </w:tc>
      </w:tr>
      <w:tr>
        <w:trPr>
          <w:trHeight w:val="238"/>
        </w:trPr>
        <w:tc>
          <w:tcPr>
            <w:tcW w:w="4840" w:type="dxa"/>
            <w:vAlign w:val="bottom"/>
          </w:tcPr>
          <w:p>
            <w:pPr>
              <w:ind w:left="180"/>
              <w:spacing w:after="0"/>
              <w:rPr>
                <w:sz w:val="20"/>
                <w:szCs w:val="20"/>
                <w:color w:val="auto"/>
              </w:rPr>
            </w:pPr>
            <w:r>
              <w:rPr>
                <w:rFonts w:ascii="Arial" w:cs="Arial" w:eastAsia="Arial" w:hAnsi="Arial"/>
                <w:sz w:val="15"/>
                <w:szCs w:val="15"/>
                <w:b w:val="1"/>
                <w:bCs w:val="1"/>
                <w:color w:val="231F20"/>
              </w:rPr>
              <w:t>AFFO Attributable to Common Stockholders, as adjusted</w:t>
            </w:r>
            <w:r>
              <w:rPr>
                <w:rFonts w:ascii="Arial" w:cs="Arial" w:eastAsia="Arial" w:hAnsi="Arial"/>
                <w:sz w:val="8"/>
                <w:szCs w:val="8"/>
                <w:b w:val="1"/>
                <w:bCs w:val="1"/>
                <w:color w:val="231F20"/>
              </w:rPr>
              <w:t>5</w:t>
            </w:r>
          </w:p>
        </w:tc>
        <w:tc>
          <w:tcPr>
            <w:tcW w:w="1060" w:type="dxa"/>
            <w:vAlign w:val="bottom"/>
          </w:tcPr>
          <w:p>
            <w:pPr>
              <w:jc w:val="right"/>
              <w:ind w:right="285"/>
              <w:spacing w:after="0"/>
              <w:rPr>
                <w:sz w:val="20"/>
                <w:szCs w:val="20"/>
                <w:color w:val="auto"/>
              </w:rPr>
            </w:pPr>
            <w:r>
              <w:rPr>
                <w:rFonts w:ascii="Arial" w:cs="Arial" w:eastAsia="Arial" w:hAnsi="Arial"/>
                <w:sz w:val="15"/>
                <w:szCs w:val="15"/>
                <w:b w:val="1"/>
                <w:bCs w:val="1"/>
                <w:color w:val="231F20"/>
              </w:rPr>
              <w:t>$3,924</w:t>
            </w:r>
          </w:p>
        </w:tc>
        <w:tc>
          <w:tcPr>
            <w:tcW w:w="1200" w:type="dxa"/>
            <w:vAlign w:val="bottom"/>
          </w:tcPr>
          <w:p>
            <w:pPr>
              <w:jc w:val="right"/>
              <w:ind w:right="285"/>
              <w:spacing w:after="0"/>
              <w:rPr>
                <w:sz w:val="20"/>
                <w:szCs w:val="20"/>
                <w:color w:val="auto"/>
              </w:rPr>
            </w:pPr>
            <w:r>
              <w:rPr>
                <w:rFonts w:ascii="Arial" w:cs="Arial" w:eastAsia="Arial" w:hAnsi="Arial"/>
                <w:sz w:val="15"/>
                <w:szCs w:val="15"/>
                <w:b w:val="1"/>
                <w:bCs w:val="1"/>
                <w:color w:val="231F20"/>
              </w:rPr>
              <w:t>$4,277</w:t>
            </w:r>
          </w:p>
        </w:tc>
        <w:tc>
          <w:tcPr>
            <w:tcW w:w="1220" w:type="dxa"/>
            <w:vAlign w:val="bottom"/>
          </w:tcPr>
          <w:p>
            <w:pPr>
              <w:jc w:val="right"/>
              <w:ind w:right="285"/>
              <w:spacing w:after="0"/>
              <w:rPr>
                <w:sz w:val="20"/>
                <w:szCs w:val="20"/>
                <w:color w:val="auto"/>
              </w:rPr>
            </w:pPr>
            <w:r>
              <w:rPr>
                <w:rFonts w:ascii="Arial" w:cs="Arial" w:eastAsia="Arial" w:hAnsi="Arial"/>
                <w:sz w:val="15"/>
                <w:szCs w:val="15"/>
                <w:b w:val="1"/>
                <w:bCs w:val="1"/>
                <w:color w:val="231F20"/>
              </w:rPr>
              <w:t>$4,398</w:t>
            </w:r>
          </w:p>
        </w:tc>
        <w:tc>
          <w:tcPr>
            <w:tcW w:w="1220" w:type="dxa"/>
            <w:vAlign w:val="bottom"/>
          </w:tcPr>
          <w:p>
            <w:pPr>
              <w:jc w:val="right"/>
              <w:ind w:right="265"/>
              <w:spacing w:after="0"/>
              <w:rPr>
                <w:sz w:val="20"/>
                <w:szCs w:val="20"/>
                <w:color w:val="auto"/>
              </w:rPr>
            </w:pPr>
            <w:r>
              <w:rPr>
                <w:rFonts w:ascii="Arial" w:cs="Arial" w:eastAsia="Arial" w:hAnsi="Arial"/>
                <w:sz w:val="15"/>
                <w:szCs w:val="15"/>
                <w:b w:val="1"/>
                <w:bCs w:val="1"/>
                <w:color w:val="231F20"/>
              </w:rPr>
              <w:t>$4,661</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231F20"/>
              </w:rPr>
              <w:t>$5,042</w:t>
            </w:r>
          </w:p>
        </w:tc>
      </w:tr>
      <w:tr>
        <w:trPr>
          <w:trHeight w:val="62"/>
        </w:trPr>
        <w:tc>
          <w:tcPr>
            <w:tcW w:w="4840" w:type="dxa"/>
            <w:vAlign w:val="bottom"/>
            <w:tcBorders>
              <w:bottom w:val="single" w:sz="8" w:color="5D5E60"/>
            </w:tcBorders>
          </w:tcPr>
          <w:p>
            <w:pPr>
              <w:spacing w:after="0"/>
              <w:rPr>
                <w:sz w:val="5"/>
                <w:szCs w:val="5"/>
                <w:color w:val="auto"/>
              </w:rPr>
            </w:pPr>
          </w:p>
        </w:tc>
        <w:tc>
          <w:tcPr>
            <w:tcW w:w="1060" w:type="dxa"/>
            <w:vAlign w:val="bottom"/>
            <w:tcBorders>
              <w:bottom w:val="single" w:sz="8" w:color="5D5E60"/>
            </w:tcBorders>
          </w:tcPr>
          <w:p>
            <w:pPr>
              <w:spacing w:after="0"/>
              <w:rPr>
                <w:sz w:val="5"/>
                <w:szCs w:val="5"/>
                <w:color w:val="auto"/>
              </w:rPr>
            </w:pPr>
          </w:p>
        </w:tc>
        <w:tc>
          <w:tcPr>
            <w:tcW w:w="1200" w:type="dxa"/>
            <w:vAlign w:val="bottom"/>
            <w:tcBorders>
              <w:bottom w:val="single" w:sz="8" w:color="5D5E60"/>
            </w:tcBorders>
          </w:tcPr>
          <w:p>
            <w:pPr>
              <w:spacing w:after="0"/>
              <w:rPr>
                <w:sz w:val="5"/>
                <w:szCs w:val="5"/>
                <w:color w:val="auto"/>
              </w:rPr>
            </w:pPr>
          </w:p>
        </w:tc>
        <w:tc>
          <w:tcPr>
            <w:tcW w:w="1220" w:type="dxa"/>
            <w:vAlign w:val="bottom"/>
            <w:tcBorders>
              <w:bottom w:val="single" w:sz="8" w:color="5D5E60"/>
            </w:tcBorders>
          </w:tcPr>
          <w:p>
            <w:pPr>
              <w:spacing w:after="0"/>
              <w:rPr>
                <w:sz w:val="5"/>
                <w:szCs w:val="5"/>
                <w:color w:val="auto"/>
              </w:rPr>
            </w:pPr>
          </w:p>
        </w:tc>
        <w:tc>
          <w:tcPr>
            <w:tcW w:w="1220" w:type="dxa"/>
            <w:vAlign w:val="bottom"/>
            <w:tcBorders>
              <w:bottom w:val="single" w:sz="8" w:color="5D5E60"/>
            </w:tcBorders>
          </w:tcPr>
          <w:p>
            <w:pPr>
              <w:spacing w:after="0"/>
              <w:rPr>
                <w:sz w:val="5"/>
                <w:szCs w:val="5"/>
                <w:color w:val="auto"/>
              </w:rPr>
            </w:pPr>
          </w:p>
        </w:tc>
        <w:tc>
          <w:tcPr>
            <w:tcW w:w="880" w:type="dxa"/>
            <w:vAlign w:val="bottom"/>
            <w:tcBorders>
              <w:bottom w:val="single" w:sz="8" w:color="5D5E60"/>
            </w:tcBorders>
          </w:tcPr>
          <w:p>
            <w:pPr>
              <w:spacing w:after="0"/>
              <w:rPr>
                <w:sz w:val="5"/>
                <w:szCs w:val="5"/>
                <w:color w:val="auto"/>
              </w:rPr>
            </w:pPr>
          </w:p>
        </w:tc>
      </w:tr>
      <w:tr>
        <w:trPr>
          <w:trHeight w:val="238"/>
        </w:trPr>
        <w:tc>
          <w:tcPr>
            <w:tcW w:w="4840" w:type="dxa"/>
            <w:vAlign w:val="bottom"/>
          </w:tcPr>
          <w:p>
            <w:pPr>
              <w:ind w:left="180"/>
              <w:spacing w:after="0" w:line="182" w:lineRule="exact"/>
              <w:rPr>
                <w:sz w:val="20"/>
                <w:szCs w:val="20"/>
                <w:color w:val="auto"/>
              </w:rPr>
            </w:pPr>
            <w:r>
              <w:rPr>
                <w:rFonts w:ascii="PMingLiU" w:cs="PMingLiU" w:eastAsia="PMingLiU" w:hAnsi="PMingLiU"/>
                <w:sz w:val="15"/>
                <w:szCs w:val="15"/>
                <w:color w:val="231F20"/>
                <w:w w:val="83"/>
              </w:rPr>
              <w:t/>
            </w:r>
            <w:r>
              <w:rPr>
                <w:rFonts w:ascii="Arial" w:cs="Arial" w:eastAsia="Arial" w:hAnsi="Arial"/>
                <w:sz w:val="15"/>
                <w:szCs w:val="15"/>
                <w:color w:val="231F20"/>
                <w:w w:val="83"/>
              </w:rPr>
              <w:t>&lt;&lt;fȊ</w:t>
            </w:r>
            <w:r>
              <w:rPr>
                <w:rFonts w:ascii="PMingLiU" w:cs="PMingLiU" w:eastAsia="PMingLiU" w:hAnsi="PMingLiU"/>
                <w:sz w:val="15"/>
                <w:szCs w:val="15"/>
                <w:color w:val="231F20"/>
                <w:w w:val="83"/>
              </w:rPr>
              <w:t/>
            </w:r>
            <w:r>
              <w:rPr>
                <w:rFonts w:ascii="Arial" w:cs="Arial" w:eastAsia="Arial" w:hAnsi="Arial"/>
                <w:sz w:val="15"/>
                <w:szCs w:val="15"/>
                <w:color w:val="231F20"/>
                <w:w w:val="83"/>
              </w:rPr>
              <w:t>ŚŚŋĉÞŠŚÃÞĞêȊŚĬȊ</w:t>
            </w:r>
            <w:r>
              <w:rPr>
                <w:rFonts w:ascii="PMingLiU" w:cs="PMingLiU" w:eastAsia="PMingLiU" w:hAnsi="PMingLiU"/>
                <w:sz w:val="15"/>
                <w:szCs w:val="15"/>
                <w:color w:val="231F20"/>
                <w:w w:val="83"/>
              </w:rPr>
              <w:t/>
            </w:r>
            <w:r>
              <w:rPr>
                <w:rFonts w:ascii="Arial" w:cs="Arial" w:eastAsia="Arial" w:hAnsi="Arial"/>
                <w:sz w:val="15"/>
                <w:szCs w:val="15"/>
                <w:color w:val="231F20"/>
                <w:w w:val="83"/>
              </w:rPr>
              <w:t>ĬĤĤĬĥȊ</w:t>
            </w:r>
            <w:r>
              <w:rPr>
                <w:rFonts w:ascii="PMingLiU" w:cs="PMingLiU" w:eastAsia="PMingLiU" w:hAnsi="PMingLiU"/>
                <w:sz w:val="15"/>
                <w:szCs w:val="15"/>
                <w:color w:val="231F20"/>
                <w:w w:val="83"/>
              </w:rPr>
              <w:t></w:t>
            </w:r>
            <w:r>
              <w:rPr>
                <w:rFonts w:ascii="Arial" w:cs="Arial" w:eastAsia="Arial" w:hAnsi="Arial"/>
                <w:sz w:val="15"/>
                <w:szCs w:val="15"/>
                <w:color w:val="231F20"/>
                <w:w w:val="83"/>
              </w:rPr>
              <w:t>ŚĬßěąĬĞåêŋŒȊňêŋȊ</w:t>
            </w:r>
            <w:r>
              <w:rPr>
                <w:rFonts w:ascii="PMingLiU" w:cs="PMingLiU" w:eastAsia="PMingLiU" w:hAnsi="PMingLiU"/>
                <w:sz w:val="15"/>
                <w:szCs w:val="15"/>
                <w:color w:val="231F20"/>
                <w:w w:val="83"/>
              </w:rPr>
              <w:t></w:t>
            </w:r>
            <w:r>
              <w:rPr>
                <w:rFonts w:ascii="Arial" w:cs="Arial" w:eastAsia="Arial" w:hAnsi="Arial"/>
                <w:sz w:val="15"/>
                <w:szCs w:val="15"/>
                <w:color w:val="231F20"/>
                <w:w w:val="83"/>
              </w:rPr>
              <w:t>ąÃŋêǢȊÃŒȊÃåĘŠŒŚêå</w:t>
            </w:r>
            <w:r>
              <w:rPr>
                <w:rFonts w:ascii="Arial" w:cs="Arial" w:eastAsia="Arial" w:hAnsi="Arial"/>
                <w:sz w:val="8"/>
                <w:szCs w:val="8"/>
                <w:color w:val="231F20"/>
                <w:w w:val="83"/>
              </w:rPr>
              <w:t>5</w:t>
            </w:r>
          </w:p>
        </w:tc>
        <w:tc>
          <w:tcPr>
            <w:tcW w:w="1060" w:type="dxa"/>
            <w:vAlign w:val="bottom"/>
          </w:tcPr>
          <w:p>
            <w:pPr>
              <w:jc w:val="right"/>
              <w:ind w:right="245"/>
              <w:spacing w:after="0"/>
              <w:rPr>
                <w:sz w:val="20"/>
                <w:szCs w:val="20"/>
                <w:color w:val="auto"/>
              </w:rPr>
            </w:pPr>
            <w:r>
              <w:rPr>
                <w:rFonts w:ascii="Arial" w:cs="Arial" w:eastAsia="Arial" w:hAnsi="Arial"/>
                <w:sz w:val="15"/>
                <w:szCs w:val="15"/>
                <w:color w:val="231F20"/>
              </w:rPr>
              <w:t>ȊȐƙǡƗƗȊ</w:t>
            </w:r>
          </w:p>
        </w:tc>
        <w:tc>
          <w:tcPr>
            <w:tcW w:w="1200" w:type="dxa"/>
            <w:vAlign w:val="bottom"/>
          </w:tcPr>
          <w:p>
            <w:pPr>
              <w:jc w:val="right"/>
              <w:ind w:right="245"/>
              <w:spacing w:after="0"/>
              <w:rPr>
                <w:sz w:val="20"/>
                <w:szCs w:val="20"/>
                <w:color w:val="auto"/>
              </w:rPr>
            </w:pPr>
            <w:r>
              <w:rPr>
                <w:rFonts w:ascii="Arial" w:cs="Arial" w:eastAsia="Arial" w:hAnsi="Arial"/>
                <w:sz w:val="15"/>
                <w:szCs w:val="15"/>
                <w:color w:val="231F20"/>
              </w:rPr>
              <w:t>ȊȐƚǡƓƖȊ</w:t>
            </w:r>
          </w:p>
        </w:tc>
        <w:tc>
          <w:tcPr>
            <w:tcW w:w="1220" w:type="dxa"/>
            <w:vAlign w:val="bottom"/>
          </w:tcPr>
          <w:p>
            <w:pPr>
              <w:jc w:val="right"/>
              <w:ind w:right="265"/>
              <w:spacing w:after="0"/>
              <w:rPr>
                <w:sz w:val="20"/>
                <w:szCs w:val="20"/>
                <w:color w:val="auto"/>
              </w:rPr>
            </w:pPr>
            <w:r>
              <w:rPr>
                <w:rFonts w:ascii="Arial" w:cs="Arial" w:eastAsia="Arial" w:hAnsi="Arial"/>
                <w:sz w:val="15"/>
                <w:szCs w:val="15"/>
                <w:color w:val="231F20"/>
              </w:rPr>
              <w:t>ȊȐƚǡƕƒȊ</w:t>
            </w:r>
          </w:p>
        </w:tc>
        <w:tc>
          <w:tcPr>
            <w:tcW w:w="1220" w:type="dxa"/>
            <w:vAlign w:val="bottom"/>
          </w:tcPr>
          <w:p>
            <w:pPr>
              <w:jc w:val="right"/>
              <w:ind w:right="225"/>
              <w:spacing w:after="0"/>
              <w:rPr>
                <w:sz w:val="20"/>
                <w:szCs w:val="20"/>
                <w:color w:val="auto"/>
              </w:rPr>
            </w:pPr>
            <w:r>
              <w:rPr>
                <w:rFonts w:ascii="Arial" w:cs="Arial" w:eastAsia="Arial" w:hAnsi="Arial"/>
                <w:sz w:val="15"/>
                <w:szCs w:val="15"/>
                <w:color w:val="231F20"/>
              </w:rPr>
              <w:t>ȊȐƚǡƚƗȊ</w:t>
            </w:r>
          </w:p>
        </w:tc>
        <w:tc>
          <w:tcPr>
            <w:tcW w:w="880" w:type="dxa"/>
            <w:vAlign w:val="bottom"/>
          </w:tcPr>
          <w:p>
            <w:pPr>
              <w:jc w:val="right"/>
              <w:spacing w:after="0"/>
              <w:rPr>
                <w:sz w:val="20"/>
                <w:szCs w:val="20"/>
                <w:color w:val="auto"/>
              </w:rPr>
            </w:pPr>
            <w:r>
              <w:rPr>
                <w:rFonts w:ascii="Arial" w:cs="Arial" w:eastAsia="Arial" w:hAnsi="Arial"/>
                <w:sz w:val="15"/>
                <w:szCs w:val="15"/>
                <w:color w:val="231F20"/>
              </w:rPr>
              <w:t>ȐƒƑǡƘƗ</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-3817620</wp:posOffset>
            </wp:positionV>
            <wp:extent cx="659003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362">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-3614420</wp:posOffset>
            </wp:positionV>
            <wp:extent cx="659003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363">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-3411220</wp:posOffset>
            </wp:positionV>
            <wp:extent cx="659003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364">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-3208655</wp:posOffset>
            </wp:positionV>
            <wp:extent cx="659003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365">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-3005455</wp:posOffset>
            </wp:positionV>
            <wp:extent cx="659003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366">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-2802255</wp:posOffset>
            </wp:positionV>
            <wp:extent cx="659003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367">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-2599690</wp:posOffset>
            </wp:positionV>
            <wp:extent cx="659003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368">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-2396490</wp:posOffset>
            </wp:positionV>
            <wp:extent cx="659003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369">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-2193290</wp:posOffset>
            </wp:positionV>
            <wp:extent cx="659003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370">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-1369060</wp:posOffset>
            </wp:positionV>
            <wp:extent cx="659003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371">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36195</wp:posOffset>
            </wp:positionV>
            <wp:extent cx="659003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372">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-1038860</wp:posOffset>
            </wp:positionV>
            <wp:extent cx="659003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373">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-702945</wp:posOffset>
            </wp:positionV>
            <wp:extent cx="659003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374">
                      <a:extLst>
                        <a:ext uri="{28A0092B-C50C-407E-A947-70E740481C1C}"/>
                      </a:extLst>
                    </a:blip>
                    <a:srcRect/>
                    <a:stretch>
                      <a:fillRect/>
                    </a:stretch>
                  </pic:blipFill>
                  <pic:spPr bwMode="auto">
                    <a:xfrm>
                      <a:off x="0" y="0"/>
                      <a:ext cx="6590030" cy="571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ƒȊȊȊȊȊƓƑƓƒǢȊƓƑƓƓǢȊƓƑƓƔȊÃĥåȊƓƑƓƕȊÃŋêȊňŋêŒêĥŚêåȊŚĬȊĉĥßĞŠåêȊŚąêȊŋêßĞÃŒŒĉƌßÃŚĉĬĥȊĬÿȊ</w:t>
      </w:r>
      <w:r>
        <w:rPr>
          <w:rFonts w:ascii="PMingLiU" w:cs="PMingLiU" w:eastAsia="PMingLiU" w:hAnsi="PMingLiU"/>
          <w:sz w:val="12"/>
          <w:szCs w:val="12"/>
          <w:color w:val="231F20"/>
        </w:rPr>
        <w:t></w:t>
      </w:r>
      <w:r>
        <w:rPr>
          <w:rFonts w:ascii="Arial" w:cs="Arial" w:eastAsia="Arial" w:hAnsi="Arial"/>
          <w:sz w:val="12"/>
          <w:szCs w:val="12"/>
          <w:color w:val="231F20"/>
        </w:rPr>
        <w:t>Ȋ</w:t>
      </w:r>
      <w:r>
        <w:rPr>
          <w:rFonts w:ascii="PMingLiU" w:cs="PMingLiU" w:eastAsia="PMingLiU" w:hAnsi="PMingLiU"/>
          <w:sz w:val="12"/>
          <w:szCs w:val="12"/>
          <w:color w:val="231F20"/>
        </w:rPr>
        <w:t></w:t>
      </w:r>
      <w:r>
        <w:rPr>
          <w:rFonts w:ascii="Arial" w:cs="Arial" w:eastAsia="Arial" w:hAnsi="Arial"/>
          <w:sz w:val="12"/>
          <w:szCs w:val="12"/>
          <w:color w:val="231F20"/>
        </w:rPr>
        <w:t>F</w:t>
      </w:r>
      <w:r>
        <w:rPr>
          <w:rFonts w:ascii="PMingLiU" w:cs="PMingLiU" w:eastAsia="PMingLiU" w:hAnsi="PMingLiU"/>
          <w:sz w:val="12"/>
          <w:szCs w:val="12"/>
          <w:color w:val="231F20"/>
        </w:rPr>
        <w:t></w:t>
      </w:r>
      <w:r>
        <w:rPr>
          <w:rFonts w:ascii="Arial" w:cs="Arial" w:eastAsia="Arial" w:hAnsi="Arial"/>
          <w:sz w:val="12"/>
          <w:szCs w:val="12"/>
          <w:color w:val="231F20"/>
        </w:rPr>
        <w:t>XȊÃŒȊåĉŒßĬĥŚĉĥŠêåȊĬňêŋÃŚĉĬĥŒǡȊ</w:t>
      </w:r>
    </w:p>
    <w:p>
      <w:pPr>
        <w:spacing w:after="0" w:line="75"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ƓȊȊȊȊƓƑƓƔȊĉĥßĞŠåêŒȊĉĤňÃĉŋĤêĥŚȊßąÃŋĀêŒȊĬÿȊȐƙƑȊĤĉĞĞĉĬĥȊÿĬŋȊŚąêȊ</w:t>
      </w:r>
      <w:r>
        <w:rPr>
          <w:rFonts w:ascii="PMingLiU" w:cs="PMingLiU" w:eastAsia="PMingLiU" w:hAnsi="PMingLiU"/>
          <w:sz w:val="12"/>
          <w:szCs w:val="12"/>
          <w:color w:val="231F20"/>
        </w:rPr>
        <w:t></w:t>
      </w:r>
      <w:r>
        <w:rPr>
          <w:rFonts w:ascii="Arial" w:cs="Arial" w:eastAsia="Arial" w:hAnsi="Arial"/>
          <w:sz w:val="12"/>
          <w:szCs w:val="12"/>
          <w:color w:val="231F20"/>
        </w:rPr>
        <w:t>ňÃĉĥȊŋêňĬŋŚĉĥĀȊŠĥĉŚǡ</w:t>
      </w:r>
    </w:p>
    <w:p>
      <w:pPr>
        <w:spacing w:after="0" w:line="75"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ƔȊȊȊȊƓƑƓƓȊêżßĞŠåêŒȊĬĥêǸŚĉĤêȊ=</w:t>
      </w:r>
      <w:r>
        <w:rPr>
          <w:rFonts w:ascii="PMingLiU" w:cs="PMingLiU" w:eastAsia="PMingLiU" w:hAnsi="PMingLiU"/>
          <w:sz w:val="12"/>
          <w:szCs w:val="12"/>
          <w:color w:val="231F20"/>
        </w:rPr>
        <w:t></w:t>
      </w:r>
      <w:r>
        <w:rPr>
          <w:rFonts w:ascii="Arial" w:cs="Arial" w:eastAsia="Arial" w:hAnsi="Arial"/>
          <w:sz w:val="12"/>
          <w:szCs w:val="12"/>
          <w:color w:val="231F20"/>
        </w:rPr>
        <w:t>ȊßÃŒąȊŚÃżȊßąÃŋĀêǡ</w:t>
      </w:r>
    </w:p>
    <w:p>
      <w:pPr>
        <w:spacing w:after="0" w:line="75" w:lineRule="exact"/>
        <w:rPr>
          <w:sz w:val="20"/>
          <w:szCs w:val="20"/>
          <w:color w:val="auto"/>
        </w:rPr>
      </w:pPr>
    </w:p>
    <w:p>
      <w:pPr>
        <w:spacing w:after="0" w:line="110" w:lineRule="exact"/>
        <w:rPr>
          <w:sz w:val="20"/>
          <w:szCs w:val="20"/>
          <w:color w:val="auto"/>
        </w:rPr>
      </w:pPr>
      <w:r>
        <w:rPr>
          <w:rFonts w:ascii="Arial" w:cs="Arial" w:eastAsia="Arial" w:hAnsi="Arial"/>
          <w:sz w:val="9"/>
          <w:szCs w:val="9"/>
          <w:color w:val="231F20"/>
        </w:rPr>
        <w:t>ƕȊȊȊȊƓƑƓƖȊĉĥßĞŠåêŒȊÃåĘŠŒŚĤêĥŚŒȊÿĬŋȊǲĉǳȊȐƑǡƔȊĤĉĞĞĉĬĥȊĬÿȊŚÃżêŒȊňÃĉåȊĉĥȊ</w:t>
      </w:r>
      <w:r>
        <w:rPr>
          <w:rFonts w:ascii="PMingLiU" w:cs="PMingLiU" w:eastAsia="PMingLiU" w:hAnsi="PMingLiU"/>
          <w:sz w:val="9"/>
          <w:szCs w:val="9"/>
          <w:color w:val="231F20"/>
        </w:rPr>
        <w:t></w:t>
      </w:r>
      <w:r>
        <w:rPr>
          <w:rFonts w:ascii="Arial" w:cs="Arial" w:eastAsia="Arial" w:hAnsi="Arial"/>
          <w:sz w:val="9"/>
          <w:szCs w:val="9"/>
          <w:color w:val="231F20"/>
        </w:rPr>
        <w:t>ĉĥĀÃňĬŋêȊŋêĞÃŚêåȊŚĬȊŚąêȊ</w:t>
      </w:r>
      <w:r>
        <w:rPr>
          <w:rFonts w:ascii="PMingLiU" w:cs="PMingLiU" w:eastAsia="PMingLiU" w:hAnsi="PMingLiU"/>
          <w:sz w:val="9"/>
          <w:szCs w:val="9"/>
          <w:color w:val="231F20"/>
        </w:rPr>
        <w:t></w:t>
      </w:r>
      <w:r>
        <w:rPr>
          <w:rFonts w:ascii="Arial" w:cs="Arial" w:eastAsia="Arial" w:hAnsi="Arial"/>
          <w:sz w:val="9"/>
          <w:szCs w:val="9"/>
          <w:color w:val="231F20"/>
        </w:rPr>
        <w:t>Ȋ</w:t>
      </w:r>
      <w:r>
        <w:rPr>
          <w:rFonts w:ascii="PMingLiU" w:cs="PMingLiU" w:eastAsia="PMingLiU" w:hAnsi="PMingLiU"/>
          <w:sz w:val="9"/>
          <w:szCs w:val="9"/>
          <w:color w:val="231F20"/>
        </w:rPr>
        <w:t></w:t>
      </w:r>
      <w:r>
        <w:rPr>
          <w:rFonts w:ascii="Arial" w:cs="Arial" w:eastAsia="Arial" w:hAnsi="Arial"/>
          <w:sz w:val="9"/>
          <w:szCs w:val="9"/>
          <w:color w:val="231F20"/>
        </w:rPr>
        <w:t>F</w:t>
      </w:r>
      <w:r>
        <w:rPr>
          <w:rFonts w:ascii="PMingLiU" w:cs="PMingLiU" w:eastAsia="PMingLiU" w:hAnsi="PMingLiU"/>
          <w:sz w:val="9"/>
          <w:szCs w:val="9"/>
          <w:color w:val="231F20"/>
        </w:rPr>
        <w:t></w:t>
      </w:r>
      <w:r>
        <w:rPr>
          <w:rFonts w:ascii="Arial" w:cs="Arial" w:eastAsia="Arial" w:hAnsi="Arial"/>
          <w:sz w:val="9"/>
          <w:szCs w:val="9"/>
          <w:color w:val="231F20"/>
        </w:rPr>
        <w:t>XȊ</w:t>
      </w:r>
      <w:r>
        <w:rPr>
          <w:rFonts w:ascii="PMingLiU" w:cs="PMingLiU" w:eastAsia="PMingLiU" w:hAnsi="PMingLiU"/>
          <w:sz w:val="9"/>
          <w:szCs w:val="9"/>
          <w:color w:val="231F20"/>
        </w:rPr>
        <w:t></w:t>
      </w:r>
      <w:r>
        <w:rPr>
          <w:rFonts w:ascii="Arial" w:cs="Arial" w:eastAsia="Arial" w:hAnsi="Arial"/>
          <w:sz w:val="9"/>
          <w:szCs w:val="9"/>
          <w:color w:val="231F20"/>
        </w:rPr>
        <w:t>ŋÃĥŒÃßŚĉĬĥǢȊǲĉĉǳȊȐƓƖǡƙȊĤĉĞĞĉĬĥȊĬÿȊŚÃżêŒȊňÃĉåȊĉĥȊ</w:t>
      </w:r>
      <w:r>
        <w:rPr>
          <w:rFonts w:ascii="PMingLiU" w:cs="PMingLiU" w:eastAsia="PMingLiU" w:hAnsi="PMingLiU"/>
          <w:sz w:val="9"/>
          <w:szCs w:val="9"/>
          <w:color w:val="231F20"/>
        </w:rPr>
        <w:t></w:t>
      </w:r>
      <w:r>
        <w:rPr>
          <w:rFonts w:ascii="Arial" w:cs="Arial" w:eastAsia="Arial" w:hAnsi="Arial"/>
          <w:sz w:val="9"/>
          <w:szCs w:val="9"/>
          <w:color w:val="231F20"/>
        </w:rPr>
        <w:t>ĬŠŚąȊ</w:t>
      </w:r>
      <w:r>
        <w:rPr>
          <w:rFonts w:ascii="PMingLiU" w:cs="PMingLiU" w:eastAsia="PMingLiU" w:hAnsi="PMingLiU"/>
          <w:sz w:val="9"/>
          <w:szCs w:val="9"/>
          <w:color w:val="231F20"/>
        </w:rPr>
        <w:t/>
      </w:r>
      <w:r>
        <w:rPr>
          <w:rFonts w:ascii="Arial" w:cs="Arial" w:eastAsia="Arial" w:hAnsi="Arial"/>
          <w:sz w:val="9"/>
          <w:szCs w:val="9"/>
          <w:color w:val="231F20"/>
        </w:rPr>
        <w:t>ÿŋĉßÃǢȊŷąĉßąȊŷêŋêȊĉĥßŠŋŋêåȊÃŒȊÃȊȊ</w:t>
      </w:r>
    </w:p>
    <w:p>
      <w:pPr>
        <w:spacing w:after="0" w:line="51" w:lineRule="exact"/>
        <w:rPr>
          <w:sz w:val="20"/>
          <w:szCs w:val="20"/>
          <w:color w:val="auto"/>
        </w:rPr>
      </w:pPr>
    </w:p>
    <w:p>
      <w:pPr>
        <w:ind w:left="180" w:hanging="179"/>
        <w:spacing w:after="0" w:line="110" w:lineRule="exact"/>
        <w:tabs>
          <w:tab w:leader="none" w:pos="180" w:val="left"/>
        </w:tabs>
        <w:numPr>
          <w:ilvl w:val="0"/>
          <w:numId w:val="130"/>
        </w:numPr>
        <w:rPr>
          <w:rFonts w:ascii="Arial" w:cs="Arial" w:eastAsia="Arial" w:hAnsi="Arial"/>
          <w:sz w:val="9"/>
          <w:szCs w:val="9"/>
          <w:color w:val="231F20"/>
        </w:rPr>
      </w:pPr>
      <w:r>
        <w:rPr>
          <w:rFonts w:ascii="Arial" w:cs="Arial" w:eastAsia="Arial" w:hAnsi="Arial"/>
          <w:sz w:val="9"/>
          <w:szCs w:val="9"/>
          <w:color w:val="231F20"/>
        </w:rPr>
        <w:t>ŋêŒŠĞŚȊĬÿȊŚąêȊŒÃĞêȊĬÿȊĉŚŒȊƌÞêŋȊÃŒŒêŚŒȊąêĞåȊĉĥȊ</w:t>
      </w:r>
      <w:r>
        <w:rPr>
          <w:rFonts w:ascii="PMingLiU" w:cs="PMingLiU" w:eastAsia="PMingLiU" w:hAnsi="PMingLiU"/>
          <w:sz w:val="9"/>
          <w:szCs w:val="9"/>
          <w:color w:val="231F20"/>
        </w:rPr>
        <w:t></w:t>
      </w:r>
      <w:r>
        <w:rPr>
          <w:rFonts w:ascii="Arial" w:cs="Arial" w:eastAsia="Arial" w:hAnsi="Arial"/>
          <w:sz w:val="9"/>
          <w:szCs w:val="9"/>
          <w:color w:val="231F20"/>
        </w:rPr>
        <w:t>ĬŠŚąȊ</w:t>
      </w:r>
      <w:r>
        <w:rPr>
          <w:rFonts w:ascii="PMingLiU" w:cs="PMingLiU" w:eastAsia="PMingLiU" w:hAnsi="PMingLiU"/>
          <w:sz w:val="9"/>
          <w:szCs w:val="9"/>
          <w:color w:val="231F20"/>
        </w:rPr>
        <w:t/>
      </w:r>
      <w:r>
        <w:rPr>
          <w:rFonts w:ascii="Arial" w:cs="Arial" w:eastAsia="Arial" w:hAnsi="Arial"/>
          <w:sz w:val="9"/>
          <w:szCs w:val="9"/>
          <w:color w:val="231F20"/>
        </w:rPr>
        <w:t>ÿŋĉßÃǢȊǲĉĉĉǳȊȐƔƑǡƕȊĤĉĞĞĉĬĥȊĬÿȊŚÃżêŒȊňÃĉåȊŋêĞÃŚêåȊŚĬȊŚąêȊŒÃĞêȊĬÿȊêŊŠĉŚŽȊŒêßŠŋĉŚĉêŒȊĉĥȊŚąêȊ</w:t>
      </w:r>
      <w:r>
        <w:rPr>
          <w:rFonts w:ascii="PMingLiU" w:cs="PMingLiU" w:eastAsia="PMingLiU" w:hAnsi="PMingLiU"/>
          <w:sz w:val="9"/>
          <w:szCs w:val="9"/>
          <w:color w:val="231F20"/>
        </w:rPr>
        <w:t></w:t>
      </w:r>
      <w:r>
        <w:rPr>
          <w:rFonts w:ascii="Arial" w:cs="Arial" w:eastAsia="Arial" w:hAnsi="Arial"/>
          <w:sz w:val="9"/>
          <w:szCs w:val="9"/>
          <w:color w:val="231F20"/>
        </w:rPr>
        <w:t>ǡ</w:t>
      </w:r>
      <w:r>
        <w:rPr>
          <w:rFonts w:ascii="PMingLiU" w:cs="PMingLiU" w:eastAsia="PMingLiU" w:hAnsi="PMingLiU"/>
          <w:sz w:val="9"/>
          <w:szCs w:val="9"/>
          <w:color w:val="231F20"/>
        </w:rPr>
        <w:t></w:t>
      </w:r>
      <w:r>
        <w:rPr>
          <w:rFonts w:ascii="Arial" w:cs="Arial" w:eastAsia="Arial" w:hAnsi="Arial"/>
          <w:sz w:val="9"/>
          <w:szCs w:val="9"/>
          <w:color w:val="231F20"/>
        </w:rPr>
        <w:t>ǡȊÃĥåȊǲĉŶǳȊȐƗǡƖȊĤĉĞĞĉĬĥȊĬÿȊĬŚąêŋȊŚÃżȊÃåĘŠŒŚĤêĥŚŒǡȊȊ</w:t>
      </w:r>
    </w:p>
    <w:p>
      <w:pPr>
        <w:spacing w:after="0" w:line="50" w:lineRule="exact"/>
        <w:rPr>
          <w:rFonts w:ascii="Arial" w:cs="Arial" w:eastAsia="Arial" w:hAnsi="Arial"/>
          <w:sz w:val="9"/>
          <w:szCs w:val="9"/>
          <w:color w:val="231F20"/>
        </w:rPr>
      </w:pPr>
    </w:p>
    <w:p>
      <w:pPr>
        <w:ind w:left="180" w:hanging="179"/>
        <w:spacing w:after="0" w:line="146" w:lineRule="exact"/>
        <w:tabs>
          <w:tab w:leader="none" w:pos="180" w:val="left"/>
        </w:tabs>
        <w:numPr>
          <w:ilvl w:val="0"/>
          <w:numId w:val="130"/>
        </w:numPr>
        <w:rPr>
          <w:rFonts w:ascii="Arial" w:cs="Arial" w:eastAsia="Arial" w:hAnsi="Arial"/>
          <w:sz w:val="12"/>
          <w:szCs w:val="12"/>
          <w:color w:val="231F20"/>
        </w:rPr>
      </w:pPr>
      <w:r>
        <w:rPr>
          <w:rFonts w:ascii="Arial" w:cs="Arial" w:eastAsia="Arial" w:hAnsi="Arial"/>
          <w:sz w:val="12"/>
          <w:szCs w:val="12"/>
          <w:color w:val="231F20"/>
        </w:rPr>
        <w:t>ƓƑƓƕȊĉĥßĞŠåêŒȊÃåĘŠŒŚĤêĥŚŒȊÿĬŋȊŷĉŚąąĬĞåĉĥĀȊŚÃżêŒȊňÃĉåȊĉĥȊ</w:t>
      </w:r>
      <w:r>
        <w:rPr>
          <w:rFonts w:ascii="PMingLiU" w:cs="PMingLiU" w:eastAsia="PMingLiU" w:hAnsi="PMingLiU"/>
          <w:sz w:val="12"/>
          <w:szCs w:val="12"/>
          <w:color w:val="231F20"/>
        </w:rPr>
        <w:t></w:t>
      </w:r>
      <w:r>
        <w:rPr>
          <w:rFonts w:ascii="Arial" w:cs="Arial" w:eastAsia="Arial" w:hAnsi="Arial"/>
          <w:sz w:val="12"/>
          <w:szCs w:val="12"/>
          <w:color w:val="231F20"/>
        </w:rPr>
        <w:t>ĉĥĀÃňĬŋêȊĬÿȊȐƔƗǡƕȊĤĉĞĞĉĬĥǢȊŷąĉßąȊŷêŋêȊĉĥßŠŋŋêåȊÃŒȊÃȊŋêŒŠĞŚȊĬÿȊŚąêȊ</w:t>
      </w:r>
      <w:r>
        <w:rPr>
          <w:rFonts w:ascii="PMingLiU" w:cs="PMingLiU" w:eastAsia="PMingLiU" w:hAnsi="PMingLiU"/>
          <w:sz w:val="12"/>
          <w:szCs w:val="12"/>
          <w:color w:val="231F20"/>
        </w:rPr>
        <w:t></w:t>
      </w:r>
      <w:r>
        <w:rPr>
          <w:rFonts w:ascii="Arial" w:cs="Arial" w:eastAsia="Arial" w:hAnsi="Arial"/>
          <w:sz w:val="12"/>
          <w:szCs w:val="12"/>
          <w:color w:val="231F20"/>
        </w:rPr>
        <w:t>Ȋ</w:t>
      </w:r>
      <w:r>
        <w:rPr>
          <w:rFonts w:ascii="PMingLiU" w:cs="PMingLiU" w:eastAsia="PMingLiU" w:hAnsi="PMingLiU"/>
          <w:sz w:val="12"/>
          <w:szCs w:val="12"/>
          <w:color w:val="231F20"/>
        </w:rPr>
        <w:t></w:t>
      </w:r>
      <w:r>
        <w:rPr>
          <w:rFonts w:ascii="Arial" w:cs="Arial" w:eastAsia="Arial" w:hAnsi="Arial"/>
          <w:sz w:val="12"/>
          <w:szCs w:val="12"/>
          <w:color w:val="231F20"/>
        </w:rPr>
        <w:t>F</w:t>
      </w:r>
      <w:r>
        <w:rPr>
          <w:rFonts w:ascii="PMingLiU" w:cs="PMingLiU" w:eastAsia="PMingLiU" w:hAnsi="PMingLiU"/>
          <w:sz w:val="12"/>
          <w:szCs w:val="12"/>
          <w:color w:val="231F20"/>
        </w:rPr>
        <w:t></w:t>
      </w:r>
      <w:r>
        <w:rPr>
          <w:rFonts w:ascii="Arial" w:cs="Arial" w:eastAsia="Arial" w:hAnsi="Arial"/>
          <w:sz w:val="12"/>
          <w:szCs w:val="12"/>
          <w:color w:val="231F20"/>
        </w:rPr>
        <w:t>XȊ</w:t>
      </w:r>
      <w:r>
        <w:rPr>
          <w:rFonts w:ascii="PMingLiU" w:cs="PMingLiU" w:eastAsia="PMingLiU" w:hAnsi="PMingLiU"/>
          <w:sz w:val="12"/>
          <w:szCs w:val="12"/>
          <w:color w:val="231F20"/>
        </w:rPr>
        <w:t></w:t>
      </w:r>
      <w:r>
        <w:rPr>
          <w:rFonts w:ascii="Arial" w:cs="Arial" w:eastAsia="Arial" w:hAnsi="Arial"/>
          <w:sz w:val="12"/>
          <w:szCs w:val="12"/>
          <w:color w:val="231F20"/>
        </w:rPr>
        <w:t>ŋÃĥŒÃßŚĉĬĥǡ</w:t>
      </w:r>
    </w:p>
    <w:p>
      <w:pPr>
        <w:spacing w:after="0" w:line="75" w:lineRule="exact"/>
        <w:rPr>
          <w:sz w:val="20"/>
          <w:szCs w:val="20"/>
          <w:color w:val="auto"/>
        </w:rPr>
      </w:pPr>
    </w:p>
    <w:p>
      <w:pPr>
        <w:spacing w:after="0" w:line="122" w:lineRule="exact"/>
        <w:rPr>
          <w:sz w:val="20"/>
          <w:szCs w:val="20"/>
          <w:color w:val="auto"/>
        </w:rPr>
      </w:pPr>
      <w:r>
        <w:rPr>
          <w:rFonts w:ascii="Arial" w:cs="Arial" w:eastAsia="Arial" w:hAnsi="Arial"/>
          <w:sz w:val="10"/>
          <w:szCs w:val="10"/>
          <w:color w:val="231F20"/>
        </w:rPr>
        <w:t>ƖȊȊȊȊ</w:t>
      </w:r>
      <w:r>
        <w:rPr>
          <w:rFonts w:ascii="PMingLiU" w:cs="PMingLiU" w:eastAsia="PMingLiU" w:hAnsi="PMingLiU"/>
          <w:sz w:val="10"/>
          <w:szCs w:val="10"/>
          <w:color w:val="231F20"/>
        </w:rPr>
        <w:t></w:t>
      </w:r>
      <w:r>
        <w:rPr>
          <w:rFonts w:ascii="Arial" w:cs="Arial" w:eastAsia="Arial" w:hAnsi="Arial"/>
          <w:sz w:val="10"/>
          <w:szCs w:val="10"/>
          <w:color w:val="231F20"/>
        </w:rPr>
        <w:t>êňŋêŒêĥŚŒȊ</w:t>
      </w:r>
      <w:r>
        <w:rPr>
          <w:rFonts w:ascii="PMingLiU" w:cs="PMingLiU" w:eastAsia="PMingLiU" w:hAnsi="PMingLiU"/>
          <w:sz w:val="10"/>
          <w:szCs w:val="10"/>
          <w:color w:val="231F20"/>
        </w:rPr>
        <w:t/>
      </w:r>
      <w:r>
        <w:rPr>
          <w:rFonts w:ascii="Arial" w:cs="Arial" w:eastAsia="Arial" w:hAnsi="Arial"/>
          <w:sz w:val="10"/>
          <w:szCs w:val="10"/>
          <w:color w:val="231F20"/>
        </w:rPr>
        <w:t>&lt;&lt;fȊÃŚŚŋĉÞŠŚÃÞĞêȊŚĬȊ</w:t>
      </w:r>
      <w:r>
        <w:rPr>
          <w:rFonts w:ascii="PMingLiU" w:cs="PMingLiU" w:eastAsia="PMingLiU" w:hAnsi="PMingLiU"/>
          <w:sz w:val="10"/>
          <w:szCs w:val="10"/>
          <w:color w:val="231F20"/>
        </w:rPr>
        <w:t/>
      </w:r>
      <w:r>
        <w:rPr>
          <w:rFonts w:ascii="Arial" w:cs="Arial" w:eastAsia="Arial" w:hAnsi="Arial"/>
          <w:sz w:val="10"/>
          <w:szCs w:val="10"/>
          <w:color w:val="231F20"/>
        </w:rPr>
        <w:t>^</w:t>
      </w:r>
      <w:r>
        <w:rPr>
          <w:rFonts w:ascii="PMingLiU" w:cs="PMingLiU" w:eastAsia="PMingLiU" w:hAnsi="PMingLiU"/>
          <w:sz w:val="10"/>
          <w:szCs w:val="10"/>
          <w:color w:val="231F20"/>
        </w:rPr>
        <w:t></w:t>
      </w:r>
      <w:r>
        <w:rPr>
          <w:rFonts w:ascii="Arial" w:cs="Arial" w:eastAsia="Arial" w:hAnsi="Arial"/>
          <w:sz w:val="10"/>
          <w:szCs w:val="10"/>
          <w:color w:val="231F20"/>
        </w:rPr>
        <w:t>ȊßĬĤĤĬĥȊŒŚĬßěąĬĞåêŋŒȊÿŋĬĤȊßĬĥŚĉĥŠĉĥĀȊĬňêŋÃŚĉĬĥŒȊÃåĘŠŒŚêåȊÿĬŋȊÃȊÿŠĞĞȊňêŋĉĬåȊĬÿȊĉĥŚêŋêŒŚȊêżňêĥŒêȊŒÃŶĉĥĀŒȊÃŒŒĬßĉÃŚêåȊŷĉŚąȊŚąêȊŠŒêȊĬÿȊÃňňŋĬżĉĤÃŚêĞŽ</w:t>
      </w:r>
    </w:p>
    <w:p>
      <w:pPr>
        <w:spacing w:after="0" w:line="39" w:lineRule="exact"/>
        <w:rPr>
          <w:sz w:val="20"/>
          <w:szCs w:val="20"/>
          <w:color w:val="auto"/>
        </w:rPr>
      </w:pPr>
    </w:p>
    <w:p>
      <w:pPr>
        <w:ind w:left="180" w:hanging="179"/>
        <w:spacing w:after="0" w:line="122" w:lineRule="exact"/>
        <w:tabs>
          <w:tab w:leader="none" w:pos="180" w:val="left"/>
        </w:tabs>
        <w:numPr>
          <w:ilvl w:val="0"/>
          <w:numId w:val="131"/>
        </w:numPr>
        <w:rPr>
          <w:rFonts w:ascii="Arial" w:cs="Arial" w:eastAsia="Arial" w:hAnsi="Arial"/>
          <w:sz w:val="10"/>
          <w:szCs w:val="10"/>
          <w:color w:val="231F20"/>
        </w:rPr>
      </w:pPr>
      <w:r>
        <w:rPr>
          <w:rFonts w:ascii="Arial" w:cs="Arial" w:eastAsia="Arial" w:hAnsi="Arial"/>
          <w:sz w:val="10"/>
          <w:szCs w:val="10"/>
          <w:color w:val="231F20"/>
        </w:rPr>
        <w:t>ȐƓǡƑȊÞĉĞĞĉĬĥȊĬÿȊňŋĬßêêåŒȊÿŋĬĤȊŚąêȊ</w:t>
      </w:r>
      <w:r>
        <w:rPr>
          <w:rFonts w:ascii="PMingLiU" w:cs="PMingLiU" w:eastAsia="PMingLiU" w:hAnsi="PMingLiU"/>
          <w:sz w:val="10"/>
          <w:szCs w:val="10"/>
          <w:color w:val="231F20"/>
        </w:rPr>
        <w:t></w:t>
      </w:r>
      <w:r>
        <w:rPr>
          <w:rFonts w:ascii="Arial" w:cs="Arial" w:eastAsia="Arial" w:hAnsi="Arial"/>
          <w:sz w:val="10"/>
          <w:szCs w:val="10"/>
          <w:color w:val="231F20"/>
        </w:rPr>
        <w:t>Ȋ</w:t>
      </w:r>
      <w:r>
        <w:rPr>
          <w:rFonts w:ascii="PMingLiU" w:cs="PMingLiU" w:eastAsia="PMingLiU" w:hAnsi="PMingLiU"/>
          <w:sz w:val="10"/>
          <w:szCs w:val="10"/>
          <w:color w:val="231F20"/>
        </w:rPr>
        <w:t></w:t>
      </w:r>
      <w:r>
        <w:rPr>
          <w:rFonts w:ascii="Arial" w:cs="Arial" w:eastAsia="Arial" w:hAnsi="Arial"/>
          <w:sz w:val="10"/>
          <w:szCs w:val="10"/>
          <w:color w:val="231F20"/>
        </w:rPr>
        <w:t>F</w:t>
      </w:r>
      <w:r>
        <w:rPr>
          <w:rFonts w:ascii="PMingLiU" w:cs="PMingLiU" w:eastAsia="PMingLiU" w:hAnsi="PMingLiU"/>
          <w:sz w:val="10"/>
          <w:szCs w:val="10"/>
          <w:color w:val="231F20"/>
        </w:rPr>
        <w:t></w:t>
      </w:r>
      <w:r>
        <w:rPr>
          <w:rFonts w:ascii="Arial" w:cs="Arial" w:eastAsia="Arial" w:hAnsi="Arial"/>
          <w:sz w:val="10"/>
          <w:szCs w:val="10"/>
          <w:color w:val="231F20"/>
        </w:rPr>
        <w:t>XȊ</w:t>
      </w:r>
      <w:r>
        <w:rPr>
          <w:rFonts w:ascii="PMingLiU" w:cs="PMingLiU" w:eastAsia="PMingLiU" w:hAnsi="PMingLiU"/>
          <w:sz w:val="10"/>
          <w:szCs w:val="10"/>
          <w:color w:val="231F20"/>
        </w:rPr>
        <w:t></w:t>
      </w:r>
      <w:r>
        <w:rPr>
          <w:rFonts w:ascii="Arial" w:cs="Arial" w:eastAsia="Arial" w:hAnsi="Arial"/>
          <w:sz w:val="10"/>
          <w:szCs w:val="10"/>
          <w:color w:val="231F20"/>
        </w:rPr>
        <w:t>ŋÃĥŒÃßŚĉĬĥȊŚĬȊňÃŽȊåĬŷĥȊêżĉŒŚĉĥĀȊĉĥåêÞŚêåĥêŒŒȊŠĥåêŋȊŚąêȊƓƑƓƒȊ^ŠĞŚĉßŠŋŋêĥßŽȊ</w:t>
      </w:r>
      <w:r>
        <w:rPr>
          <w:rFonts w:ascii="PMingLiU" w:cs="PMingLiU" w:eastAsia="PMingLiU" w:hAnsi="PMingLiU"/>
          <w:sz w:val="10"/>
          <w:szCs w:val="10"/>
          <w:color w:val="231F20"/>
        </w:rPr>
        <w:t/>
      </w:r>
      <w:r>
        <w:rPr>
          <w:rFonts w:ascii="Arial" w:cs="Arial" w:eastAsia="Arial" w:hAnsi="Arial"/>
          <w:sz w:val="10"/>
          <w:szCs w:val="10"/>
          <w:color w:val="231F20"/>
        </w:rPr>
        <w:t>ŋêåĉŚȊ&lt;ÃßĉĞĉŚŽǢȊÃŚȊŚąêȊÃňňĞĉßÃÞĞêȊąĉŒŚĬŋĉßÃĞȊÞĬŋŋĬŷĉĥĀȊßĬŒŚȊÿĬŋȊŚąê</w:t>
      </w:r>
    </w:p>
    <w:p>
      <w:pPr>
        <w:spacing w:after="0" w:line="38" w:lineRule="exact"/>
        <w:rPr>
          <w:rFonts w:ascii="Arial" w:cs="Arial" w:eastAsia="Arial" w:hAnsi="Arial"/>
          <w:sz w:val="10"/>
          <w:szCs w:val="10"/>
          <w:color w:val="231F20"/>
        </w:rPr>
      </w:pPr>
    </w:p>
    <w:p>
      <w:pPr>
        <w:ind w:left="180" w:hanging="179"/>
        <w:spacing w:after="0" w:line="122" w:lineRule="exact"/>
        <w:tabs>
          <w:tab w:leader="none" w:pos="180" w:val="left"/>
        </w:tabs>
        <w:numPr>
          <w:ilvl w:val="0"/>
          <w:numId w:val="131"/>
        </w:numPr>
        <w:rPr>
          <w:rFonts w:ascii="Arial" w:cs="Arial" w:eastAsia="Arial" w:hAnsi="Arial"/>
          <w:sz w:val="10"/>
          <w:szCs w:val="10"/>
          <w:color w:val="231F20"/>
        </w:rPr>
      </w:pPr>
      <w:r>
        <w:rPr>
          <w:rFonts w:ascii="Arial" w:cs="Arial" w:eastAsia="Arial" w:hAnsi="Arial"/>
          <w:sz w:val="10"/>
          <w:szCs w:val="10"/>
          <w:color w:val="231F20"/>
        </w:rPr>
        <w:t>ŋêŒňêßŚĉŶêȊňêŋĉĬåǡȊ_ĬȊÃååĉŚĉĬĥÃĞȊÃåĘŠŒŚĤêĥŚŒȊÃŋêȊŋêŊŠĉŋêåȊŋêĞÃŚêåȊŚĬȊŚąêȊŋêňÃŽĤêĥŚȊĬÿȊÃňňŋĬżĉĤÃŚêĞŽȊȐƒƓƑȊĤĉĞĞĉĬĥȊŠĥåêŋȊŚąêȊFĥåĉÃȊ</w:t>
      </w:r>
      <w:r>
        <w:rPr>
          <w:rFonts w:ascii="PMingLiU" w:cs="PMingLiU" w:eastAsia="PMingLiU" w:hAnsi="PMingLiU"/>
          <w:sz w:val="10"/>
          <w:szCs w:val="10"/>
          <w:color w:val="231F20"/>
        </w:rPr>
        <w:t></w:t>
      </w:r>
      <w:r>
        <w:rPr>
          <w:rFonts w:ascii="Arial" w:cs="Arial" w:eastAsia="Arial" w:hAnsi="Arial"/>
          <w:sz w:val="10"/>
          <w:szCs w:val="10"/>
          <w:color w:val="231F20"/>
        </w:rPr>
        <w:t>êŋĤȊXĬÃĥǢȊÃŒȊŚąêȊąĉŒŚĬŋĉßÃĞȊĉĥŚêŋêŒŚȊêżňêĥŒê</w:t>
      </w:r>
    </w:p>
    <w:p>
      <w:pPr>
        <w:spacing w:after="0" w:line="38" w:lineRule="exact"/>
        <w:rPr>
          <w:rFonts w:ascii="Arial" w:cs="Arial" w:eastAsia="Arial" w:hAnsi="Arial"/>
          <w:sz w:val="10"/>
          <w:szCs w:val="10"/>
          <w:color w:val="231F20"/>
        </w:rPr>
      </w:pPr>
    </w:p>
    <w:p>
      <w:pPr>
        <w:ind w:left="180" w:hanging="179"/>
        <w:spacing w:after="0" w:line="122" w:lineRule="exact"/>
        <w:tabs>
          <w:tab w:leader="none" w:pos="180" w:val="left"/>
        </w:tabs>
        <w:numPr>
          <w:ilvl w:val="0"/>
          <w:numId w:val="131"/>
        </w:numPr>
        <w:rPr>
          <w:rFonts w:ascii="Arial" w:cs="Arial" w:eastAsia="Arial" w:hAnsi="Arial"/>
          <w:sz w:val="10"/>
          <w:szCs w:val="10"/>
          <w:color w:val="231F20"/>
        </w:rPr>
      </w:pPr>
      <w:r>
        <w:rPr>
          <w:rFonts w:ascii="Arial" w:cs="Arial" w:eastAsia="Arial" w:hAnsi="Arial"/>
          <w:sz w:val="10"/>
          <w:szCs w:val="10"/>
          <w:color w:val="231F20"/>
        </w:rPr>
        <w:t>ÃŒŒĬßĉÃŚêåȊŷĉŚąȊŚąêȊFĥåĉÃȊ</w:t>
      </w:r>
      <w:r>
        <w:rPr>
          <w:rFonts w:ascii="PMingLiU" w:cs="PMingLiU" w:eastAsia="PMingLiU" w:hAnsi="PMingLiU"/>
          <w:sz w:val="10"/>
          <w:szCs w:val="10"/>
          <w:color w:val="231F20"/>
        </w:rPr>
        <w:t></w:t>
      </w:r>
      <w:r>
        <w:rPr>
          <w:rFonts w:ascii="Arial" w:cs="Arial" w:eastAsia="Arial" w:hAnsi="Arial"/>
          <w:sz w:val="10"/>
          <w:szCs w:val="10"/>
          <w:color w:val="231F20"/>
        </w:rPr>
        <w:t>êŋĤȊXĬÃĥȊĉŒȊÃĞŋêÃåŽȊßĬĥŒĉåêŋêåȊÃŒȊňÃŋŚȊĬÿȊ</w:t>
      </w:r>
      <w:r>
        <w:rPr>
          <w:rFonts w:ascii="PMingLiU" w:cs="PMingLiU" w:eastAsia="PMingLiU" w:hAnsi="PMingLiU"/>
          <w:sz w:val="10"/>
          <w:szCs w:val="10"/>
          <w:color w:val="231F20"/>
        </w:rPr>
        <w:t/>
      </w:r>
      <w:r>
        <w:rPr>
          <w:rFonts w:ascii="Arial" w:cs="Arial" w:eastAsia="Arial" w:hAnsi="Arial"/>
          <w:sz w:val="10"/>
          <w:szCs w:val="10"/>
          <w:color w:val="231F20"/>
        </w:rPr>
        <w:t>&lt;&lt;fȊÃŚŚŋĉÞŠŚÃÞĞêȊŚĬȊ</w:t>
      </w:r>
      <w:r>
        <w:rPr>
          <w:rFonts w:ascii="PMingLiU" w:cs="PMingLiU" w:eastAsia="PMingLiU" w:hAnsi="PMingLiU"/>
          <w:sz w:val="10"/>
          <w:szCs w:val="10"/>
          <w:color w:val="231F20"/>
        </w:rPr>
        <w:t/>
      </w:r>
      <w:r>
        <w:rPr>
          <w:rFonts w:ascii="Arial" w:cs="Arial" w:eastAsia="Arial" w:hAnsi="Arial"/>
          <w:sz w:val="10"/>
          <w:szCs w:val="10"/>
          <w:color w:val="231F20"/>
        </w:rPr>
        <w:t>^</w:t>
      </w:r>
      <w:r>
        <w:rPr>
          <w:rFonts w:ascii="PMingLiU" w:cs="PMingLiU" w:eastAsia="PMingLiU" w:hAnsi="PMingLiU"/>
          <w:sz w:val="10"/>
          <w:szCs w:val="10"/>
          <w:color w:val="231F20"/>
        </w:rPr>
        <w:t></w:t>
      </w:r>
      <w:r>
        <w:rPr>
          <w:rFonts w:ascii="Arial" w:cs="Arial" w:eastAsia="Arial" w:hAnsi="Arial"/>
          <w:sz w:val="10"/>
          <w:szCs w:val="10"/>
          <w:color w:val="231F20"/>
        </w:rPr>
        <w:t>ȊßĬĤĤĬĥȊŒŚĬßěąĬĞåêŋŒȊÿŋĬĤȊåĉŒßĬĥŚĉĥŠêåȊĬňêŋÃŚĉĬĥŒȊŷąêĥȊåêŋĉŶĉĥĀȊ</w:t>
      </w:r>
      <w:r>
        <w:rPr>
          <w:rFonts w:ascii="PMingLiU" w:cs="PMingLiU" w:eastAsia="PMingLiU" w:hAnsi="PMingLiU"/>
          <w:sz w:val="10"/>
          <w:szCs w:val="10"/>
          <w:color w:val="231F20"/>
        </w:rPr>
        <w:t/>
      </w:r>
      <w:r>
        <w:rPr>
          <w:rFonts w:ascii="Arial" w:cs="Arial" w:eastAsia="Arial" w:hAnsi="Arial"/>
          <w:sz w:val="10"/>
          <w:szCs w:val="10"/>
          <w:color w:val="231F20"/>
        </w:rPr>
        <w:t>&lt;&lt;fȊÃŚŚŋĉÞŠŚÃÞĞêȊŚĬ</w:t>
      </w:r>
    </w:p>
    <w:p>
      <w:pPr>
        <w:spacing w:after="0" w:line="38" w:lineRule="exact"/>
        <w:rPr>
          <w:rFonts w:ascii="Arial" w:cs="Arial" w:eastAsia="Arial" w:hAnsi="Arial"/>
          <w:sz w:val="10"/>
          <w:szCs w:val="10"/>
          <w:color w:val="231F20"/>
        </w:rPr>
      </w:pPr>
    </w:p>
    <w:p>
      <w:pPr>
        <w:ind w:left="180" w:hanging="179"/>
        <w:spacing w:after="0" w:line="146" w:lineRule="exact"/>
        <w:tabs>
          <w:tab w:leader="none" w:pos="180" w:val="left"/>
        </w:tabs>
        <w:numPr>
          <w:ilvl w:val="0"/>
          <w:numId w:val="131"/>
        </w:numPr>
        <w:rPr>
          <w:rFonts w:ascii="Arial" w:cs="Arial" w:eastAsia="Arial" w:hAnsi="Arial"/>
          <w:sz w:val="12"/>
          <w:szCs w:val="12"/>
          <w:color w:val="231F20"/>
        </w:rPr>
      </w:pPr>
      <w:r>
        <w:rPr>
          <w:rFonts w:ascii="PMingLiU" w:cs="PMingLiU" w:eastAsia="PMingLiU" w:hAnsi="PMingLiU"/>
          <w:sz w:val="12"/>
          <w:szCs w:val="12"/>
          <w:color w:val="231F20"/>
        </w:rPr>
        <w:t/>
      </w:r>
      <w:r>
        <w:rPr>
          <w:rFonts w:ascii="Arial" w:cs="Arial" w:eastAsia="Arial" w:hAnsi="Arial"/>
          <w:sz w:val="12"/>
          <w:szCs w:val="12"/>
          <w:color w:val="231F20"/>
        </w:rPr>
        <w:t>^</w:t>
      </w:r>
      <w:r>
        <w:rPr>
          <w:rFonts w:ascii="PMingLiU" w:cs="PMingLiU" w:eastAsia="PMingLiU" w:hAnsi="PMingLiU"/>
          <w:sz w:val="12"/>
          <w:szCs w:val="12"/>
          <w:color w:val="231F20"/>
        </w:rPr>
        <w:t></w:t>
      </w:r>
      <w:r>
        <w:rPr>
          <w:rFonts w:ascii="Arial" w:cs="Arial" w:eastAsia="Arial" w:hAnsi="Arial"/>
          <w:sz w:val="12"/>
          <w:szCs w:val="12"/>
          <w:color w:val="231F20"/>
        </w:rPr>
        <w:t>ȊßĬĤĤĬĥȊŒŚĬßěąĬĞåêŋŒȊÿŋĬĤȊßĬĥŚĉĥŠêåȊĬňêŋÃŚĉĬĥŒǡ</w:t>
      </w:r>
    </w:p>
    <w:p>
      <w:pPr>
        <w:sectPr>
          <w:pgSz w:w="11880" w:h="15480" w:orient="portrait"/>
          <w:cols w:equalWidth="0" w:num="1">
            <w:col w:w="10420"/>
          </w:cols>
          <w:pgMar w:left="720" w:top="658" w:right="740" w:bottom="1440" w:gutter="0" w:footer="0" w:header="0"/>
        </w:sectPr>
      </w:pPr>
    </w:p>
    <w:bookmarkStart w:id="152" w:name="page153"/>
    <w:bookmarkEnd w:id="152"/>
    <w:p>
      <w:pPr>
        <w:spacing w:after="0" w:line="388" w:lineRule="exact"/>
        <w:rPr>
          <w:sz w:val="20"/>
          <w:szCs w:val="20"/>
          <w:color w:val="auto"/>
        </w:rPr>
      </w:pPr>
      <w:r>
        <w:rPr>
          <w:rFonts w:ascii="PMingLiU" w:cs="PMingLiU" w:eastAsia="PMingLiU" w:hAnsi="PMingLiU"/>
          <w:sz w:val="32"/>
          <w:szCs w:val="32"/>
          <w:color w:val="95979A"/>
        </w:rPr>
        <w:t/>
      </w:r>
      <w:r>
        <w:rPr>
          <w:rFonts w:ascii="Arial" w:cs="Arial" w:eastAsia="Arial" w:hAnsi="Arial"/>
          <w:sz w:val="32"/>
          <w:szCs w:val="32"/>
          <w:color w:val="95979A"/>
        </w:rPr>
        <w:t>ĤêŋĉßÃĥȊ</w:t>
      </w:r>
      <w:r>
        <w:rPr>
          <w:rFonts w:ascii="PMingLiU" w:cs="PMingLiU" w:eastAsia="PMingLiU" w:hAnsi="PMingLiU"/>
          <w:sz w:val="32"/>
          <w:szCs w:val="32"/>
          <w:color w:val="95979A"/>
        </w:rPr>
        <w:t></w:t>
      </w:r>
      <w:r>
        <w:rPr>
          <w:rFonts w:ascii="Arial" w:cs="Arial" w:eastAsia="Arial" w:hAnsi="Arial"/>
          <w:sz w:val="32"/>
          <w:szCs w:val="32"/>
          <w:color w:val="95979A"/>
        </w:rPr>
        <w:t>ĬŷêŋȊ</w:t>
      </w:r>
      <w:r>
        <w:rPr>
          <w:rFonts w:ascii="PMingLiU" w:cs="PMingLiU" w:eastAsia="PMingLiU" w:hAnsi="PMingLiU"/>
          <w:sz w:val="32"/>
          <w:szCs w:val="32"/>
          <w:color w:val="95979A"/>
        </w:rPr>
        <w:t/>
      </w:r>
      <w:r>
        <w:rPr>
          <w:rFonts w:ascii="Arial" w:cs="Arial" w:eastAsia="Arial" w:hAnsi="Arial"/>
          <w:sz w:val="32"/>
          <w:szCs w:val="32"/>
          <w:color w:val="95979A"/>
        </w:rPr>
        <w:t>ĬŋňĬŋÃŚĉĬĥȊ</w:t>
      </w:r>
      <w:r>
        <w:rPr>
          <w:rFonts w:ascii="Arial" w:cs="Arial" w:eastAsia="Arial" w:hAnsi="Arial"/>
          <w:sz w:val="16"/>
          <w:szCs w:val="16"/>
          <w:color w:val="95979A"/>
        </w:rPr>
        <w:t>•</w:t>
      </w:r>
      <w:r>
        <w:rPr>
          <w:rFonts w:ascii="Arial" w:cs="Arial" w:eastAsia="Arial" w:hAnsi="Arial"/>
          <w:sz w:val="32"/>
          <w:szCs w:val="32"/>
          <w:color w:val="95979A"/>
        </w:rPr>
        <w:t>ȊƓƑƓƖȊ</w:t>
      </w:r>
      <w:r>
        <w:rPr>
          <w:rFonts w:ascii="PMingLiU" w:cs="PMingLiU" w:eastAsia="PMingLiU" w:hAnsi="PMingLiU"/>
          <w:sz w:val="32"/>
          <w:szCs w:val="32"/>
          <w:color w:val="95979A"/>
        </w:rPr>
        <w:t/>
      </w:r>
      <w:r>
        <w:rPr>
          <w:rFonts w:ascii="Arial" w:cs="Arial" w:eastAsia="Arial" w:hAnsi="Arial"/>
          <w:sz w:val="32"/>
          <w:szCs w:val="32"/>
          <w:color w:val="95979A"/>
        </w:rPr>
        <w:t>ĥĥŠÃĞȊ</w:t>
      </w:r>
      <w:r>
        <w:rPr>
          <w:rFonts w:ascii="PMingLiU" w:cs="PMingLiU" w:eastAsia="PMingLiU" w:hAnsi="PMingLiU"/>
          <w:sz w:val="32"/>
          <w:szCs w:val="32"/>
          <w:color w:val="95979A"/>
        </w:rPr>
        <w:t></w:t>
      </w:r>
      <w:r>
        <w:rPr>
          <w:rFonts w:ascii="Arial" w:cs="Arial" w:eastAsia="Arial" w:hAnsi="Arial"/>
          <w:sz w:val="32"/>
          <w:szCs w:val="32"/>
          <w:color w:val="95979A"/>
        </w:rPr>
        <w:t>êňĬŋŚ</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22"/>
          <w:szCs w:val="22"/>
          <w:color w:val="231F20"/>
        </w:rPr>
        <w:t>Appendix 1 • Letter to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230505</wp:posOffset>
                </wp:positionV>
                <wp:extent cx="6629400" cy="28829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288290"/>
                        </a:xfrm>
                        <a:prstGeom prst="rect">
                          <a:avLst/>
                        </a:prstGeom>
                        <a:solidFill>
                          <a:srgbClr val="E6E7E8"/>
                        </a:solidFill>
                      </wps:spPr>
                      <wps:bodyPr/>
                    </wps:wsp>
                  </a:graphicData>
                </a:graphic>
              </wp:anchor>
            </w:drawing>
          </mc:Choice>
          <mc:Fallback>
            <w:pict>
              <v:rect id="Shape 432" o:spid="_x0000_s1457" style="position:absolute;margin-left:2pt;margin-top:18.15pt;width:522pt;height:2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31F20"/>
        </w:rPr>
        <w:t>RETURN ON INVESTED CAPITAL (ROIC) RECONCILIATION</w:t>
      </w:r>
      <w:r>
        <w:rPr>
          <w:rFonts w:ascii="Arial" w:cs="Arial" w:eastAsia="Arial" w:hAnsi="Arial"/>
          <w:sz w:val="10"/>
          <w:szCs w:val="10"/>
          <w:b w:val="1"/>
          <w:bCs w:val="1"/>
          <w:color w:val="231F20"/>
        </w:rPr>
        <w:t>1,2</w:t>
      </w:r>
      <w:r>
        <w:rPr>
          <w:rFonts w:ascii="Arial" w:cs="Arial" w:eastAsia="Arial" w:hAnsi="Arial"/>
          <w:sz w:val="18"/>
          <w:szCs w:val="18"/>
          <w:b w:val="1"/>
          <w:bCs w:val="1"/>
          <w:color w:val="231F20"/>
        </w:rPr>
        <w:t xml:space="preserve"> </w:t>
      </w:r>
      <w:r>
        <w:rPr>
          <w:rFonts w:ascii="Arial" w:cs="Arial" w:eastAsia="Arial" w:hAnsi="Arial"/>
          <w:sz w:val="18"/>
          <w:szCs w:val="18"/>
          <w:i w:val="1"/>
          <w:iCs w:val="1"/>
          <w:color w:val="231F20"/>
        </w:rPr>
        <w:t>($ in millions. Totals may not add due to rounding.)</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231F20"/>
              </w:rPr>
              <w:t>2021</w:t>
            </w:r>
            <w:r>
              <w:rPr>
                <w:rFonts w:ascii="Arial" w:cs="Arial" w:eastAsia="Arial" w:hAnsi="Arial"/>
                <w:sz w:val="8"/>
                <w:szCs w:val="8"/>
                <w:b w:val="1"/>
                <w:bCs w:val="1"/>
                <w:color w:val="231F20"/>
              </w:rPr>
              <w:t>3</w:t>
            </w:r>
          </w:p>
        </w:tc>
        <w:tc>
          <w:tcPr>
            <w:tcW w:w="340" w:type="dxa"/>
            <w:vAlign w:val="bottom"/>
          </w:tcPr>
          <w:p>
            <w:pPr>
              <w:spacing w:after="0"/>
              <w:rPr>
                <w:sz w:val="16"/>
                <w:szCs w:val="16"/>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b w:val="1"/>
                <w:bCs w:val="1"/>
                <w:color w:val="231F20"/>
              </w:rPr>
              <w:t>2022</w:t>
            </w:r>
            <w:r>
              <w:rPr>
                <w:rFonts w:ascii="Arial" w:cs="Arial" w:eastAsia="Arial" w:hAnsi="Arial"/>
                <w:sz w:val="8"/>
                <w:szCs w:val="8"/>
                <w:b w:val="1"/>
                <w:bCs w:val="1"/>
                <w:color w:val="231F20"/>
              </w:rPr>
              <w:t>3</w:t>
            </w:r>
          </w:p>
        </w:tc>
        <w:tc>
          <w:tcPr>
            <w:tcW w:w="1340" w:type="dxa"/>
            <w:vAlign w:val="bottom"/>
          </w:tcPr>
          <w:p>
            <w:pPr>
              <w:jc w:val="right"/>
              <w:ind w:right="286"/>
              <w:spacing w:after="0"/>
              <w:rPr>
                <w:sz w:val="20"/>
                <w:szCs w:val="20"/>
                <w:color w:val="auto"/>
              </w:rPr>
            </w:pPr>
            <w:r>
              <w:rPr>
                <w:rFonts w:ascii="Arial" w:cs="Arial" w:eastAsia="Arial" w:hAnsi="Arial"/>
                <w:sz w:val="15"/>
                <w:szCs w:val="15"/>
                <w:b w:val="1"/>
                <w:bCs w:val="1"/>
                <w:color w:val="231F20"/>
              </w:rPr>
              <w:t>2023</w:t>
            </w:r>
          </w:p>
        </w:tc>
        <w:tc>
          <w:tcPr>
            <w:tcW w:w="1160" w:type="dxa"/>
            <w:vAlign w:val="bottom"/>
          </w:tcPr>
          <w:p>
            <w:pPr>
              <w:jc w:val="right"/>
              <w:ind w:right="245"/>
              <w:spacing w:after="0"/>
              <w:rPr>
                <w:sz w:val="20"/>
                <w:szCs w:val="20"/>
                <w:color w:val="auto"/>
              </w:rPr>
            </w:pPr>
            <w:r>
              <w:rPr>
                <w:rFonts w:ascii="Arial" w:cs="Arial" w:eastAsia="Arial" w:hAnsi="Arial"/>
                <w:sz w:val="15"/>
                <w:szCs w:val="15"/>
                <w:b w:val="1"/>
                <w:bCs w:val="1"/>
                <w:color w:val="231F20"/>
              </w:rPr>
              <w:t>2024</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231F20"/>
              </w:rPr>
              <w:t>2025</w:t>
            </w:r>
          </w:p>
        </w:tc>
      </w:tr>
      <w:tr>
        <w:trPr>
          <w:trHeight w:val="48"/>
        </w:trPr>
        <w:tc>
          <w:tcPr>
            <w:tcW w:w="140" w:type="dxa"/>
            <w:vAlign w:val="bottom"/>
            <w:tcBorders>
              <w:bottom w:val="single" w:sz="8" w:color="5D5E60"/>
            </w:tcBorders>
          </w:tcPr>
          <w:p>
            <w:pPr>
              <w:spacing w:after="0"/>
              <w:rPr>
                <w:sz w:val="4"/>
                <w:szCs w:val="4"/>
                <w:color w:val="auto"/>
              </w:rPr>
            </w:pPr>
          </w:p>
        </w:tc>
        <w:tc>
          <w:tcPr>
            <w:tcW w:w="4540" w:type="dxa"/>
            <w:vAlign w:val="bottom"/>
            <w:tcBorders>
              <w:bottom w:val="single" w:sz="8" w:color="5D5E60"/>
            </w:tcBorders>
            <w:gridSpan w:val="2"/>
          </w:tcPr>
          <w:p>
            <w:pPr>
              <w:spacing w:after="0"/>
              <w:rPr>
                <w:sz w:val="4"/>
                <w:szCs w:val="4"/>
                <w:color w:val="auto"/>
              </w:rPr>
            </w:pPr>
          </w:p>
        </w:tc>
        <w:tc>
          <w:tcPr>
            <w:tcW w:w="980" w:type="dxa"/>
            <w:vAlign w:val="bottom"/>
            <w:tcBorders>
              <w:bottom w:val="single" w:sz="8" w:color="5D5E60"/>
            </w:tcBorders>
          </w:tcPr>
          <w:p>
            <w:pPr>
              <w:spacing w:after="0"/>
              <w:rPr>
                <w:sz w:val="4"/>
                <w:szCs w:val="4"/>
                <w:color w:val="auto"/>
              </w:rPr>
            </w:pPr>
          </w:p>
        </w:tc>
        <w:tc>
          <w:tcPr>
            <w:tcW w:w="340" w:type="dxa"/>
            <w:vAlign w:val="bottom"/>
            <w:tcBorders>
              <w:bottom w:val="single" w:sz="8" w:color="5D5E60"/>
            </w:tcBorders>
          </w:tcPr>
          <w:p>
            <w:pPr>
              <w:spacing w:after="0"/>
              <w:rPr>
                <w:sz w:val="4"/>
                <w:szCs w:val="4"/>
                <w:color w:val="auto"/>
              </w:rPr>
            </w:pPr>
          </w:p>
        </w:tc>
        <w:tc>
          <w:tcPr>
            <w:tcW w:w="980" w:type="dxa"/>
            <w:vAlign w:val="bottom"/>
            <w:tcBorders>
              <w:bottom w:val="single" w:sz="8" w:color="5D5E60"/>
            </w:tcBorders>
          </w:tcPr>
          <w:p>
            <w:pPr>
              <w:spacing w:after="0"/>
              <w:rPr>
                <w:sz w:val="4"/>
                <w:szCs w:val="4"/>
                <w:color w:val="auto"/>
              </w:rPr>
            </w:pPr>
          </w:p>
        </w:tc>
        <w:tc>
          <w:tcPr>
            <w:tcW w:w="1340" w:type="dxa"/>
            <w:vAlign w:val="bottom"/>
            <w:tcBorders>
              <w:bottom w:val="single" w:sz="8" w:color="5D5E60"/>
            </w:tcBorders>
          </w:tcPr>
          <w:p>
            <w:pPr>
              <w:spacing w:after="0"/>
              <w:rPr>
                <w:sz w:val="4"/>
                <w:szCs w:val="4"/>
                <w:color w:val="auto"/>
              </w:rPr>
            </w:pPr>
          </w:p>
        </w:tc>
        <w:tc>
          <w:tcPr>
            <w:tcW w:w="1160" w:type="dxa"/>
            <w:vAlign w:val="bottom"/>
            <w:tcBorders>
              <w:bottom w:val="single" w:sz="8" w:color="5D5E60"/>
            </w:tcBorders>
          </w:tcPr>
          <w:p>
            <w:pPr>
              <w:spacing w:after="0"/>
              <w:rPr>
                <w:sz w:val="4"/>
                <w:szCs w:val="4"/>
                <w:color w:val="auto"/>
              </w:rPr>
            </w:pPr>
          </w:p>
        </w:tc>
        <w:tc>
          <w:tcPr>
            <w:tcW w:w="940" w:type="dxa"/>
            <w:vAlign w:val="bottom"/>
            <w:tcBorders>
              <w:bottom w:val="single" w:sz="8" w:color="5D5E60"/>
            </w:tcBorders>
          </w:tcPr>
          <w:p>
            <w:pPr>
              <w:spacing w:after="0"/>
              <w:rPr>
                <w:sz w:val="4"/>
                <w:szCs w:val="4"/>
                <w:color w:val="auto"/>
              </w:rPr>
            </w:pPr>
          </w:p>
        </w:tc>
      </w:tr>
      <w:tr>
        <w:trPr>
          <w:trHeight w:val="252"/>
        </w:trPr>
        <w:tc>
          <w:tcPr>
            <w:tcW w:w="140" w:type="dxa"/>
            <w:vAlign w:val="bottom"/>
          </w:tcPr>
          <w:p>
            <w:pPr>
              <w:spacing w:after="0"/>
              <w:rPr>
                <w:sz w:val="21"/>
                <w:szCs w:val="21"/>
                <w:color w:val="auto"/>
              </w:rPr>
            </w:pPr>
          </w:p>
        </w:tc>
        <w:tc>
          <w:tcPr>
            <w:tcW w:w="4540" w:type="dxa"/>
            <w:vAlign w:val="bottom"/>
            <w:gridSpan w:val="2"/>
          </w:tcPr>
          <w:p>
            <w:pPr>
              <w:ind w:left="4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åĘŠŒŚêåȊ(</w:t>
            </w:r>
            <w:r>
              <w:rPr>
                <w:rFonts w:ascii="PMingLiU" w:cs="PMingLiU" w:eastAsia="PMingLiU" w:hAnsi="PMingLiU"/>
                <w:sz w:val="15"/>
                <w:szCs w:val="15"/>
                <w:color w:val="231F20"/>
              </w:rPr>
              <w:t/>
            </w:r>
            <w:r>
              <w:rPr>
                <w:rFonts w:ascii="Arial" w:cs="Arial" w:eastAsia="Arial" w:hAnsi="Arial"/>
                <w:sz w:val="15"/>
                <w:szCs w:val="15"/>
                <w:color w:val="231F20"/>
              </w:rPr>
              <w:t>F</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ȐƗǢƕƘƘ</w:t>
            </w:r>
          </w:p>
        </w:tc>
        <w:tc>
          <w:tcPr>
            <w:tcW w:w="340" w:type="dxa"/>
            <w:vAlign w:val="bottom"/>
          </w:tcPr>
          <w:p>
            <w:pPr>
              <w:spacing w:after="0"/>
              <w:rPr>
                <w:sz w:val="21"/>
                <w:szCs w:val="21"/>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ȐƗǢƗƕƘ</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ȐƘǢƑƙƘ</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ȐƗǢƙƒƓ</w:t>
            </w:r>
          </w:p>
        </w:tc>
        <w:tc>
          <w:tcPr>
            <w:tcW w:w="940" w:type="dxa"/>
            <w:vAlign w:val="bottom"/>
          </w:tcPr>
          <w:p>
            <w:pPr>
              <w:jc w:val="right"/>
              <w:spacing w:after="0"/>
              <w:rPr>
                <w:sz w:val="20"/>
                <w:szCs w:val="20"/>
                <w:color w:val="auto"/>
              </w:rPr>
            </w:pPr>
            <w:r>
              <w:rPr>
                <w:rFonts w:ascii="Arial" w:cs="Arial" w:eastAsia="Arial" w:hAnsi="Arial"/>
                <w:sz w:val="15"/>
                <w:szCs w:val="15"/>
                <w:color w:val="231F20"/>
              </w:rPr>
              <w:t>ȐƘǢƒƔƑ</w:t>
            </w:r>
          </w:p>
        </w:tc>
      </w:tr>
      <w:tr>
        <w:trPr>
          <w:trHeight w:val="318"/>
        </w:trPr>
        <w:tc>
          <w:tcPr>
            <w:tcW w:w="140" w:type="dxa"/>
            <w:vAlign w:val="bottom"/>
          </w:tcPr>
          <w:p>
            <w:pPr>
              <w:spacing w:after="0"/>
              <w:rPr>
                <w:sz w:val="24"/>
                <w:szCs w:val="24"/>
                <w:color w:val="auto"/>
              </w:rPr>
            </w:pPr>
          </w:p>
        </w:tc>
        <w:tc>
          <w:tcPr>
            <w:tcW w:w="4540" w:type="dxa"/>
            <w:vAlign w:val="bottom"/>
            <w:gridSpan w:val="2"/>
          </w:tcPr>
          <w:p>
            <w:pPr>
              <w:ind w:left="4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ÃŒąȊ</w:t>
            </w:r>
            <w:r>
              <w:rPr>
                <w:rFonts w:ascii="PMingLiU" w:cs="PMingLiU" w:eastAsia="PMingLiU" w:hAnsi="PMingLiU"/>
                <w:sz w:val="15"/>
                <w:szCs w:val="15"/>
                <w:color w:val="231F20"/>
              </w:rPr>
              <w:t></w:t>
            </w:r>
            <w:r>
              <w:rPr>
                <w:rFonts w:ascii="Arial" w:cs="Arial" w:eastAsia="Arial" w:hAnsi="Arial"/>
                <w:sz w:val="15"/>
                <w:szCs w:val="15"/>
                <w:color w:val="231F20"/>
              </w:rPr>
              <w:t>ÃżêŒ</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ǲƓƓƖǳ</w:t>
            </w:r>
          </w:p>
        </w:tc>
        <w:tc>
          <w:tcPr>
            <w:tcW w:w="3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ǲƓƘƕǳ</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ǲƔƑƘǳ</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ǲƓƘƘǳ</w:t>
            </w:r>
          </w:p>
        </w:tc>
        <w:tc>
          <w:tcPr>
            <w:tcW w:w="940" w:type="dxa"/>
            <w:vAlign w:val="bottom"/>
          </w:tcPr>
          <w:p>
            <w:pPr>
              <w:jc w:val="right"/>
              <w:spacing w:after="0"/>
              <w:rPr>
                <w:sz w:val="20"/>
                <w:szCs w:val="20"/>
                <w:color w:val="auto"/>
              </w:rPr>
            </w:pPr>
            <w:r>
              <w:rPr>
                <w:rFonts w:ascii="Arial" w:cs="Arial" w:eastAsia="Arial" w:hAnsi="Arial"/>
                <w:sz w:val="15"/>
                <w:szCs w:val="15"/>
                <w:color w:val="231F20"/>
              </w:rPr>
              <w:t>ǲƓƗƗǳ</w:t>
            </w:r>
          </w:p>
        </w:tc>
      </w:tr>
      <w:tr>
        <w:trPr>
          <w:trHeight w:val="320"/>
        </w:trPr>
        <w:tc>
          <w:tcPr>
            <w:tcW w:w="140" w:type="dxa"/>
            <w:vAlign w:val="bottom"/>
          </w:tcPr>
          <w:p>
            <w:pPr>
              <w:spacing w:after="0"/>
              <w:rPr>
                <w:sz w:val="24"/>
                <w:szCs w:val="24"/>
                <w:color w:val="auto"/>
              </w:rPr>
            </w:pPr>
          </w:p>
        </w:tc>
        <w:tc>
          <w:tcPr>
            <w:tcW w:w="4540" w:type="dxa"/>
            <w:vAlign w:val="bottom"/>
            <w:gridSpan w:val="2"/>
          </w:tcPr>
          <w:p>
            <w:pPr>
              <w:ind w:left="4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ÃňĉŚÃĞȊFĤňŋĬŶêĤêĥŚŒȊ</w:t>
            </w:r>
            <w:r>
              <w:rPr>
                <w:rFonts w:ascii="PMingLiU" w:cs="PMingLiU" w:eastAsia="PMingLiU" w:hAnsi="PMingLiU"/>
                <w:sz w:val="15"/>
                <w:szCs w:val="15"/>
                <w:color w:val="231F20"/>
              </w:rPr>
              <w:t/>
            </w:r>
            <w:r>
              <w:rPr>
                <w:rFonts w:ascii="Arial" w:cs="Arial" w:eastAsia="Arial" w:hAnsi="Arial"/>
                <w:sz w:val="15"/>
                <w:szCs w:val="15"/>
                <w:color w:val="231F20"/>
              </w:rPr>
              <w:t>ÃňĉŚÃĞȊ(żňêĥåĉŚŠŋêŒ</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ǲƒƚƒǳ</w:t>
            </w:r>
          </w:p>
        </w:tc>
        <w:tc>
          <w:tcPr>
            <w:tcW w:w="3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ǲƒƘƗǳ</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ǲƓƑƒǳ</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ǲƒƖƘǳ</w:t>
            </w:r>
          </w:p>
        </w:tc>
        <w:tc>
          <w:tcPr>
            <w:tcW w:w="940" w:type="dxa"/>
            <w:vAlign w:val="bottom"/>
          </w:tcPr>
          <w:p>
            <w:pPr>
              <w:jc w:val="right"/>
              <w:spacing w:after="0"/>
              <w:rPr>
                <w:sz w:val="20"/>
                <w:szCs w:val="20"/>
                <w:color w:val="auto"/>
              </w:rPr>
            </w:pPr>
            <w:r>
              <w:rPr>
                <w:rFonts w:ascii="Arial" w:cs="Arial" w:eastAsia="Arial" w:hAnsi="Arial"/>
                <w:sz w:val="15"/>
                <w:szCs w:val="15"/>
                <w:color w:val="231F20"/>
              </w:rPr>
              <w:t>ǲƒƙƖǳ</w:t>
            </w:r>
          </w:p>
        </w:tc>
      </w:tr>
      <w:tr>
        <w:trPr>
          <w:trHeight w:val="320"/>
        </w:trPr>
        <w:tc>
          <w:tcPr>
            <w:tcW w:w="140" w:type="dxa"/>
            <w:vAlign w:val="bottom"/>
          </w:tcPr>
          <w:p>
            <w:pPr>
              <w:spacing w:after="0"/>
              <w:rPr>
                <w:sz w:val="24"/>
                <w:szCs w:val="24"/>
                <w:color w:val="auto"/>
              </w:rPr>
            </w:pPr>
          </w:p>
        </w:tc>
        <w:tc>
          <w:tcPr>
            <w:tcW w:w="4540" w:type="dxa"/>
            <w:vAlign w:val="bottom"/>
            <w:gridSpan w:val="2"/>
          </w:tcPr>
          <w:p>
            <w:pPr>
              <w:ind w:left="4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ĬŋňĬŋÃŚêȊ</w:t>
            </w:r>
            <w:r>
              <w:rPr>
                <w:rFonts w:ascii="PMingLiU" w:cs="PMingLiU" w:eastAsia="PMingLiU" w:hAnsi="PMingLiU"/>
                <w:sz w:val="15"/>
                <w:szCs w:val="15"/>
                <w:color w:val="231F20"/>
              </w:rPr>
              <w:t/>
            </w:r>
            <w:r>
              <w:rPr>
                <w:rFonts w:ascii="Arial" w:cs="Arial" w:eastAsia="Arial" w:hAnsi="Arial"/>
                <w:sz w:val="15"/>
                <w:szCs w:val="15"/>
                <w:color w:val="231F20"/>
              </w:rPr>
              <w:t>ÃňĉŚÃĞȊ(żňêĥåĉŚŠŋêŒ</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ǲƙǳ</w:t>
            </w:r>
          </w:p>
        </w:tc>
        <w:tc>
          <w:tcPr>
            <w:tcW w:w="3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ǲƚǳ</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ǲƒƗǳ</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ǲƒƕǳ</w:t>
            </w:r>
          </w:p>
        </w:tc>
        <w:tc>
          <w:tcPr>
            <w:tcW w:w="940" w:type="dxa"/>
            <w:vAlign w:val="bottom"/>
          </w:tcPr>
          <w:p>
            <w:pPr>
              <w:jc w:val="right"/>
              <w:spacing w:after="0"/>
              <w:rPr>
                <w:sz w:val="20"/>
                <w:szCs w:val="20"/>
                <w:color w:val="auto"/>
              </w:rPr>
            </w:pPr>
            <w:r>
              <w:rPr>
                <w:rFonts w:ascii="Arial" w:cs="Arial" w:eastAsia="Arial" w:hAnsi="Arial"/>
                <w:sz w:val="15"/>
                <w:szCs w:val="15"/>
                <w:color w:val="231F20"/>
              </w:rPr>
              <w:t>ǲƒƑǳ</w:t>
            </w:r>
          </w:p>
        </w:tc>
      </w:tr>
      <w:tr>
        <w:trPr>
          <w:trHeight w:val="48"/>
        </w:trPr>
        <w:tc>
          <w:tcPr>
            <w:tcW w:w="140" w:type="dxa"/>
            <w:vAlign w:val="bottom"/>
            <w:tcBorders>
              <w:bottom w:val="single" w:sz="8" w:color="5D5E60"/>
            </w:tcBorders>
          </w:tcPr>
          <w:p>
            <w:pPr>
              <w:spacing w:after="0"/>
              <w:rPr>
                <w:sz w:val="4"/>
                <w:szCs w:val="4"/>
                <w:color w:val="auto"/>
              </w:rPr>
            </w:pPr>
          </w:p>
        </w:tc>
        <w:tc>
          <w:tcPr>
            <w:tcW w:w="140" w:type="dxa"/>
            <w:vAlign w:val="bottom"/>
            <w:tcBorders>
              <w:bottom w:val="single" w:sz="8" w:color="5D5E60"/>
            </w:tcBorders>
          </w:tcPr>
          <w:p>
            <w:pPr>
              <w:spacing w:after="0"/>
              <w:rPr>
                <w:sz w:val="4"/>
                <w:szCs w:val="4"/>
                <w:color w:val="auto"/>
              </w:rPr>
            </w:pPr>
          </w:p>
        </w:tc>
        <w:tc>
          <w:tcPr>
            <w:tcW w:w="4400" w:type="dxa"/>
            <w:vAlign w:val="bottom"/>
            <w:tcBorders>
              <w:bottom w:val="single" w:sz="8" w:color="5D5E60"/>
            </w:tcBorders>
          </w:tcPr>
          <w:p>
            <w:pPr>
              <w:spacing w:after="0"/>
              <w:rPr>
                <w:sz w:val="4"/>
                <w:szCs w:val="4"/>
                <w:color w:val="auto"/>
              </w:rPr>
            </w:pPr>
          </w:p>
        </w:tc>
        <w:tc>
          <w:tcPr>
            <w:tcW w:w="980" w:type="dxa"/>
            <w:vAlign w:val="bottom"/>
            <w:tcBorders>
              <w:bottom w:val="single" w:sz="8" w:color="5D5E60"/>
            </w:tcBorders>
          </w:tcPr>
          <w:p>
            <w:pPr>
              <w:spacing w:after="0"/>
              <w:rPr>
                <w:sz w:val="4"/>
                <w:szCs w:val="4"/>
                <w:color w:val="auto"/>
              </w:rPr>
            </w:pPr>
          </w:p>
        </w:tc>
        <w:tc>
          <w:tcPr>
            <w:tcW w:w="340" w:type="dxa"/>
            <w:vAlign w:val="bottom"/>
            <w:tcBorders>
              <w:bottom w:val="single" w:sz="8" w:color="5D5E60"/>
            </w:tcBorders>
          </w:tcPr>
          <w:p>
            <w:pPr>
              <w:spacing w:after="0"/>
              <w:rPr>
                <w:sz w:val="4"/>
                <w:szCs w:val="4"/>
                <w:color w:val="auto"/>
              </w:rPr>
            </w:pPr>
          </w:p>
        </w:tc>
        <w:tc>
          <w:tcPr>
            <w:tcW w:w="980" w:type="dxa"/>
            <w:vAlign w:val="bottom"/>
            <w:tcBorders>
              <w:bottom w:val="single" w:sz="8" w:color="5D5E60"/>
            </w:tcBorders>
          </w:tcPr>
          <w:p>
            <w:pPr>
              <w:spacing w:after="0"/>
              <w:rPr>
                <w:sz w:val="4"/>
                <w:szCs w:val="4"/>
                <w:color w:val="auto"/>
              </w:rPr>
            </w:pPr>
          </w:p>
        </w:tc>
        <w:tc>
          <w:tcPr>
            <w:tcW w:w="1340" w:type="dxa"/>
            <w:vAlign w:val="bottom"/>
            <w:tcBorders>
              <w:bottom w:val="single" w:sz="8" w:color="5D5E60"/>
            </w:tcBorders>
          </w:tcPr>
          <w:p>
            <w:pPr>
              <w:spacing w:after="0"/>
              <w:rPr>
                <w:sz w:val="4"/>
                <w:szCs w:val="4"/>
                <w:color w:val="auto"/>
              </w:rPr>
            </w:pPr>
          </w:p>
        </w:tc>
        <w:tc>
          <w:tcPr>
            <w:tcW w:w="1160" w:type="dxa"/>
            <w:vAlign w:val="bottom"/>
            <w:tcBorders>
              <w:bottom w:val="single" w:sz="8" w:color="5D5E60"/>
            </w:tcBorders>
          </w:tcPr>
          <w:p>
            <w:pPr>
              <w:spacing w:after="0"/>
              <w:rPr>
                <w:sz w:val="4"/>
                <w:szCs w:val="4"/>
                <w:color w:val="auto"/>
              </w:rPr>
            </w:pPr>
          </w:p>
        </w:tc>
        <w:tc>
          <w:tcPr>
            <w:tcW w:w="940" w:type="dxa"/>
            <w:vAlign w:val="bottom"/>
            <w:tcBorders>
              <w:bottom w:val="single" w:sz="8" w:color="5D5E60"/>
            </w:tcBorders>
          </w:tcPr>
          <w:p>
            <w:pPr>
              <w:spacing w:after="0"/>
              <w:rPr>
                <w:sz w:val="4"/>
                <w:szCs w:val="4"/>
                <w:color w:val="auto"/>
              </w:rPr>
            </w:pPr>
          </w:p>
        </w:tc>
      </w:tr>
      <w:tr>
        <w:trPr>
          <w:trHeight w:val="253"/>
        </w:trPr>
        <w:tc>
          <w:tcPr>
            <w:tcW w:w="14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231F20"/>
              </w:rPr>
              <w:t>Ȋ</w:t>
            </w:r>
          </w:p>
        </w:tc>
        <w:tc>
          <w:tcPr>
            <w:tcW w:w="4400" w:type="dxa"/>
            <w:vAlign w:val="bottom"/>
          </w:tcPr>
          <w:p>
            <w:pPr>
              <w:ind w:left="80"/>
              <w:spacing w:after="0"/>
              <w:rPr>
                <w:sz w:val="20"/>
                <w:szCs w:val="20"/>
                <w:color w:val="auto"/>
              </w:rPr>
            </w:pPr>
            <w:r>
              <w:rPr>
                <w:rFonts w:ascii="Arial" w:cs="Arial" w:eastAsia="Arial" w:hAnsi="Arial"/>
                <w:sz w:val="15"/>
                <w:szCs w:val="15"/>
                <w:color w:val="231F20"/>
              </w:rPr>
              <w:t>_ŠĤêŋÃŚĬŋ</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ȐƗǢƑƖƔ</w:t>
            </w:r>
          </w:p>
        </w:tc>
        <w:tc>
          <w:tcPr>
            <w:tcW w:w="340" w:type="dxa"/>
            <w:vAlign w:val="bottom"/>
          </w:tcPr>
          <w:p>
            <w:pPr>
              <w:spacing w:after="0"/>
              <w:rPr>
                <w:sz w:val="21"/>
                <w:szCs w:val="21"/>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ȐƗǢƒƙƘ</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ȐƗǢƖƗƔ</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ȐƗǢƔƗƕ</w:t>
            </w:r>
          </w:p>
        </w:tc>
        <w:tc>
          <w:tcPr>
            <w:tcW w:w="940" w:type="dxa"/>
            <w:vAlign w:val="bottom"/>
          </w:tcPr>
          <w:p>
            <w:pPr>
              <w:jc w:val="right"/>
              <w:spacing w:after="0"/>
              <w:rPr>
                <w:sz w:val="20"/>
                <w:szCs w:val="20"/>
                <w:color w:val="auto"/>
              </w:rPr>
            </w:pPr>
            <w:r>
              <w:rPr>
                <w:rFonts w:ascii="Arial" w:cs="Arial" w:eastAsia="Arial" w:hAnsi="Arial"/>
                <w:sz w:val="15"/>
                <w:szCs w:val="15"/>
                <w:color w:val="231F20"/>
              </w:rPr>
              <w:t>ȐƗǢƗƗƚ</w:t>
            </w:r>
          </w:p>
        </w:tc>
      </w:tr>
      <w:tr>
        <w:trPr>
          <w:trHeight w:val="640"/>
        </w:trPr>
        <w:tc>
          <w:tcPr>
            <w:tcW w:w="140" w:type="dxa"/>
            <w:vAlign w:val="bottom"/>
          </w:tcPr>
          <w:p>
            <w:pPr>
              <w:spacing w:after="0"/>
              <w:rPr>
                <w:sz w:val="24"/>
                <w:szCs w:val="24"/>
                <w:color w:val="auto"/>
              </w:rPr>
            </w:pPr>
          </w:p>
        </w:tc>
        <w:tc>
          <w:tcPr>
            <w:tcW w:w="4540" w:type="dxa"/>
            <w:vAlign w:val="bottom"/>
            <w:gridSpan w:val="2"/>
          </w:tcPr>
          <w:p>
            <w:pPr>
              <w:ind w:left="40"/>
              <w:spacing w:after="0" w:line="182" w:lineRule="exact"/>
              <w:rPr>
                <w:sz w:val="20"/>
                <w:szCs w:val="20"/>
                <w:color w:val="auto"/>
              </w:rPr>
            </w:pPr>
            <w:r>
              <w:rPr>
                <w:rFonts w:ascii="Arial" w:cs="Arial" w:eastAsia="Arial" w:hAnsi="Arial"/>
                <w:sz w:val="15"/>
                <w:szCs w:val="15"/>
                <w:color w:val="231F20"/>
              </w:rPr>
              <w:t>=ŋĬŒŒȊ</w:t>
            </w:r>
            <w:r>
              <w:rPr>
                <w:rFonts w:ascii="PMingLiU" w:cs="PMingLiU" w:eastAsia="PMingLiU" w:hAnsi="PMingLiU"/>
                <w:sz w:val="15"/>
                <w:szCs w:val="15"/>
                <w:color w:val="231F20"/>
              </w:rPr>
              <w:t></w:t>
            </w:r>
            <w:r>
              <w:rPr>
                <w:rFonts w:ascii="Arial" w:cs="Arial" w:eastAsia="Arial" w:hAnsi="Arial"/>
                <w:sz w:val="15"/>
                <w:szCs w:val="15"/>
                <w:color w:val="231F20"/>
              </w:rPr>
              <w:t>(</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ȐƓƙǢƕƑƕ</w:t>
            </w:r>
          </w:p>
        </w:tc>
        <w:tc>
          <w:tcPr>
            <w:tcW w:w="3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ȐƓƚǢƙƘƘ</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ȐƔƑǢƚƑƙ</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ȐƔƑǢƑƗƔ</w:t>
            </w:r>
          </w:p>
        </w:tc>
        <w:tc>
          <w:tcPr>
            <w:tcW w:w="940" w:type="dxa"/>
            <w:vAlign w:val="bottom"/>
          </w:tcPr>
          <w:p>
            <w:pPr>
              <w:jc w:val="right"/>
              <w:spacing w:after="0"/>
              <w:rPr>
                <w:sz w:val="20"/>
                <w:szCs w:val="20"/>
                <w:color w:val="auto"/>
              </w:rPr>
            </w:pPr>
            <w:r>
              <w:rPr>
                <w:rFonts w:ascii="Arial" w:cs="Arial" w:eastAsia="Arial" w:hAnsi="Arial"/>
                <w:sz w:val="15"/>
                <w:szCs w:val="15"/>
                <w:color w:val="231F20"/>
              </w:rPr>
              <w:t>ȐƔƓǢƕƗƒ</w:t>
            </w:r>
          </w:p>
        </w:tc>
      </w:tr>
      <w:tr>
        <w:trPr>
          <w:trHeight w:val="319"/>
        </w:trPr>
        <w:tc>
          <w:tcPr>
            <w:tcW w:w="140" w:type="dxa"/>
            <w:vAlign w:val="bottom"/>
          </w:tcPr>
          <w:p>
            <w:pPr>
              <w:spacing w:after="0"/>
              <w:rPr>
                <w:sz w:val="24"/>
                <w:szCs w:val="24"/>
                <w:color w:val="auto"/>
              </w:rPr>
            </w:pPr>
          </w:p>
        </w:tc>
        <w:tc>
          <w:tcPr>
            <w:tcW w:w="4540" w:type="dxa"/>
            <w:vAlign w:val="bottom"/>
            <w:gridSpan w:val="2"/>
          </w:tcPr>
          <w:p>
            <w:pPr>
              <w:ind w:left="40"/>
              <w:spacing w:after="0"/>
              <w:rPr>
                <w:sz w:val="20"/>
                <w:szCs w:val="20"/>
                <w:color w:val="auto"/>
              </w:rPr>
            </w:pPr>
            <w:r>
              <w:rPr>
                <w:rFonts w:ascii="Arial" w:cs="Arial" w:eastAsia="Arial" w:hAnsi="Arial"/>
                <w:sz w:val="15"/>
                <w:szCs w:val="15"/>
                <w:color w:val="231F20"/>
              </w:rPr>
              <w:t>=ŋĬŒŒȊFĥŚÃĥĀĉÞĞêŒ</w:t>
            </w:r>
            <w:r>
              <w:rPr>
                <w:rFonts w:ascii="Arial" w:cs="Arial" w:eastAsia="Arial" w:hAnsi="Arial"/>
                <w:sz w:val="8"/>
                <w:szCs w:val="8"/>
                <w:color w:val="231F20"/>
              </w:rPr>
              <w:t>ƕ</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ƓƙǢƗƖƕ</w:t>
            </w:r>
          </w:p>
        </w:tc>
        <w:tc>
          <w:tcPr>
            <w:tcW w:w="3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ƓƘǢƙƘƑ</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ƓƘǢƖƓƚ</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ƓƖǢƗƕƘ</w:t>
            </w:r>
          </w:p>
        </w:tc>
        <w:tc>
          <w:tcPr>
            <w:tcW w:w="940" w:type="dxa"/>
            <w:vAlign w:val="bottom"/>
          </w:tcPr>
          <w:p>
            <w:pPr>
              <w:jc w:val="right"/>
              <w:spacing w:after="0"/>
              <w:rPr>
                <w:sz w:val="20"/>
                <w:szCs w:val="20"/>
                <w:color w:val="auto"/>
              </w:rPr>
            </w:pPr>
            <w:r>
              <w:rPr>
                <w:rFonts w:ascii="Arial" w:cs="Arial" w:eastAsia="Arial" w:hAnsi="Arial"/>
                <w:sz w:val="15"/>
                <w:szCs w:val="15"/>
                <w:color w:val="231F20"/>
              </w:rPr>
              <w:t>ƓƘǢƒƓƗ</w:t>
            </w:r>
          </w:p>
        </w:tc>
      </w:tr>
      <w:tr>
        <w:trPr>
          <w:trHeight w:val="322"/>
        </w:trPr>
        <w:tc>
          <w:tcPr>
            <w:tcW w:w="140" w:type="dxa"/>
            <w:vAlign w:val="bottom"/>
          </w:tcPr>
          <w:p>
            <w:pPr>
              <w:spacing w:after="0"/>
              <w:rPr>
                <w:sz w:val="24"/>
                <w:szCs w:val="24"/>
                <w:color w:val="auto"/>
              </w:rPr>
            </w:pPr>
          </w:p>
        </w:tc>
        <w:tc>
          <w:tcPr>
            <w:tcW w:w="4540" w:type="dxa"/>
            <w:vAlign w:val="bottom"/>
            <w:gridSpan w:val="2"/>
          </w:tcPr>
          <w:p>
            <w:pPr>
              <w:ind w:left="40"/>
              <w:spacing w:after="0"/>
              <w:rPr>
                <w:sz w:val="20"/>
                <w:szCs w:val="20"/>
                <w:color w:val="auto"/>
              </w:rPr>
            </w:pPr>
            <w:r>
              <w:rPr>
                <w:rFonts w:ascii="Arial" w:cs="Arial" w:eastAsia="Arial" w:hAnsi="Arial"/>
                <w:sz w:val="15"/>
                <w:szCs w:val="15"/>
                <w:color w:val="231F20"/>
              </w:rPr>
              <w:t>=ŋĬŒŒȊ=ĬĬåŷĉĞĞ</w:t>
            </w:r>
            <w:r>
              <w:rPr>
                <w:rFonts w:ascii="Arial" w:cs="Arial" w:eastAsia="Arial" w:hAnsi="Arial"/>
                <w:sz w:val="8"/>
                <w:szCs w:val="8"/>
                <w:color w:val="231F20"/>
              </w:rPr>
              <w:t>ƕǢƖ</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ƒƓǢƗƚƑ</w:t>
            </w:r>
          </w:p>
        </w:tc>
        <w:tc>
          <w:tcPr>
            <w:tcW w:w="34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ƒƓǢƔƘƓ</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ƒƓǢƕƖƙ</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ƒƒǢƙƗƔ</w:t>
            </w:r>
          </w:p>
        </w:tc>
        <w:tc>
          <w:tcPr>
            <w:tcW w:w="940" w:type="dxa"/>
            <w:vAlign w:val="bottom"/>
          </w:tcPr>
          <w:p>
            <w:pPr>
              <w:jc w:val="right"/>
              <w:spacing w:after="0"/>
              <w:rPr>
                <w:sz w:val="20"/>
                <w:szCs w:val="20"/>
                <w:color w:val="auto"/>
              </w:rPr>
            </w:pPr>
            <w:r>
              <w:rPr>
                <w:rFonts w:ascii="Arial" w:cs="Arial" w:eastAsia="Arial" w:hAnsi="Arial"/>
                <w:sz w:val="15"/>
                <w:szCs w:val="15"/>
                <w:color w:val="231F20"/>
              </w:rPr>
              <w:t>ƒƓǢƔƕƕ</w:t>
            </w:r>
          </w:p>
        </w:tc>
      </w:tr>
      <w:tr>
        <w:trPr>
          <w:trHeight w:val="45"/>
        </w:trPr>
        <w:tc>
          <w:tcPr>
            <w:tcW w:w="140" w:type="dxa"/>
            <w:vAlign w:val="bottom"/>
            <w:tcBorders>
              <w:bottom w:val="single" w:sz="8" w:color="5D5E60"/>
            </w:tcBorders>
          </w:tcPr>
          <w:p>
            <w:pPr>
              <w:spacing w:after="0"/>
              <w:rPr>
                <w:sz w:val="3"/>
                <w:szCs w:val="3"/>
                <w:color w:val="auto"/>
              </w:rPr>
            </w:pPr>
          </w:p>
        </w:tc>
        <w:tc>
          <w:tcPr>
            <w:tcW w:w="140" w:type="dxa"/>
            <w:vAlign w:val="bottom"/>
            <w:tcBorders>
              <w:bottom w:val="single" w:sz="8" w:color="5D5E60"/>
            </w:tcBorders>
          </w:tcPr>
          <w:p>
            <w:pPr>
              <w:spacing w:after="0"/>
              <w:rPr>
                <w:sz w:val="3"/>
                <w:szCs w:val="3"/>
                <w:color w:val="auto"/>
              </w:rPr>
            </w:pPr>
          </w:p>
        </w:tc>
        <w:tc>
          <w:tcPr>
            <w:tcW w:w="4400" w:type="dxa"/>
            <w:vAlign w:val="bottom"/>
            <w:tcBorders>
              <w:bottom w:val="single" w:sz="8" w:color="5D5E60"/>
            </w:tcBorders>
          </w:tcPr>
          <w:p>
            <w:pPr>
              <w:spacing w:after="0"/>
              <w:rPr>
                <w:sz w:val="3"/>
                <w:szCs w:val="3"/>
                <w:color w:val="auto"/>
              </w:rPr>
            </w:pPr>
          </w:p>
        </w:tc>
        <w:tc>
          <w:tcPr>
            <w:tcW w:w="980" w:type="dxa"/>
            <w:vAlign w:val="bottom"/>
            <w:tcBorders>
              <w:bottom w:val="single" w:sz="8" w:color="5D5E60"/>
            </w:tcBorders>
          </w:tcPr>
          <w:p>
            <w:pPr>
              <w:spacing w:after="0"/>
              <w:rPr>
                <w:sz w:val="3"/>
                <w:szCs w:val="3"/>
                <w:color w:val="auto"/>
              </w:rPr>
            </w:pPr>
          </w:p>
        </w:tc>
        <w:tc>
          <w:tcPr>
            <w:tcW w:w="340" w:type="dxa"/>
            <w:vAlign w:val="bottom"/>
            <w:tcBorders>
              <w:bottom w:val="single" w:sz="8" w:color="5D5E60"/>
            </w:tcBorders>
          </w:tcPr>
          <w:p>
            <w:pPr>
              <w:spacing w:after="0"/>
              <w:rPr>
                <w:sz w:val="3"/>
                <w:szCs w:val="3"/>
                <w:color w:val="auto"/>
              </w:rPr>
            </w:pPr>
          </w:p>
        </w:tc>
        <w:tc>
          <w:tcPr>
            <w:tcW w:w="980" w:type="dxa"/>
            <w:vAlign w:val="bottom"/>
            <w:tcBorders>
              <w:bottom w:val="single" w:sz="8" w:color="5D5E60"/>
            </w:tcBorders>
          </w:tcPr>
          <w:p>
            <w:pPr>
              <w:spacing w:after="0"/>
              <w:rPr>
                <w:sz w:val="3"/>
                <w:szCs w:val="3"/>
                <w:color w:val="auto"/>
              </w:rPr>
            </w:pPr>
          </w:p>
        </w:tc>
        <w:tc>
          <w:tcPr>
            <w:tcW w:w="1340" w:type="dxa"/>
            <w:vAlign w:val="bottom"/>
            <w:tcBorders>
              <w:bottom w:val="single" w:sz="8" w:color="5D5E60"/>
            </w:tcBorders>
          </w:tcPr>
          <w:p>
            <w:pPr>
              <w:spacing w:after="0"/>
              <w:rPr>
                <w:sz w:val="3"/>
                <w:szCs w:val="3"/>
                <w:color w:val="auto"/>
              </w:rPr>
            </w:pPr>
          </w:p>
        </w:tc>
        <w:tc>
          <w:tcPr>
            <w:tcW w:w="1160" w:type="dxa"/>
            <w:vAlign w:val="bottom"/>
            <w:tcBorders>
              <w:bottom w:val="single" w:sz="8" w:color="5D5E60"/>
            </w:tcBorders>
          </w:tcPr>
          <w:p>
            <w:pPr>
              <w:spacing w:after="0"/>
              <w:rPr>
                <w:sz w:val="3"/>
                <w:szCs w:val="3"/>
                <w:color w:val="auto"/>
              </w:rPr>
            </w:pPr>
          </w:p>
        </w:tc>
        <w:tc>
          <w:tcPr>
            <w:tcW w:w="940" w:type="dxa"/>
            <w:vAlign w:val="bottom"/>
            <w:tcBorders>
              <w:bottom w:val="single" w:sz="8" w:color="5D5E60"/>
            </w:tcBorders>
          </w:tcPr>
          <w:p>
            <w:pPr>
              <w:spacing w:after="0"/>
              <w:rPr>
                <w:sz w:val="3"/>
                <w:szCs w:val="3"/>
                <w:color w:val="auto"/>
              </w:rPr>
            </w:pPr>
          </w:p>
        </w:tc>
      </w:tr>
      <w:tr>
        <w:trPr>
          <w:trHeight w:val="255"/>
        </w:trPr>
        <w:tc>
          <w:tcPr>
            <w:tcW w:w="14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231F20"/>
              </w:rPr>
              <w:t>Ȋ</w:t>
            </w:r>
          </w:p>
        </w:tc>
        <w:tc>
          <w:tcPr>
            <w:tcW w:w="4400" w:type="dxa"/>
            <w:vAlign w:val="bottom"/>
          </w:tcPr>
          <w:p>
            <w:pPr>
              <w:ind w:left="80"/>
              <w:spacing w:after="0"/>
              <w:rPr>
                <w:sz w:val="20"/>
                <w:szCs w:val="20"/>
                <w:color w:val="auto"/>
              </w:rPr>
            </w:pPr>
            <w:r>
              <w:rPr>
                <w:rFonts w:ascii="Arial" w:cs="Arial" w:eastAsia="Arial" w:hAnsi="Arial"/>
                <w:sz w:val="15"/>
                <w:szCs w:val="15"/>
                <w:color w:val="231F20"/>
              </w:rPr>
              <w:t>#êĥĬĤĉĥÃŚĬŋ</w:t>
            </w:r>
          </w:p>
        </w:tc>
        <w:tc>
          <w:tcPr>
            <w:tcW w:w="980" w:type="dxa"/>
            <w:vAlign w:val="bottom"/>
          </w:tcPr>
          <w:p>
            <w:pPr>
              <w:jc w:val="right"/>
              <w:ind w:right="26"/>
              <w:spacing w:after="0"/>
              <w:rPr>
                <w:sz w:val="20"/>
                <w:szCs w:val="20"/>
                <w:color w:val="auto"/>
              </w:rPr>
            </w:pPr>
            <w:r>
              <w:rPr>
                <w:rFonts w:ascii="Arial" w:cs="Arial" w:eastAsia="Arial" w:hAnsi="Arial"/>
                <w:sz w:val="15"/>
                <w:szCs w:val="15"/>
                <w:color w:val="231F20"/>
              </w:rPr>
              <w:t>ȐƗƚǢƘƕƘ</w:t>
            </w:r>
          </w:p>
        </w:tc>
        <w:tc>
          <w:tcPr>
            <w:tcW w:w="340" w:type="dxa"/>
            <w:vAlign w:val="bottom"/>
          </w:tcPr>
          <w:p>
            <w:pPr>
              <w:spacing w:after="0"/>
              <w:rPr>
                <w:sz w:val="22"/>
                <w:szCs w:val="22"/>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color w:val="231F20"/>
              </w:rPr>
              <w:t>ȐƘƑǢƒƒƚ</w:t>
            </w:r>
          </w:p>
        </w:tc>
        <w:tc>
          <w:tcPr>
            <w:tcW w:w="1340" w:type="dxa"/>
            <w:vAlign w:val="bottom"/>
          </w:tcPr>
          <w:p>
            <w:pPr>
              <w:jc w:val="right"/>
              <w:ind w:right="286"/>
              <w:spacing w:after="0"/>
              <w:rPr>
                <w:sz w:val="20"/>
                <w:szCs w:val="20"/>
                <w:color w:val="auto"/>
              </w:rPr>
            </w:pPr>
            <w:r>
              <w:rPr>
                <w:rFonts w:ascii="Arial" w:cs="Arial" w:eastAsia="Arial" w:hAnsi="Arial"/>
                <w:sz w:val="15"/>
                <w:szCs w:val="15"/>
                <w:color w:val="231F20"/>
              </w:rPr>
              <w:t>ȐƘƑǢƙƚƖ</w:t>
            </w:r>
          </w:p>
        </w:tc>
        <w:tc>
          <w:tcPr>
            <w:tcW w:w="1160" w:type="dxa"/>
            <w:vAlign w:val="bottom"/>
          </w:tcPr>
          <w:p>
            <w:pPr>
              <w:jc w:val="right"/>
              <w:ind w:right="245"/>
              <w:spacing w:after="0"/>
              <w:rPr>
                <w:sz w:val="20"/>
                <w:szCs w:val="20"/>
                <w:color w:val="auto"/>
              </w:rPr>
            </w:pPr>
            <w:r>
              <w:rPr>
                <w:rFonts w:ascii="Arial" w:cs="Arial" w:eastAsia="Arial" w:hAnsi="Arial"/>
                <w:sz w:val="15"/>
                <w:szCs w:val="15"/>
                <w:color w:val="231F20"/>
              </w:rPr>
              <w:t>ȐƗƘǢƖƘƓ</w:t>
            </w:r>
          </w:p>
        </w:tc>
        <w:tc>
          <w:tcPr>
            <w:tcW w:w="940" w:type="dxa"/>
            <w:vAlign w:val="bottom"/>
          </w:tcPr>
          <w:p>
            <w:pPr>
              <w:jc w:val="right"/>
              <w:spacing w:after="0"/>
              <w:rPr>
                <w:sz w:val="20"/>
                <w:szCs w:val="20"/>
                <w:color w:val="auto"/>
              </w:rPr>
            </w:pPr>
            <w:r>
              <w:rPr>
                <w:rFonts w:ascii="Arial" w:cs="Arial" w:eastAsia="Arial" w:hAnsi="Arial"/>
                <w:sz w:val="15"/>
                <w:szCs w:val="15"/>
                <w:color w:val="231F20"/>
              </w:rPr>
              <w:t>ȐƘƒǢƚƔƒ</w:t>
            </w:r>
          </w:p>
        </w:tc>
      </w:tr>
      <w:tr>
        <w:trPr>
          <w:trHeight w:val="364"/>
        </w:trPr>
        <w:tc>
          <w:tcPr>
            <w:tcW w:w="140" w:type="dxa"/>
            <w:vAlign w:val="bottom"/>
            <w:tcBorders>
              <w:bottom w:val="single" w:sz="8" w:color="5D5E60"/>
            </w:tcBorders>
          </w:tcPr>
          <w:p>
            <w:pPr>
              <w:spacing w:after="0"/>
              <w:rPr>
                <w:sz w:val="24"/>
                <w:szCs w:val="24"/>
                <w:color w:val="auto"/>
              </w:rPr>
            </w:pPr>
          </w:p>
        </w:tc>
        <w:tc>
          <w:tcPr>
            <w:tcW w:w="4540" w:type="dxa"/>
            <w:vAlign w:val="bottom"/>
            <w:tcBorders>
              <w:bottom w:val="single" w:sz="8" w:color="5D5E60"/>
            </w:tcBorders>
            <w:gridSpan w:val="2"/>
          </w:tcPr>
          <w:p>
            <w:pPr>
              <w:spacing w:after="0"/>
              <w:rPr>
                <w:sz w:val="24"/>
                <w:szCs w:val="24"/>
                <w:color w:val="auto"/>
              </w:rPr>
            </w:pPr>
          </w:p>
        </w:tc>
        <w:tc>
          <w:tcPr>
            <w:tcW w:w="980" w:type="dxa"/>
            <w:vAlign w:val="bottom"/>
            <w:tcBorders>
              <w:bottom w:val="single" w:sz="8" w:color="5D5E60"/>
            </w:tcBorders>
          </w:tcPr>
          <w:p>
            <w:pPr>
              <w:spacing w:after="0"/>
              <w:rPr>
                <w:sz w:val="24"/>
                <w:szCs w:val="24"/>
                <w:color w:val="auto"/>
              </w:rPr>
            </w:pPr>
          </w:p>
        </w:tc>
        <w:tc>
          <w:tcPr>
            <w:tcW w:w="340" w:type="dxa"/>
            <w:vAlign w:val="bottom"/>
            <w:tcBorders>
              <w:bottom w:val="single" w:sz="8" w:color="5D5E60"/>
            </w:tcBorders>
          </w:tcPr>
          <w:p>
            <w:pPr>
              <w:spacing w:after="0"/>
              <w:rPr>
                <w:sz w:val="24"/>
                <w:szCs w:val="24"/>
                <w:color w:val="auto"/>
              </w:rPr>
            </w:pPr>
          </w:p>
        </w:tc>
        <w:tc>
          <w:tcPr>
            <w:tcW w:w="980" w:type="dxa"/>
            <w:vAlign w:val="bottom"/>
            <w:tcBorders>
              <w:bottom w:val="single" w:sz="8" w:color="5D5E60"/>
            </w:tcBorders>
          </w:tcPr>
          <w:p>
            <w:pPr>
              <w:spacing w:after="0"/>
              <w:rPr>
                <w:sz w:val="24"/>
                <w:szCs w:val="24"/>
                <w:color w:val="auto"/>
              </w:rPr>
            </w:pPr>
          </w:p>
        </w:tc>
        <w:tc>
          <w:tcPr>
            <w:tcW w:w="1340" w:type="dxa"/>
            <w:vAlign w:val="bottom"/>
            <w:tcBorders>
              <w:bottom w:val="single" w:sz="8" w:color="5D5E60"/>
            </w:tcBorders>
          </w:tcPr>
          <w:p>
            <w:pPr>
              <w:spacing w:after="0"/>
              <w:rPr>
                <w:sz w:val="24"/>
                <w:szCs w:val="24"/>
                <w:color w:val="auto"/>
              </w:rPr>
            </w:pPr>
          </w:p>
        </w:tc>
        <w:tc>
          <w:tcPr>
            <w:tcW w:w="1160" w:type="dxa"/>
            <w:vAlign w:val="bottom"/>
            <w:tcBorders>
              <w:bottom w:val="single" w:sz="8" w:color="5D5E60"/>
            </w:tcBorders>
          </w:tcPr>
          <w:p>
            <w:pPr>
              <w:spacing w:after="0"/>
              <w:rPr>
                <w:sz w:val="24"/>
                <w:szCs w:val="24"/>
                <w:color w:val="auto"/>
              </w:rPr>
            </w:pPr>
          </w:p>
        </w:tc>
        <w:tc>
          <w:tcPr>
            <w:tcW w:w="940" w:type="dxa"/>
            <w:vAlign w:val="bottom"/>
            <w:tcBorders>
              <w:bottom w:val="single" w:sz="8" w:color="5D5E60"/>
            </w:tcBorders>
          </w:tcPr>
          <w:p>
            <w:pPr>
              <w:spacing w:after="0"/>
              <w:rPr>
                <w:sz w:val="24"/>
                <w:szCs w:val="24"/>
                <w:color w:val="auto"/>
              </w:rPr>
            </w:pPr>
          </w:p>
        </w:tc>
      </w:tr>
      <w:tr>
        <w:trPr>
          <w:trHeight w:val="256"/>
        </w:trPr>
        <w:tc>
          <w:tcPr>
            <w:tcW w:w="140" w:type="dxa"/>
            <w:vAlign w:val="bottom"/>
          </w:tcPr>
          <w:p>
            <w:pPr>
              <w:spacing w:after="0"/>
              <w:rPr>
                <w:sz w:val="22"/>
                <w:szCs w:val="22"/>
                <w:color w:val="auto"/>
              </w:rPr>
            </w:pPr>
          </w:p>
        </w:tc>
        <w:tc>
          <w:tcPr>
            <w:tcW w:w="4540" w:type="dxa"/>
            <w:vAlign w:val="bottom"/>
            <w:gridSpan w:val="2"/>
          </w:tcPr>
          <w:p>
            <w:pPr>
              <w:ind w:left="40"/>
              <w:spacing w:after="0"/>
              <w:rPr>
                <w:sz w:val="20"/>
                <w:szCs w:val="20"/>
                <w:color w:val="auto"/>
              </w:rPr>
            </w:pPr>
            <w:r>
              <w:rPr>
                <w:rFonts w:ascii="Arial" w:cs="Arial" w:eastAsia="Arial" w:hAnsi="Arial"/>
                <w:sz w:val="15"/>
                <w:szCs w:val="15"/>
                <w:b w:val="1"/>
                <w:bCs w:val="1"/>
                <w:color w:val="231F20"/>
              </w:rPr>
              <w:t>ROIC</w:t>
            </w:r>
          </w:p>
        </w:tc>
        <w:tc>
          <w:tcPr>
            <w:tcW w:w="980" w:type="dxa"/>
            <w:vAlign w:val="bottom"/>
          </w:tcPr>
          <w:p>
            <w:pPr>
              <w:jc w:val="right"/>
              <w:ind w:right="26"/>
              <w:spacing w:after="0"/>
              <w:rPr>
                <w:sz w:val="20"/>
                <w:szCs w:val="20"/>
                <w:color w:val="auto"/>
              </w:rPr>
            </w:pPr>
            <w:r>
              <w:rPr>
                <w:rFonts w:ascii="Arial" w:cs="Arial" w:eastAsia="Arial" w:hAnsi="Arial"/>
                <w:sz w:val="15"/>
                <w:szCs w:val="15"/>
                <w:b w:val="1"/>
                <w:bCs w:val="1"/>
                <w:color w:val="231F20"/>
              </w:rPr>
              <w:t>8.7%</w:t>
            </w:r>
          </w:p>
        </w:tc>
        <w:tc>
          <w:tcPr>
            <w:tcW w:w="340" w:type="dxa"/>
            <w:vAlign w:val="bottom"/>
          </w:tcPr>
          <w:p>
            <w:pPr>
              <w:spacing w:after="0"/>
              <w:rPr>
                <w:sz w:val="22"/>
                <w:szCs w:val="22"/>
                <w:color w:val="auto"/>
              </w:rPr>
            </w:pPr>
          </w:p>
        </w:tc>
        <w:tc>
          <w:tcPr>
            <w:tcW w:w="980" w:type="dxa"/>
            <w:vAlign w:val="bottom"/>
          </w:tcPr>
          <w:p>
            <w:pPr>
              <w:jc w:val="right"/>
              <w:ind w:right="146"/>
              <w:spacing w:after="0"/>
              <w:rPr>
                <w:sz w:val="20"/>
                <w:szCs w:val="20"/>
                <w:color w:val="auto"/>
              </w:rPr>
            </w:pPr>
            <w:r>
              <w:rPr>
                <w:rFonts w:ascii="Arial" w:cs="Arial" w:eastAsia="Arial" w:hAnsi="Arial"/>
                <w:sz w:val="15"/>
                <w:szCs w:val="15"/>
                <w:b w:val="1"/>
                <w:bCs w:val="1"/>
                <w:color w:val="231F20"/>
              </w:rPr>
              <w:t>8.8%</w:t>
            </w:r>
          </w:p>
        </w:tc>
        <w:tc>
          <w:tcPr>
            <w:tcW w:w="1340" w:type="dxa"/>
            <w:vAlign w:val="bottom"/>
          </w:tcPr>
          <w:p>
            <w:pPr>
              <w:jc w:val="right"/>
              <w:ind w:right="286"/>
              <w:spacing w:after="0"/>
              <w:rPr>
                <w:sz w:val="20"/>
                <w:szCs w:val="20"/>
                <w:color w:val="auto"/>
              </w:rPr>
            </w:pPr>
            <w:r>
              <w:rPr>
                <w:rFonts w:ascii="Arial" w:cs="Arial" w:eastAsia="Arial" w:hAnsi="Arial"/>
                <w:sz w:val="15"/>
                <w:szCs w:val="15"/>
                <w:b w:val="1"/>
                <w:bCs w:val="1"/>
                <w:color w:val="231F20"/>
              </w:rPr>
              <w:t>9.3%</w:t>
            </w:r>
          </w:p>
        </w:tc>
        <w:tc>
          <w:tcPr>
            <w:tcW w:w="1160" w:type="dxa"/>
            <w:vAlign w:val="bottom"/>
          </w:tcPr>
          <w:p>
            <w:pPr>
              <w:jc w:val="right"/>
              <w:ind w:right="245"/>
              <w:spacing w:after="0"/>
              <w:rPr>
                <w:sz w:val="20"/>
                <w:szCs w:val="20"/>
                <w:color w:val="auto"/>
              </w:rPr>
            </w:pPr>
            <w:r>
              <w:rPr>
                <w:rFonts w:ascii="Arial" w:cs="Arial" w:eastAsia="Arial" w:hAnsi="Arial"/>
                <w:sz w:val="15"/>
                <w:szCs w:val="15"/>
                <w:b w:val="1"/>
                <w:bCs w:val="1"/>
                <w:color w:val="231F20"/>
              </w:rPr>
              <w:t>9.4%</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231F20"/>
              </w:rPr>
              <w:t>9.3%</w:t>
            </w:r>
          </w:p>
        </w:tc>
      </w:tr>
      <w:tr>
        <w:trPr>
          <w:trHeight w:val="44"/>
        </w:trPr>
        <w:tc>
          <w:tcPr>
            <w:tcW w:w="140" w:type="dxa"/>
            <w:vAlign w:val="bottom"/>
            <w:tcBorders>
              <w:bottom w:val="single" w:sz="8" w:color="5D5E60"/>
            </w:tcBorders>
          </w:tcPr>
          <w:p>
            <w:pPr>
              <w:spacing w:after="0"/>
              <w:rPr>
                <w:sz w:val="3"/>
                <w:szCs w:val="3"/>
                <w:color w:val="auto"/>
              </w:rPr>
            </w:pPr>
          </w:p>
        </w:tc>
        <w:tc>
          <w:tcPr>
            <w:tcW w:w="6840" w:type="dxa"/>
            <w:vAlign w:val="bottom"/>
            <w:tcBorders>
              <w:bottom w:val="single" w:sz="8" w:color="5D5E60"/>
            </w:tcBorders>
            <w:gridSpan w:val="5"/>
          </w:tcPr>
          <w:p>
            <w:pPr>
              <w:spacing w:after="0"/>
              <w:rPr>
                <w:sz w:val="3"/>
                <w:szCs w:val="3"/>
                <w:color w:val="auto"/>
              </w:rPr>
            </w:pPr>
          </w:p>
        </w:tc>
        <w:tc>
          <w:tcPr>
            <w:tcW w:w="1340" w:type="dxa"/>
            <w:vAlign w:val="bottom"/>
            <w:tcBorders>
              <w:bottom w:val="single" w:sz="8" w:color="5D5E60"/>
            </w:tcBorders>
          </w:tcPr>
          <w:p>
            <w:pPr>
              <w:spacing w:after="0"/>
              <w:rPr>
                <w:sz w:val="3"/>
                <w:szCs w:val="3"/>
                <w:color w:val="auto"/>
              </w:rPr>
            </w:pPr>
          </w:p>
        </w:tc>
        <w:tc>
          <w:tcPr>
            <w:tcW w:w="1160" w:type="dxa"/>
            <w:vAlign w:val="bottom"/>
            <w:tcBorders>
              <w:bottom w:val="single" w:sz="8" w:color="5D5E60"/>
            </w:tcBorders>
          </w:tcPr>
          <w:p>
            <w:pPr>
              <w:spacing w:after="0"/>
              <w:rPr>
                <w:sz w:val="3"/>
                <w:szCs w:val="3"/>
                <w:color w:val="auto"/>
              </w:rPr>
            </w:pPr>
          </w:p>
        </w:tc>
        <w:tc>
          <w:tcPr>
            <w:tcW w:w="940" w:type="dxa"/>
            <w:vAlign w:val="bottom"/>
            <w:tcBorders>
              <w:bottom w:val="single" w:sz="8" w:color="5D5E60"/>
            </w:tcBorders>
          </w:tcPr>
          <w:p>
            <w:pPr>
              <w:spacing w:after="0"/>
              <w:rPr>
                <w:sz w:val="3"/>
                <w:szCs w:val="3"/>
                <w:color w:val="auto"/>
              </w:rPr>
            </w:pPr>
          </w:p>
        </w:tc>
      </w:tr>
      <w:tr>
        <w:trPr>
          <w:trHeight w:val="625"/>
        </w:trPr>
        <w:tc>
          <w:tcPr>
            <w:tcW w:w="140" w:type="dxa"/>
            <w:vAlign w:val="bottom"/>
          </w:tcPr>
          <w:p>
            <w:pPr>
              <w:spacing w:after="0"/>
              <w:rPr>
                <w:sz w:val="20"/>
                <w:szCs w:val="20"/>
                <w:color w:val="auto"/>
              </w:rPr>
            </w:pPr>
            <w:r>
              <w:rPr>
                <w:rFonts w:ascii="Arial" w:cs="Arial" w:eastAsia="Arial" w:hAnsi="Arial"/>
                <w:sz w:val="12"/>
                <w:szCs w:val="12"/>
                <w:color w:val="231F20"/>
              </w:rPr>
              <w:t>ƒȊ</w:t>
            </w:r>
          </w:p>
        </w:tc>
        <w:tc>
          <w:tcPr>
            <w:tcW w:w="6840" w:type="dxa"/>
            <w:vAlign w:val="bottom"/>
            <w:gridSpan w:val="5"/>
          </w:tcPr>
          <w:p>
            <w:pPr>
              <w:ind w:left="40"/>
              <w:spacing w:after="0" w:line="146" w:lineRule="exact"/>
              <w:rPr>
                <w:sz w:val="20"/>
                <w:szCs w:val="20"/>
                <w:color w:val="auto"/>
              </w:rPr>
            </w:pPr>
            <w:r>
              <w:rPr>
                <w:rFonts w:ascii="PMingLiU" w:cs="PMingLiU" w:eastAsia="PMingLiU" w:hAnsi="PMingLiU"/>
                <w:sz w:val="12"/>
                <w:szCs w:val="12"/>
                <w:color w:val="231F20"/>
                <w:w w:val="86"/>
              </w:rPr>
              <w:t></w:t>
            </w:r>
            <w:r>
              <w:rPr>
                <w:rFonts w:ascii="Arial" w:cs="Arial" w:eastAsia="Arial" w:hAnsi="Arial"/>
                <w:sz w:val="12"/>
                <w:szCs w:val="12"/>
                <w:color w:val="231F20"/>
                <w:w w:val="86"/>
              </w:rPr>
              <w:t>fF</w:t>
            </w:r>
            <w:r>
              <w:rPr>
                <w:rFonts w:ascii="PMingLiU" w:cs="PMingLiU" w:eastAsia="PMingLiU" w:hAnsi="PMingLiU"/>
                <w:sz w:val="12"/>
                <w:szCs w:val="12"/>
                <w:color w:val="231F20"/>
                <w:w w:val="86"/>
              </w:rPr>
              <w:t/>
            </w:r>
            <w:r>
              <w:rPr>
                <w:rFonts w:ascii="Arial" w:cs="Arial" w:eastAsia="Arial" w:hAnsi="Arial"/>
                <w:sz w:val="12"/>
                <w:szCs w:val="12"/>
                <w:color w:val="231F20"/>
                <w:w w:val="86"/>
              </w:rPr>
              <w:t>ȊßÃĞßŠĞÃŚĉĬĥŒȊÿĬŋȊÃĞĞȊňŋĉĬŋȊňêŋĉĬåŒȊňŋêŒêĥŚêåǢȊêżßêňŚȊÿĬŋȊƓƑƓƕǢȊąÃŶêȊĥĬŚȊÞêêĥȊŋêŒŚÃŚêåȊÿĬŋȊŚąêȊ</w:t>
            </w:r>
            <w:r>
              <w:rPr>
                <w:rFonts w:ascii="PMingLiU" w:cs="PMingLiU" w:eastAsia="PMingLiU" w:hAnsi="PMingLiU"/>
                <w:sz w:val="12"/>
                <w:szCs w:val="12"/>
                <w:color w:val="231F20"/>
                <w:w w:val="86"/>
              </w:rPr>
              <w:t></w:t>
            </w:r>
            <w:r>
              <w:rPr>
                <w:rFonts w:ascii="Arial" w:cs="Arial" w:eastAsia="Arial" w:hAnsi="Arial"/>
                <w:sz w:val="12"/>
                <w:szCs w:val="12"/>
                <w:color w:val="231F20"/>
                <w:w w:val="86"/>
              </w:rPr>
              <w:t>Ȋ</w:t>
            </w:r>
            <w:r>
              <w:rPr>
                <w:rFonts w:ascii="PMingLiU" w:cs="PMingLiU" w:eastAsia="PMingLiU" w:hAnsi="PMingLiU"/>
                <w:sz w:val="12"/>
                <w:szCs w:val="12"/>
                <w:color w:val="231F20"/>
                <w:w w:val="86"/>
              </w:rPr>
              <w:t></w:t>
            </w:r>
            <w:r>
              <w:rPr>
                <w:rFonts w:ascii="Arial" w:cs="Arial" w:eastAsia="Arial" w:hAnsi="Arial"/>
                <w:sz w:val="12"/>
                <w:szCs w:val="12"/>
                <w:color w:val="231F20"/>
                <w:w w:val="86"/>
              </w:rPr>
              <w:t>F</w:t>
            </w:r>
            <w:r>
              <w:rPr>
                <w:rFonts w:ascii="PMingLiU" w:cs="PMingLiU" w:eastAsia="PMingLiU" w:hAnsi="PMingLiU"/>
                <w:sz w:val="12"/>
                <w:szCs w:val="12"/>
                <w:color w:val="231F20"/>
                <w:w w:val="86"/>
              </w:rPr>
              <w:t></w:t>
            </w:r>
            <w:r>
              <w:rPr>
                <w:rFonts w:ascii="Arial" w:cs="Arial" w:eastAsia="Arial" w:hAnsi="Arial"/>
                <w:sz w:val="12"/>
                <w:szCs w:val="12"/>
                <w:color w:val="231F20"/>
                <w:w w:val="86"/>
              </w:rPr>
              <w:t>XȊ</w:t>
            </w:r>
            <w:r>
              <w:rPr>
                <w:rFonts w:ascii="PMingLiU" w:cs="PMingLiU" w:eastAsia="PMingLiU" w:hAnsi="PMingLiU"/>
                <w:sz w:val="12"/>
                <w:szCs w:val="12"/>
                <w:color w:val="231F20"/>
                <w:w w:val="86"/>
              </w:rPr>
              <w:t></w:t>
            </w:r>
            <w:r>
              <w:rPr>
                <w:rFonts w:ascii="Arial" w:cs="Arial" w:eastAsia="Arial" w:hAnsi="Arial"/>
                <w:sz w:val="12"/>
                <w:szCs w:val="12"/>
                <w:color w:val="231F20"/>
                <w:w w:val="86"/>
              </w:rPr>
              <w:t>ŋÃĥŒÃßŚĉĬĥǡȊ</w:t>
            </w: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2"/>
                <w:szCs w:val="12"/>
                <w:color w:val="231F20"/>
                <w:w w:val="94"/>
              </w:rPr>
              <w:t>ƓȊ</w:t>
            </w:r>
          </w:p>
        </w:tc>
        <w:tc>
          <w:tcPr>
            <w:tcW w:w="4540" w:type="dxa"/>
            <w:vAlign w:val="bottom"/>
            <w:gridSpan w:val="2"/>
          </w:tcPr>
          <w:p>
            <w:pPr>
              <w:ind w:left="40"/>
              <w:spacing w:after="0"/>
              <w:rPr>
                <w:sz w:val="20"/>
                <w:szCs w:val="20"/>
                <w:color w:val="auto"/>
              </w:rPr>
            </w:pPr>
            <w:r>
              <w:rPr>
                <w:rFonts w:ascii="Arial" w:cs="Arial" w:eastAsia="Arial" w:hAnsi="Arial"/>
                <w:sz w:val="12"/>
                <w:szCs w:val="12"/>
                <w:color w:val="231F20"/>
                <w:w w:val="87"/>
              </w:rPr>
              <w:t>BĉŒŚĬŋĉßÃĞȊåêĥĬĤĉĥÃŚĬŋȊÞÃĞÃĥßêŒȊŋêƍêßŚȊňŠŋßąÃŒêȊÃßßĬŠĥŚĉĥĀȊÃåĘŠŒŚĤêĥŚŒǡȊȊȊ</w:t>
            </w:r>
          </w:p>
        </w:tc>
        <w:tc>
          <w:tcPr>
            <w:tcW w:w="980" w:type="dxa"/>
            <w:vAlign w:val="bottom"/>
          </w:tcPr>
          <w:p>
            <w:pPr>
              <w:jc w:val="right"/>
              <w:ind w:right="486"/>
              <w:spacing w:after="0"/>
              <w:rPr>
                <w:sz w:val="20"/>
                <w:szCs w:val="20"/>
                <w:color w:val="auto"/>
              </w:rPr>
            </w:pPr>
            <w:r>
              <w:rPr>
                <w:rFonts w:ascii="Arial" w:cs="Arial" w:eastAsia="Arial" w:hAnsi="Arial"/>
                <w:sz w:val="12"/>
                <w:szCs w:val="12"/>
                <w:color w:val="231F20"/>
              </w:rPr>
              <w:t>ȊȊ</w:t>
            </w:r>
          </w:p>
        </w:tc>
        <w:tc>
          <w:tcPr>
            <w:tcW w:w="340" w:type="dxa"/>
            <w:vAlign w:val="bottom"/>
          </w:tcPr>
          <w:p>
            <w:pPr>
              <w:ind w:left="100"/>
              <w:spacing w:after="0"/>
              <w:rPr>
                <w:sz w:val="20"/>
                <w:szCs w:val="20"/>
                <w:color w:val="auto"/>
              </w:rPr>
            </w:pPr>
            <w:r>
              <w:rPr>
                <w:rFonts w:ascii="Arial" w:cs="Arial" w:eastAsia="Arial" w:hAnsi="Arial"/>
                <w:sz w:val="12"/>
                <w:szCs w:val="12"/>
                <w:color w:val="231F20"/>
              </w:rPr>
              <w:t>ȊȊ</w:t>
            </w:r>
          </w:p>
        </w:tc>
        <w:tc>
          <w:tcPr>
            <w:tcW w:w="980" w:type="dxa"/>
            <w:vAlign w:val="bottom"/>
          </w:tcPr>
          <w:p>
            <w:pPr>
              <w:jc w:val="right"/>
              <w:ind w:right="366"/>
              <w:spacing w:after="0"/>
              <w:rPr>
                <w:sz w:val="20"/>
                <w:szCs w:val="20"/>
                <w:color w:val="auto"/>
              </w:rPr>
            </w:pPr>
            <w:r>
              <w:rPr>
                <w:rFonts w:ascii="Arial" w:cs="Arial" w:eastAsia="Arial" w:hAnsi="Arial"/>
                <w:sz w:val="12"/>
                <w:szCs w:val="12"/>
                <w:color w:val="231F20"/>
              </w:rPr>
              <w:t>ȊȊ</w:t>
            </w:r>
          </w:p>
        </w:tc>
        <w:tc>
          <w:tcPr>
            <w:tcW w:w="1340" w:type="dxa"/>
            <w:vAlign w:val="bottom"/>
          </w:tcPr>
          <w:p>
            <w:pPr>
              <w:jc w:val="right"/>
              <w:ind w:right="1006"/>
              <w:spacing w:after="0"/>
              <w:rPr>
                <w:sz w:val="20"/>
                <w:szCs w:val="20"/>
                <w:color w:val="auto"/>
              </w:rPr>
            </w:pPr>
            <w:r>
              <w:rPr>
                <w:rFonts w:ascii="Arial" w:cs="Arial" w:eastAsia="Arial" w:hAnsi="Arial"/>
                <w:sz w:val="12"/>
                <w:szCs w:val="12"/>
                <w:color w:val="231F20"/>
              </w:rPr>
              <w:t>Ȋ</w:t>
            </w: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2"/>
                <w:szCs w:val="12"/>
                <w:color w:val="231F20"/>
              </w:rPr>
              <w:t>ƔȊ</w:t>
            </w:r>
          </w:p>
        </w:tc>
        <w:tc>
          <w:tcPr>
            <w:tcW w:w="4540" w:type="dxa"/>
            <w:vAlign w:val="bottom"/>
            <w:gridSpan w:val="2"/>
          </w:tcPr>
          <w:p>
            <w:pPr>
              <w:ind w:left="40"/>
              <w:spacing w:after="0" w:line="146" w:lineRule="exact"/>
              <w:rPr>
                <w:sz w:val="20"/>
                <w:szCs w:val="20"/>
                <w:color w:val="auto"/>
              </w:rPr>
            </w:pPr>
            <w:r>
              <w:rPr>
                <w:rFonts w:ascii="PMingLiU" w:cs="PMingLiU" w:eastAsia="PMingLiU" w:hAnsi="PMingLiU"/>
                <w:sz w:val="12"/>
                <w:szCs w:val="12"/>
                <w:color w:val="231F20"/>
                <w:w w:val="89"/>
              </w:rPr>
              <w:t/>
            </w:r>
            <w:r>
              <w:rPr>
                <w:rFonts w:ascii="Arial" w:cs="Arial" w:eastAsia="Arial" w:hAnsi="Arial"/>
                <w:sz w:val="12"/>
                <w:szCs w:val="12"/>
                <w:color w:val="231F20"/>
                <w:w w:val="89"/>
              </w:rPr>
              <w:t>åĘŠŒŚêåȊŚĬȊÃĥĥŠÃĞĉƅêȊĉĤňÃßŚŒȊĬÿȊÃßŊŠĉŒĉŚĉĬĥŒȊßĞĬŒêåȊŚąŋĬŠĀąĬŠŚȊŚąêȊŽêÃŋǡ</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2"/>
                <w:szCs w:val="12"/>
                <w:color w:val="231F20"/>
                <w:w w:val="85"/>
              </w:rPr>
              <w:t>ƕȊ</w:t>
            </w:r>
          </w:p>
        </w:tc>
        <w:tc>
          <w:tcPr>
            <w:tcW w:w="8180" w:type="dxa"/>
            <w:vAlign w:val="bottom"/>
            <w:gridSpan w:val="6"/>
          </w:tcPr>
          <w:p>
            <w:pPr>
              <w:ind w:left="40"/>
              <w:spacing w:after="0" w:line="146" w:lineRule="exact"/>
              <w:rPr>
                <w:sz w:val="20"/>
                <w:szCs w:val="20"/>
                <w:color w:val="auto"/>
              </w:rPr>
            </w:pPr>
            <w:r>
              <w:rPr>
                <w:rFonts w:ascii="PMingLiU" w:cs="PMingLiU" w:eastAsia="PMingLiU" w:hAnsi="PMingLiU"/>
                <w:sz w:val="12"/>
                <w:szCs w:val="12"/>
                <w:color w:val="231F20"/>
                <w:w w:val="84"/>
              </w:rPr>
              <w:t></w:t>
            </w:r>
            <w:r>
              <w:rPr>
                <w:rFonts w:ascii="Arial" w:cs="Arial" w:eastAsia="Arial" w:hAnsi="Arial"/>
                <w:sz w:val="12"/>
                <w:szCs w:val="12"/>
                <w:color w:val="231F20"/>
                <w:w w:val="84"/>
              </w:rPr>
              <w:t>êƍêßŚŒȊĀŋĬŒŒȊÃĤĬŠĥŚȊĬÿȊĉĥŚÃĥĀĉÞĞêŒȊÃĥåȊĀĬĬåŷĉĞĞǢȊÃåĘŠŒŚêåȊŚĬȊêżßĞŠåêȊĉĤňÃĉŋĤêĥŚȊßąÃŋĀêŒȊÃĥåȊåêňŋêßĉÃŚĉĬĥȊŋêĞÃŚêåȊŚĬȊåêňŋêßĉÃÞĞêȊĉĥŚÃĥĀĉÞĞêŒǡ</w:t>
            </w: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2"/>
                <w:szCs w:val="12"/>
                <w:color w:val="231F20"/>
              </w:rPr>
              <w:t>ƖȊ</w:t>
            </w:r>
          </w:p>
        </w:tc>
        <w:tc>
          <w:tcPr>
            <w:tcW w:w="4540" w:type="dxa"/>
            <w:vAlign w:val="bottom"/>
            <w:gridSpan w:val="2"/>
          </w:tcPr>
          <w:p>
            <w:pPr>
              <w:ind w:left="40"/>
              <w:spacing w:after="0"/>
              <w:rPr>
                <w:sz w:val="20"/>
                <w:szCs w:val="20"/>
                <w:color w:val="auto"/>
              </w:rPr>
            </w:pPr>
            <w:r>
              <w:rPr>
                <w:rFonts w:ascii="Arial" w:cs="Arial" w:eastAsia="Arial" w:hAnsi="Arial"/>
                <w:sz w:val="12"/>
                <w:szCs w:val="12"/>
                <w:color w:val="231F20"/>
                <w:w w:val="95"/>
              </w:rPr>
              <w:t>(żßĞŠåêŒȊŚąêȊĉĤňÃßŚȊĬÿȊåêÿêŋŋêåȊŚÃżȊÃåĘŠŒŚĤêĥŚŒȊŋêĞÃŚêåȊŚĬȊŶÃĞŠÃŚĉĬĥǡ</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-3200400</wp:posOffset>
            </wp:positionV>
            <wp:extent cx="659003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375">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-2997200</wp:posOffset>
            </wp:positionV>
            <wp:extent cx="659003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376">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-2794635</wp:posOffset>
            </wp:positionV>
            <wp:extent cx="659003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377">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-2388235</wp:posOffset>
            </wp:positionV>
            <wp:extent cx="659003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378">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-1982470</wp:posOffset>
            </wp:positionV>
            <wp:extent cx="659003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379">
                      <a:extLst>
                        <a:ext uri="{28A0092B-C50C-407E-A947-70E740481C1C}"/>
                      </a:extLst>
                    </a:blip>
                    <a:srcRect/>
                    <a:stretch>
                      <a:fillRect/>
                    </a:stretch>
                  </pic:blipFill>
                  <pic:spPr bwMode="auto">
                    <a:xfrm>
                      <a:off x="0" y="0"/>
                      <a:ext cx="6590030" cy="571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-1779270</wp:posOffset>
            </wp:positionV>
            <wp:extent cx="659003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380">
                      <a:extLst>
                        <a:ext uri="{28A0092B-C50C-407E-A947-70E740481C1C}"/>
                      </a:extLst>
                    </a:blip>
                    <a:srcRect/>
                    <a:stretch>
                      <a:fillRect/>
                    </a:stretch>
                  </pic:blipFill>
                  <pic:spPr bwMode="auto">
                    <a:xfrm>
                      <a:off x="0" y="0"/>
                      <a:ext cx="6590030" cy="5715"/>
                    </a:xfrm>
                    <a:prstGeom prst="rect">
                      <a:avLst/>
                    </a:prstGeom>
                    <a:noFill/>
                  </pic:spPr>
                </pic:pic>
              </a:graphicData>
            </a:graphic>
          </wp:anchor>
        </w:drawing>
      </w:r>
    </w:p>
    <w:p>
      <w:pPr>
        <w:sectPr>
          <w:pgSz w:w="11880" w:h="15480" w:orient="portrait"/>
          <w:cols w:equalWidth="0" w:num="1">
            <w:col w:w="10460"/>
          </w:cols>
          <w:pgMar w:left="680" w:top="658" w:right="740" w:bottom="1440" w:gutter="0" w:footer="0" w:header="0"/>
        </w:sectPr>
      </w:pPr>
    </w:p>
    <w:bookmarkStart w:id="153" w:name="page154"/>
    <w:bookmarkEnd w:id="153"/>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rFonts w:ascii="Arial" w:cs="Arial" w:eastAsia="Arial" w:hAnsi="Arial"/>
          <w:sz w:val="22"/>
          <w:szCs w:val="22"/>
          <w:color w:val="1FA4D7"/>
        </w:rPr>
        <w:drawing>
          <wp:anchor simplePos="0" relativeHeight="251657728" behindDoc="1" locked="0" layoutInCell="0" allowOverlap="1">
            <wp:simplePos x="0" y="0"/>
            <wp:positionH relativeFrom="page">
              <wp:posOffset>0</wp:posOffset>
            </wp:positionH>
            <wp:positionV relativeFrom="page">
              <wp:posOffset>0</wp:posOffset>
            </wp:positionV>
            <wp:extent cx="3195955" cy="98291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381">
                      <a:extLst>
                        <a:ext uri="{28A0092B-C50C-407E-A947-70E740481C1C}"/>
                      </a:extLst>
                    </a:blip>
                    <a:srcRect/>
                    <a:stretch>
                      <a:fillRect/>
                    </a:stretch>
                  </pic:blipFill>
                  <pic:spPr bwMode="auto">
                    <a:xfrm>
                      <a:off x="0" y="0"/>
                      <a:ext cx="3195955" cy="9829165"/>
                    </a:xfrm>
                    <a:prstGeom prst="rect">
                      <a:avLst/>
                    </a:prstGeom>
                    <a:noFill/>
                  </pic:spPr>
                </pic:pic>
              </a:graphicData>
            </a:graphic>
          </wp:anchor>
        </w:drawing>
        <w:t>AMERICAN TOWER CORPORATION</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Executive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135255</wp:posOffset>
            </wp:positionV>
            <wp:extent cx="1266825" cy="15201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382">
                      <a:extLst>
                        <a:ext uri="{28A0092B-C50C-407E-A947-70E740481C1C}"/>
                      </a:extLst>
                    </a:blip>
                    <a:srcRect/>
                    <a:stretch>
                      <a:fillRect/>
                    </a:stretch>
                  </pic:blipFill>
                  <pic:spPr bwMode="auto">
                    <a:xfrm>
                      <a:off x="0" y="0"/>
                      <a:ext cx="126682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00" w:type="dxa"/>
            <w:vAlign w:val="bottom"/>
          </w:tcPr>
          <w:p>
            <w:pPr>
              <w:spacing w:after="0"/>
              <w:rPr>
                <w:sz w:val="20"/>
                <w:szCs w:val="20"/>
                <w:color w:val="auto"/>
              </w:rPr>
            </w:pPr>
            <w:r>
              <w:rPr>
                <w:rFonts w:ascii="Arial" w:cs="Arial" w:eastAsia="Arial" w:hAnsi="Arial"/>
                <w:sz w:val="16"/>
                <w:szCs w:val="16"/>
                <w:b w:val="1"/>
                <w:bCs w:val="1"/>
                <w:color w:val="231F20"/>
              </w:rPr>
              <w:t>Steven O. Vondran</w:t>
            </w:r>
          </w:p>
        </w:tc>
        <w:tc>
          <w:tcPr>
            <w:tcW w:w="2500" w:type="dxa"/>
            <w:vAlign w:val="bottom"/>
          </w:tcPr>
          <w:p>
            <w:pPr>
              <w:ind w:left="400"/>
              <w:spacing w:after="0"/>
              <w:rPr>
                <w:sz w:val="20"/>
                <w:szCs w:val="20"/>
                <w:color w:val="auto"/>
              </w:rPr>
            </w:pPr>
            <w:r>
              <w:rPr>
                <w:rFonts w:ascii="Arial" w:cs="Arial" w:eastAsia="Arial" w:hAnsi="Arial"/>
                <w:sz w:val="16"/>
                <w:szCs w:val="16"/>
                <w:b w:val="1"/>
                <w:bCs w:val="1"/>
                <w:color w:val="231F20"/>
              </w:rPr>
              <w:t>Ruth T. Dowling</w:t>
            </w:r>
          </w:p>
        </w:tc>
        <w:tc>
          <w:tcPr>
            <w:tcW w:w="1920" w:type="dxa"/>
            <w:vAlign w:val="bottom"/>
          </w:tcPr>
          <w:p>
            <w:pPr>
              <w:ind w:left="280"/>
              <w:spacing w:after="0"/>
              <w:rPr>
                <w:sz w:val="20"/>
                <w:szCs w:val="20"/>
                <w:color w:val="auto"/>
              </w:rPr>
            </w:pPr>
            <w:r>
              <w:rPr>
                <w:rFonts w:ascii="Arial" w:cs="Arial" w:eastAsia="Arial" w:hAnsi="Arial"/>
                <w:sz w:val="16"/>
                <w:szCs w:val="16"/>
                <w:b w:val="1"/>
                <w:bCs w:val="1"/>
                <w:color w:val="231F20"/>
              </w:rPr>
              <w:t>Juan Font</w:t>
            </w:r>
          </w:p>
        </w:tc>
      </w:tr>
      <w:tr>
        <w:trPr>
          <w:trHeight w:val="198"/>
        </w:trPr>
        <w:tc>
          <w:tcPr>
            <w:tcW w:w="2000" w:type="dxa"/>
            <w:vAlign w:val="bottom"/>
          </w:tcPr>
          <w:p>
            <w:pPr>
              <w:spacing w:after="0"/>
              <w:rPr>
                <w:sz w:val="20"/>
                <w:szCs w:val="20"/>
                <w:color w:val="auto"/>
              </w:rPr>
            </w:pPr>
            <w:r>
              <w:rPr>
                <w:rFonts w:ascii="Arial" w:cs="Arial" w:eastAsia="Arial" w:hAnsi="Arial"/>
                <w:sz w:val="16"/>
                <w:szCs w:val="16"/>
                <w:i w:val="1"/>
                <w:iCs w:val="1"/>
                <w:color w:val="231F20"/>
              </w:rPr>
              <w:t>President and</w:t>
            </w:r>
          </w:p>
        </w:tc>
        <w:tc>
          <w:tcPr>
            <w:tcW w:w="2500" w:type="dxa"/>
            <w:vAlign w:val="bottom"/>
          </w:tcPr>
          <w:p>
            <w:pPr>
              <w:ind w:left="400"/>
              <w:spacing w:after="0"/>
              <w:rPr>
                <w:sz w:val="20"/>
                <w:szCs w:val="20"/>
                <w:color w:val="auto"/>
              </w:rPr>
            </w:pPr>
            <w:r>
              <w:rPr>
                <w:rFonts w:ascii="Arial" w:cs="Arial" w:eastAsia="Arial" w:hAnsi="Arial"/>
                <w:sz w:val="16"/>
                <w:szCs w:val="16"/>
                <w:i w:val="1"/>
                <w:iCs w:val="1"/>
                <w:color w:val="231F20"/>
              </w:rPr>
              <w:t>Executive Vice President,</w:t>
            </w:r>
          </w:p>
        </w:tc>
        <w:tc>
          <w:tcPr>
            <w:tcW w:w="1920" w:type="dxa"/>
            <w:vAlign w:val="bottom"/>
          </w:tcPr>
          <w:p>
            <w:pPr>
              <w:ind w:left="280"/>
              <w:spacing w:after="0"/>
              <w:rPr>
                <w:sz w:val="20"/>
                <w:szCs w:val="20"/>
                <w:color w:val="auto"/>
              </w:rPr>
            </w:pPr>
            <w:r>
              <w:rPr>
                <w:rFonts w:ascii="Arial" w:cs="Arial" w:eastAsia="Arial" w:hAnsi="Arial"/>
                <w:sz w:val="16"/>
                <w:szCs w:val="16"/>
                <w:i w:val="1"/>
                <w:iCs w:val="1"/>
                <w:color w:val="231F20"/>
              </w:rPr>
              <w:t>Senior Vice President;</w:t>
            </w:r>
          </w:p>
        </w:tc>
      </w:tr>
      <w:tr>
        <w:trPr>
          <w:trHeight w:val="198"/>
        </w:trPr>
        <w:tc>
          <w:tcPr>
            <w:tcW w:w="2000" w:type="dxa"/>
            <w:vAlign w:val="bottom"/>
          </w:tcPr>
          <w:p>
            <w:pPr>
              <w:spacing w:after="0" w:line="194" w:lineRule="exact"/>
              <w:rPr>
                <w:sz w:val="20"/>
                <w:szCs w:val="20"/>
                <w:color w:val="auto"/>
              </w:rPr>
            </w:pPr>
            <w:r>
              <w:rPr>
                <w:rFonts w:ascii="PMingLiU" w:cs="PMingLiU" w:eastAsia="PMingLiU" w:hAnsi="PMingLiU"/>
                <w:sz w:val="16"/>
                <w:szCs w:val="16"/>
                <w:i w:val="1"/>
                <w:iCs w:val="1"/>
                <w:color w:val="231F20"/>
              </w:rPr>
              <w:t/>
            </w:r>
            <w:r>
              <w:rPr>
                <w:rFonts w:ascii="Arial" w:cs="Arial" w:eastAsia="Arial" w:hAnsi="Arial"/>
                <w:sz w:val="16"/>
                <w:szCs w:val="16"/>
                <w:i w:val="1"/>
                <w:iCs w:val="1"/>
                <w:color w:val="231F20"/>
              </w:rPr>
              <w:t>ąĉêÿȊ(żêßŠŚĉŶêȊfÿƌßêŋ</w:t>
            </w:r>
          </w:p>
        </w:tc>
        <w:tc>
          <w:tcPr>
            <w:tcW w:w="2500" w:type="dxa"/>
            <w:vAlign w:val="bottom"/>
          </w:tcPr>
          <w:p>
            <w:pPr>
              <w:ind w:left="400"/>
              <w:spacing w:after="0"/>
              <w:rPr>
                <w:sz w:val="20"/>
                <w:szCs w:val="20"/>
                <w:color w:val="auto"/>
              </w:rPr>
            </w:pPr>
            <w:r>
              <w:rPr>
                <w:rFonts w:ascii="Arial" w:cs="Arial" w:eastAsia="Arial" w:hAnsi="Arial"/>
                <w:sz w:val="16"/>
                <w:szCs w:val="16"/>
                <w:i w:val="1"/>
                <w:iCs w:val="1"/>
                <w:color w:val="231F20"/>
              </w:rPr>
              <w:t>Chief Administrative</w:t>
            </w:r>
          </w:p>
        </w:tc>
        <w:tc>
          <w:tcPr>
            <w:tcW w:w="1920" w:type="dxa"/>
            <w:vAlign w:val="bottom"/>
          </w:tcPr>
          <w:p>
            <w:pPr>
              <w:ind w:left="280"/>
              <w:spacing w:after="0"/>
              <w:rPr>
                <w:sz w:val="20"/>
                <w:szCs w:val="20"/>
                <w:color w:val="auto"/>
              </w:rPr>
            </w:pPr>
            <w:r>
              <w:rPr>
                <w:rFonts w:ascii="Arial" w:cs="Arial" w:eastAsia="Arial" w:hAnsi="Arial"/>
                <w:sz w:val="16"/>
                <w:szCs w:val="16"/>
                <w:i w:val="1"/>
                <w:iCs w:val="1"/>
                <w:color w:val="231F20"/>
              </w:rPr>
              <w:t>President and</w:t>
            </w:r>
          </w:p>
        </w:tc>
      </w:tr>
      <w:tr>
        <w:trPr>
          <w:trHeight w:val="198"/>
        </w:trPr>
        <w:tc>
          <w:tcPr>
            <w:tcW w:w="2000" w:type="dxa"/>
            <w:vAlign w:val="bottom"/>
          </w:tcPr>
          <w:p>
            <w:pPr>
              <w:spacing w:after="0"/>
              <w:rPr>
                <w:sz w:val="17"/>
                <w:szCs w:val="17"/>
                <w:color w:val="auto"/>
              </w:rPr>
            </w:pPr>
          </w:p>
        </w:tc>
        <w:tc>
          <w:tcPr>
            <w:tcW w:w="2500" w:type="dxa"/>
            <w:vAlign w:val="bottom"/>
          </w:tcPr>
          <w:p>
            <w:pPr>
              <w:ind w:left="400"/>
              <w:spacing w:after="0" w:line="194" w:lineRule="exact"/>
              <w:rPr>
                <w:sz w:val="20"/>
                <w:szCs w:val="20"/>
                <w:color w:val="auto"/>
              </w:rPr>
            </w:pPr>
            <w:r>
              <w:rPr>
                <w:rFonts w:ascii="Arial" w:cs="Arial" w:eastAsia="Arial" w:hAnsi="Arial"/>
                <w:sz w:val="16"/>
                <w:szCs w:val="16"/>
                <w:i w:val="1"/>
                <w:iCs w:val="1"/>
                <w:color w:val="231F20"/>
              </w:rPr>
              <w:t>fÿƌßêŋǢȊ=êĥêŋÃĞȊ</w:t>
            </w:r>
            <w:r>
              <w:rPr>
                <w:rFonts w:ascii="PMingLiU" w:cs="PMingLiU" w:eastAsia="PMingLiU" w:hAnsi="PMingLiU"/>
                <w:sz w:val="16"/>
                <w:szCs w:val="16"/>
                <w:i w:val="1"/>
                <w:iCs w:val="1"/>
                <w:color w:val="231F20"/>
              </w:rPr>
              <w:t/>
            </w:r>
            <w:r>
              <w:rPr>
                <w:rFonts w:ascii="Arial" w:cs="Arial" w:eastAsia="Arial" w:hAnsi="Arial"/>
                <w:sz w:val="16"/>
                <w:szCs w:val="16"/>
                <w:i w:val="1"/>
                <w:iCs w:val="1"/>
                <w:color w:val="231F20"/>
              </w:rPr>
              <w:t>ĬŠĥŒêĞȊ</w:t>
            </w:r>
          </w:p>
        </w:tc>
        <w:tc>
          <w:tcPr>
            <w:tcW w:w="1920" w:type="dxa"/>
            <w:vAlign w:val="bottom"/>
          </w:tcPr>
          <w:p>
            <w:pPr>
              <w:ind w:left="280"/>
              <w:spacing w:after="0" w:line="194" w:lineRule="exact"/>
              <w:rPr>
                <w:sz w:val="20"/>
                <w:szCs w:val="20"/>
                <w:color w:val="auto"/>
              </w:rPr>
            </w:pPr>
            <w:r>
              <w:rPr>
                <w:rFonts w:ascii="PMingLiU" w:cs="PMingLiU" w:eastAsia="PMingLiU" w:hAnsi="PMingLiU"/>
                <w:sz w:val="16"/>
                <w:szCs w:val="16"/>
                <w:i w:val="1"/>
                <w:iCs w:val="1"/>
                <w:color w:val="231F20"/>
                <w:w w:val="85"/>
              </w:rPr>
              <w:t/>
            </w:r>
            <w:r>
              <w:rPr>
                <w:rFonts w:ascii="Arial" w:cs="Arial" w:eastAsia="Arial" w:hAnsi="Arial"/>
                <w:sz w:val="16"/>
                <w:szCs w:val="16"/>
                <w:i w:val="1"/>
                <w:iCs w:val="1"/>
                <w:color w:val="231F20"/>
                <w:w w:val="85"/>
              </w:rPr>
              <w:t>ąĉêÿȊ(żêßŠŚĉŶêȊfÿƌßêŋǢ</w:t>
            </w:r>
          </w:p>
        </w:tc>
      </w:tr>
      <w:tr>
        <w:trPr>
          <w:trHeight w:val="202"/>
        </w:trPr>
        <w:tc>
          <w:tcPr>
            <w:tcW w:w="2000" w:type="dxa"/>
            <w:vAlign w:val="bottom"/>
          </w:tcPr>
          <w:p>
            <w:pPr>
              <w:spacing w:after="0"/>
              <w:rPr>
                <w:sz w:val="17"/>
                <w:szCs w:val="17"/>
                <w:color w:val="auto"/>
              </w:rPr>
            </w:pPr>
          </w:p>
        </w:tc>
        <w:tc>
          <w:tcPr>
            <w:tcW w:w="2500" w:type="dxa"/>
            <w:vAlign w:val="bottom"/>
          </w:tcPr>
          <w:p>
            <w:pPr>
              <w:ind w:left="400"/>
              <w:spacing w:after="0"/>
              <w:rPr>
                <w:sz w:val="20"/>
                <w:szCs w:val="20"/>
                <w:color w:val="auto"/>
              </w:rPr>
            </w:pPr>
            <w:r>
              <w:rPr>
                <w:rFonts w:ascii="Arial" w:cs="Arial" w:eastAsia="Arial" w:hAnsi="Arial"/>
                <w:sz w:val="16"/>
                <w:szCs w:val="16"/>
                <w:i w:val="1"/>
                <w:iCs w:val="1"/>
                <w:color w:val="231F20"/>
              </w:rPr>
              <w:t>and Secretary</w:t>
            </w:r>
          </w:p>
        </w:tc>
        <w:tc>
          <w:tcPr>
            <w:tcW w:w="1920" w:type="dxa"/>
            <w:vAlign w:val="bottom"/>
          </w:tcPr>
          <w:p>
            <w:pPr>
              <w:ind w:left="280"/>
              <w:spacing w:after="0"/>
              <w:rPr>
                <w:sz w:val="20"/>
                <w:szCs w:val="20"/>
                <w:color w:val="auto"/>
              </w:rPr>
            </w:pPr>
            <w:r>
              <w:rPr>
                <w:rFonts w:ascii="Arial" w:cs="Arial" w:eastAsia="Arial" w:hAnsi="Arial"/>
                <w:sz w:val="16"/>
                <w:szCs w:val="16"/>
                <w:i w:val="1"/>
                <w:iCs w:val="1"/>
                <w:color w:val="231F20"/>
              </w:rPr>
              <w:t>CoreSite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178435</wp:posOffset>
            </wp:positionV>
            <wp:extent cx="1266825" cy="15176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383">
                      <a:extLst>
                        <a:ext uri="{28A0092B-C50C-407E-A947-70E740481C1C}"/>
                      </a:extLst>
                    </a:blip>
                    <a:srcRect/>
                    <a:stretch>
                      <a:fillRect/>
                    </a:stretch>
                  </pic:blipFill>
                  <pic:spPr bwMode="auto">
                    <a:xfrm>
                      <a:off x="0" y="0"/>
                      <a:ext cx="126682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60" w:type="dxa"/>
            <w:vAlign w:val="bottom"/>
          </w:tcPr>
          <w:p>
            <w:pPr>
              <w:spacing w:after="0"/>
              <w:rPr>
                <w:sz w:val="20"/>
                <w:szCs w:val="20"/>
                <w:color w:val="auto"/>
              </w:rPr>
            </w:pPr>
            <w:r>
              <w:rPr>
                <w:rFonts w:ascii="Arial" w:cs="Arial" w:eastAsia="Arial" w:hAnsi="Arial"/>
                <w:sz w:val="16"/>
                <w:szCs w:val="16"/>
                <w:b w:val="1"/>
                <w:bCs w:val="1"/>
                <w:color w:val="231F20"/>
              </w:rPr>
              <w:t>Eugene M. Noel</w:t>
            </w:r>
          </w:p>
        </w:tc>
        <w:tc>
          <w:tcPr>
            <w:tcW w:w="2300" w:type="dxa"/>
            <w:vAlign w:val="bottom"/>
          </w:tcPr>
          <w:p>
            <w:pPr>
              <w:ind w:left="220"/>
              <w:spacing w:after="0"/>
              <w:rPr>
                <w:sz w:val="20"/>
                <w:szCs w:val="20"/>
                <w:color w:val="auto"/>
              </w:rPr>
            </w:pPr>
            <w:r>
              <w:rPr>
                <w:rFonts w:ascii="Arial" w:cs="Arial" w:eastAsia="Arial" w:hAnsi="Arial"/>
                <w:sz w:val="16"/>
                <w:szCs w:val="16"/>
                <w:b w:val="1"/>
                <w:bCs w:val="1"/>
                <w:color w:val="231F20"/>
              </w:rPr>
              <w:t>Richard Rossi</w:t>
            </w:r>
          </w:p>
        </w:tc>
        <w:tc>
          <w:tcPr>
            <w:tcW w:w="2080" w:type="dxa"/>
            <w:vAlign w:val="bottom"/>
          </w:tcPr>
          <w:p>
            <w:pPr>
              <w:ind w:left="340"/>
              <w:spacing w:after="0"/>
              <w:rPr>
                <w:sz w:val="20"/>
                <w:szCs w:val="20"/>
                <w:color w:val="auto"/>
              </w:rPr>
            </w:pPr>
            <w:r>
              <w:rPr>
                <w:rFonts w:ascii="Arial" w:cs="Arial" w:eastAsia="Arial" w:hAnsi="Arial"/>
                <w:sz w:val="16"/>
                <w:szCs w:val="16"/>
                <w:b w:val="1"/>
                <w:bCs w:val="1"/>
                <w:color w:val="231F20"/>
              </w:rPr>
              <w:t>Rodney M. Smith</w:t>
            </w:r>
          </w:p>
        </w:tc>
      </w:tr>
      <w:tr>
        <w:trPr>
          <w:trHeight w:val="198"/>
        </w:trPr>
        <w:tc>
          <w:tcPr>
            <w:tcW w:w="2160" w:type="dxa"/>
            <w:vAlign w:val="bottom"/>
          </w:tcPr>
          <w:p>
            <w:pPr>
              <w:spacing w:after="0"/>
              <w:rPr>
                <w:sz w:val="20"/>
                <w:szCs w:val="20"/>
                <w:color w:val="auto"/>
              </w:rPr>
            </w:pPr>
            <w:r>
              <w:rPr>
                <w:rFonts w:ascii="Arial" w:cs="Arial" w:eastAsia="Arial" w:hAnsi="Arial"/>
                <w:sz w:val="16"/>
                <w:szCs w:val="16"/>
                <w:i w:val="1"/>
                <w:iCs w:val="1"/>
                <w:color w:val="231F20"/>
              </w:rPr>
              <w:t>Executive Vice President</w:t>
            </w:r>
          </w:p>
        </w:tc>
        <w:tc>
          <w:tcPr>
            <w:tcW w:w="2300" w:type="dxa"/>
            <w:vAlign w:val="bottom"/>
          </w:tcPr>
          <w:p>
            <w:pPr>
              <w:ind w:left="220"/>
              <w:spacing w:after="0"/>
              <w:rPr>
                <w:sz w:val="20"/>
                <w:szCs w:val="20"/>
                <w:color w:val="auto"/>
              </w:rPr>
            </w:pPr>
            <w:r>
              <w:rPr>
                <w:rFonts w:ascii="Arial" w:cs="Arial" w:eastAsia="Arial" w:hAnsi="Arial"/>
                <w:sz w:val="16"/>
                <w:szCs w:val="16"/>
                <w:i w:val="1"/>
                <w:iCs w:val="1"/>
                <w:color w:val="231F20"/>
              </w:rPr>
              <w:t>Executive Vice President</w:t>
            </w:r>
          </w:p>
        </w:tc>
        <w:tc>
          <w:tcPr>
            <w:tcW w:w="2080" w:type="dxa"/>
            <w:vAlign w:val="bottom"/>
          </w:tcPr>
          <w:p>
            <w:pPr>
              <w:ind w:left="340"/>
              <w:spacing w:after="0"/>
              <w:rPr>
                <w:sz w:val="20"/>
                <w:szCs w:val="20"/>
                <w:color w:val="auto"/>
              </w:rPr>
            </w:pPr>
            <w:r>
              <w:rPr>
                <w:rFonts w:ascii="Arial" w:cs="Arial" w:eastAsia="Arial" w:hAnsi="Arial"/>
                <w:sz w:val="16"/>
                <w:szCs w:val="16"/>
                <w:i w:val="1"/>
                <w:iCs w:val="1"/>
                <w:color w:val="231F20"/>
                <w:w w:val="94"/>
              </w:rPr>
              <w:t>Executive Vice President,</w:t>
            </w:r>
          </w:p>
        </w:tc>
      </w:tr>
      <w:tr>
        <w:trPr>
          <w:trHeight w:val="199"/>
        </w:trPr>
        <w:tc>
          <w:tcPr>
            <w:tcW w:w="2160" w:type="dxa"/>
            <w:vAlign w:val="bottom"/>
          </w:tcPr>
          <w:p>
            <w:pPr>
              <w:spacing w:after="0" w:line="194" w:lineRule="exact"/>
              <w:rPr>
                <w:sz w:val="20"/>
                <w:szCs w:val="20"/>
                <w:color w:val="auto"/>
              </w:rPr>
            </w:pPr>
            <w:r>
              <w:rPr>
                <w:rFonts w:ascii="Arial" w:cs="Arial" w:eastAsia="Arial" w:hAnsi="Arial"/>
                <w:sz w:val="16"/>
                <w:szCs w:val="16"/>
                <w:i w:val="1"/>
                <w:iCs w:val="1"/>
                <w:color w:val="231F20"/>
              </w:rPr>
              <w:t>ÃĥåȊ</w:t>
            </w:r>
            <w:r>
              <w:rPr>
                <w:rFonts w:ascii="PMingLiU" w:cs="PMingLiU" w:eastAsia="PMingLiU" w:hAnsi="PMingLiU"/>
                <w:sz w:val="16"/>
                <w:szCs w:val="16"/>
                <w:i w:val="1"/>
                <w:iCs w:val="1"/>
                <w:color w:val="231F20"/>
              </w:rPr>
              <w:t/>
            </w:r>
            <w:r>
              <w:rPr>
                <w:rFonts w:ascii="Arial" w:cs="Arial" w:eastAsia="Arial" w:hAnsi="Arial"/>
                <w:sz w:val="16"/>
                <w:szCs w:val="16"/>
                <w:i w:val="1"/>
                <w:iCs w:val="1"/>
                <w:color w:val="231F20"/>
              </w:rPr>
              <w:t>ąĉêÿȊfňêŋÃŚĉĥĀȊfÿƌßêŋ</w:t>
            </w:r>
          </w:p>
        </w:tc>
        <w:tc>
          <w:tcPr>
            <w:tcW w:w="2300" w:type="dxa"/>
            <w:vAlign w:val="bottom"/>
          </w:tcPr>
          <w:p>
            <w:pPr>
              <w:ind w:left="220"/>
              <w:spacing w:after="0"/>
              <w:rPr>
                <w:sz w:val="20"/>
                <w:szCs w:val="20"/>
                <w:color w:val="auto"/>
              </w:rPr>
            </w:pPr>
            <w:r>
              <w:rPr>
                <w:rFonts w:ascii="Arial" w:cs="Arial" w:eastAsia="Arial" w:hAnsi="Arial"/>
                <w:sz w:val="16"/>
                <w:szCs w:val="16"/>
                <w:i w:val="1"/>
                <w:iCs w:val="1"/>
                <w:color w:val="231F20"/>
              </w:rPr>
              <w:t>and President, U.S. Tower</w:t>
            </w:r>
          </w:p>
        </w:tc>
        <w:tc>
          <w:tcPr>
            <w:tcW w:w="2080" w:type="dxa"/>
            <w:vAlign w:val="bottom"/>
          </w:tcPr>
          <w:p>
            <w:pPr>
              <w:ind w:left="340"/>
              <w:spacing w:after="0" w:line="194" w:lineRule="exact"/>
              <w:rPr>
                <w:sz w:val="20"/>
                <w:szCs w:val="20"/>
                <w:color w:val="auto"/>
              </w:rPr>
            </w:pPr>
            <w:r>
              <w:rPr>
                <w:rFonts w:ascii="PMingLiU" w:cs="PMingLiU" w:eastAsia="PMingLiU" w:hAnsi="PMingLiU"/>
                <w:sz w:val="16"/>
                <w:szCs w:val="16"/>
                <w:i w:val="1"/>
                <w:iCs w:val="1"/>
                <w:color w:val="231F20"/>
                <w:w w:val="94"/>
              </w:rPr>
              <w:t/>
            </w:r>
            <w:r>
              <w:rPr>
                <w:rFonts w:ascii="Arial" w:cs="Arial" w:eastAsia="Arial" w:hAnsi="Arial"/>
                <w:sz w:val="16"/>
                <w:szCs w:val="16"/>
                <w:i w:val="1"/>
                <w:iCs w:val="1"/>
                <w:color w:val="231F20"/>
                <w:w w:val="94"/>
              </w:rPr>
              <w:t>ąĉêÿȊ&lt;ĉĥÃĥßĉÃĞȊfÿƌßêŋȊ</w:t>
            </w:r>
          </w:p>
        </w:tc>
      </w:tr>
      <w:tr>
        <w:trPr>
          <w:trHeight w:val="198"/>
        </w:trPr>
        <w:tc>
          <w:tcPr>
            <w:tcW w:w="2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80" w:type="dxa"/>
            <w:vAlign w:val="bottom"/>
          </w:tcPr>
          <w:p>
            <w:pPr>
              <w:ind w:left="340"/>
              <w:spacing w:after="0"/>
              <w:rPr>
                <w:sz w:val="20"/>
                <w:szCs w:val="20"/>
                <w:color w:val="auto"/>
              </w:rPr>
            </w:pPr>
            <w:r>
              <w:rPr>
                <w:rFonts w:ascii="Arial" w:cs="Arial" w:eastAsia="Arial" w:hAnsi="Arial"/>
                <w:sz w:val="16"/>
                <w:szCs w:val="16"/>
                <w:i w:val="1"/>
                <w:iCs w:val="1"/>
                <w:color w:val="231F20"/>
              </w:rPr>
              <w:t>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133350</wp:posOffset>
            </wp:positionV>
            <wp:extent cx="729615" cy="9658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384">
                      <a:extLst>
                        <a:ext uri="{28A0092B-C50C-407E-A947-70E740481C1C}"/>
                      </a:extLst>
                    </a:blip>
                    <a:srcRect/>
                    <a:stretch>
                      <a:fillRect/>
                    </a:stretch>
                  </pic:blipFill>
                  <pic:spPr bwMode="auto">
                    <a:xfrm>
                      <a:off x="0" y="0"/>
                      <a:ext cx="729615" cy="965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Certiƌcations</w:t>
      </w:r>
    </w:p>
    <w:p>
      <w:pPr>
        <w:spacing w:after="0" w:line="16" w:lineRule="exact"/>
        <w:rPr>
          <w:sz w:val="20"/>
          <w:szCs w:val="20"/>
          <w:color w:val="auto"/>
        </w:rPr>
      </w:pPr>
    </w:p>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ąêȊßêŋŚĉƌßÃŚĉĬĥŒȊÞŽȊŚąêȊ</w:t>
      </w:r>
      <w:r>
        <w:rPr>
          <w:rFonts w:ascii="PMingLiU" w:cs="PMingLiU" w:eastAsia="PMingLiU" w:hAnsi="PMingLiU"/>
          <w:sz w:val="14"/>
          <w:szCs w:val="14"/>
          <w:color w:val="231F20"/>
        </w:rPr>
        <w:t/>
      </w:r>
      <w:r>
        <w:rPr>
          <w:rFonts w:ascii="Arial" w:cs="Arial" w:eastAsia="Arial" w:hAnsi="Arial"/>
          <w:sz w:val="14"/>
          <w:szCs w:val="14"/>
          <w:color w:val="231F20"/>
        </w:rPr>
        <w:t>ĬĤňÃĥŽȃŒȊ</w:t>
      </w:r>
      <w:r>
        <w:rPr>
          <w:rFonts w:ascii="PMingLiU" w:cs="PMingLiU" w:eastAsia="PMingLiU" w:hAnsi="PMingLiU"/>
          <w:sz w:val="14"/>
          <w:szCs w:val="14"/>
          <w:color w:val="231F20"/>
        </w:rPr>
        <w:t/>
      </w:r>
      <w:r>
        <w:rPr>
          <w:rFonts w:ascii="Arial" w:cs="Arial" w:eastAsia="Arial" w:hAnsi="Arial"/>
          <w:sz w:val="14"/>
          <w:szCs w:val="14"/>
          <w:color w:val="231F20"/>
        </w:rPr>
        <w:t>(fȊÃĥåȊ</w:t>
      </w:r>
      <w:r>
        <w:rPr>
          <w:rFonts w:ascii="PMingLiU" w:cs="PMingLiU" w:eastAsia="PMingLiU" w:hAnsi="PMingLiU"/>
          <w:sz w:val="14"/>
          <w:szCs w:val="14"/>
          <w:color w:val="231F20"/>
        </w:rPr>
        <w:t/>
      </w:r>
      <w:r>
        <w:rPr>
          <w:rFonts w:ascii="Arial" w:cs="Arial" w:eastAsia="Arial" w:hAnsi="Arial"/>
          <w:sz w:val="14"/>
          <w:szCs w:val="14"/>
          <w:color w:val="231F20"/>
        </w:rPr>
        <w:t>&lt;fȊ</w:t>
      </w:r>
    </w:p>
    <w:p>
      <w:pPr>
        <w:spacing w:after="0" w:line="10" w:lineRule="exact"/>
        <w:rPr>
          <w:sz w:val="20"/>
          <w:szCs w:val="20"/>
          <w:color w:val="auto"/>
        </w:rPr>
      </w:pPr>
    </w:p>
    <w:p>
      <w:pPr>
        <w:spacing w:after="0" w:line="146" w:lineRule="exact"/>
        <w:rPr>
          <w:sz w:val="20"/>
          <w:szCs w:val="20"/>
          <w:color w:val="auto"/>
        </w:rPr>
      </w:pPr>
      <w:r>
        <w:rPr>
          <w:rFonts w:ascii="Arial" w:cs="Arial" w:eastAsia="Arial" w:hAnsi="Arial"/>
          <w:sz w:val="12"/>
          <w:szCs w:val="12"/>
          <w:color w:val="231F20"/>
        </w:rPr>
        <w:t>ŋêŊŠĉŋêåȊŠĥåêŋȊ</w:t>
      </w:r>
      <w:r>
        <w:rPr>
          <w:rFonts w:ascii="PMingLiU" w:cs="PMingLiU" w:eastAsia="PMingLiU" w:hAnsi="PMingLiU"/>
          <w:sz w:val="12"/>
          <w:szCs w:val="12"/>
          <w:color w:val="231F20"/>
        </w:rPr>
        <w:t></w:t>
      </w:r>
      <w:r>
        <w:rPr>
          <w:rFonts w:ascii="Arial" w:cs="Arial" w:eastAsia="Arial" w:hAnsi="Arial"/>
          <w:sz w:val="12"/>
          <w:szCs w:val="12"/>
          <w:color w:val="231F20"/>
        </w:rPr>
        <w:t>êßŚĉĬĥȊƔƑƓȊĬÿȊŚąêȊ</w:t>
      </w:r>
      <w:r>
        <w:rPr>
          <w:rFonts w:ascii="PMingLiU" w:cs="PMingLiU" w:eastAsia="PMingLiU" w:hAnsi="PMingLiU"/>
          <w:sz w:val="12"/>
          <w:szCs w:val="12"/>
          <w:color w:val="231F20"/>
        </w:rPr>
        <w:t></w:t>
      </w:r>
      <w:r>
        <w:rPr>
          <w:rFonts w:ascii="Arial" w:cs="Arial" w:eastAsia="Arial" w:hAnsi="Arial"/>
          <w:sz w:val="12"/>
          <w:szCs w:val="12"/>
          <w:color w:val="231F20"/>
        </w:rPr>
        <w:t>ÃŋÞÃĥêŒǸfżĞêŽȊ</w:t>
      </w:r>
    </w:p>
    <w:p>
      <w:pPr>
        <w:spacing w:after="0" w:line="35" w:lineRule="exact"/>
        <w:rPr>
          <w:sz w:val="20"/>
          <w:szCs w:val="20"/>
          <w:color w:val="auto"/>
        </w:rPr>
      </w:pPr>
    </w:p>
    <w:p>
      <w:pPr>
        <w:spacing w:after="0" w:line="158" w:lineRule="exact"/>
        <w:rPr>
          <w:sz w:val="20"/>
          <w:szCs w:val="20"/>
          <w:color w:val="auto"/>
        </w:rPr>
      </w:pPr>
      <w:r>
        <w:rPr>
          <w:rFonts w:ascii="PMingLiU" w:cs="PMingLiU" w:eastAsia="PMingLiU" w:hAnsi="PMingLiU"/>
          <w:sz w:val="13"/>
          <w:szCs w:val="13"/>
          <w:color w:val="231F20"/>
        </w:rPr>
        <w:t/>
      </w:r>
      <w:r>
        <w:rPr>
          <w:rFonts w:ascii="Arial" w:cs="Arial" w:eastAsia="Arial" w:hAnsi="Arial"/>
          <w:sz w:val="13"/>
          <w:szCs w:val="13"/>
          <w:color w:val="231F20"/>
        </w:rPr>
        <w:t>ßŚȊĬÿȊƓƑƑƓȊąÃŶêȊÞêêĥȊƌĞêåȊÃŒȊêżąĉÞĉŚŒȊŚĬȊŚąêȊ</w:t>
      </w:r>
    </w:p>
    <w:p>
      <w:pPr>
        <w:spacing w:after="0" w:line="22" w:lineRule="exact"/>
        <w:rPr>
          <w:sz w:val="20"/>
          <w:szCs w:val="20"/>
          <w:color w:val="auto"/>
        </w:rPr>
      </w:pPr>
    </w:p>
    <w:p>
      <w:pPr>
        <w:spacing w:after="0" w:line="158" w:lineRule="exact"/>
        <w:rPr>
          <w:sz w:val="20"/>
          <w:szCs w:val="20"/>
          <w:color w:val="auto"/>
        </w:rPr>
      </w:pPr>
      <w:r>
        <w:rPr>
          <w:rFonts w:ascii="PMingLiU" w:cs="PMingLiU" w:eastAsia="PMingLiU" w:hAnsi="PMingLiU"/>
          <w:sz w:val="13"/>
          <w:szCs w:val="13"/>
          <w:color w:val="231F20"/>
        </w:rPr>
        <w:t/>
      </w:r>
      <w:r>
        <w:rPr>
          <w:rFonts w:ascii="Arial" w:cs="Arial" w:eastAsia="Arial" w:hAnsi="Arial"/>
          <w:sz w:val="13"/>
          <w:szCs w:val="13"/>
          <w:color w:val="231F20"/>
        </w:rPr>
        <w:t>ĬĤňÃĥŽȃŒȊƓƑƓƖȊ</w:t>
      </w:r>
      <w:r>
        <w:rPr>
          <w:rFonts w:ascii="PMingLiU" w:cs="PMingLiU" w:eastAsia="PMingLiU" w:hAnsi="PMingLiU"/>
          <w:sz w:val="13"/>
          <w:szCs w:val="13"/>
          <w:color w:val="231F20"/>
        </w:rPr>
        <w:t/>
      </w:r>
      <w:r>
        <w:rPr>
          <w:rFonts w:ascii="Arial" w:cs="Arial" w:eastAsia="Arial" w:hAnsi="Arial"/>
          <w:sz w:val="13"/>
          <w:szCs w:val="13"/>
          <w:color w:val="231F20"/>
        </w:rPr>
        <w:t>ĥĥŠÃĞȊ</w:t>
      </w:r>
      <w:r>
        <w:rPr>
          <w:rFonts w:ascii="PMingLiU" w:cs="PMingLiU" w:eastAsia="PMingLiU" w:hAnsi="PMingLiU"/>
          <w:sz w:val="13"/>
          <w:szCs w:val="13"/>
          <w:color w:val="231F20"/>
        </w:rPr>
        <w:t></w:t>
      </w:r>
      <w:r>
        <w:rPr>
          <w:rFonts w:ascii="Arial" w:cs="Arial" w:eastAsia="Arial" w:hAnsi="Arial"/>
          <w:sz w:val="13"/>
          <w:szCs w:val="13"/>
          <w:color w:val="231F20"/>
        </w:rPr>
        <w:t>êňĬŋŚȊĬĥȊ&lt;ĬŋĤȊƒƑǸVǡȊ</w:t>
      </w:r>
      <w:r>
        <w:rPr>
          <w:rFonts w:ascii="PMingLiU" w:cs="PMingLiU" w:eastAsia="PMingLiU" w:hAnsi="PMingLiU"/>
          <w:sz w:val="13"/>
          <w:szCs w:val="13"/>
          <w:color w:val="231F20"/>
        </w:rPr>
        <w:t></w:t>
      </w:r>
      <w:r>
        <w:rPr>
          <w:rFonts w:ascii="Arial" w:cs="Arial" w:eastAsia="Arial" w:hAnsi="Arial"/>
          <w:sz w:val="13"/>
          <w:szCs w:val="13"/>
          <w:color w:val="231F20"/>
        </w:rPr>
        <w:t>ąêȊ</w:t>
      </w:r>
    </w:p>
    <w:p>
      <w:pPr>
        <w:spacing w:after="0" w:line="22" w:lineRule="exact"/>
        <w:rPr>
          <w:sz w:val="20"/>
          <w:szCs w:val="20"/>
          <w:color w:val="auto"/>
        </w:rPr>
      </w:pPr>
    </w:p>
    <w:p>
      <w:pPr>
        <w:spacing w:after="0" w:line="170"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ĥĥŠÃĞȊ</w:t>
      </w:r>
      <w:r>
        <w:rPr>
          <w:rFonts w:ascii="PMingLiU" w:cs="PMingLiU" w:eastAsia="PMingLiU" w:hAnsi="PMingLiU"/>
          <w:sz w:val="14"/>
          <w:szCs w:val="14"/>
          <w:color w:val="231F20"/>
        </w:rPr>
        <w:t/>
      </w:r>
      <w:r>
        <w:rPr>
          <w:rFonts w:ascii="Arial" w:cs="Arial" w:eastAsia="Arial" w:hAnsi="Arial"/>
          <w:sz w:val="14"/>
          <w:szCs w:val="14"/>
          <w:color w:val="231F20"/>
        </w:rPr>
        <w:t>(fȊ</w:t>
      </w:r>
      <w:r>
        <w:rPr>
          <w:rFonts w:ascii="PMingLiU" w:cs="PMingLiU" w:eastAsia="PMingLiU" w:hAnsi="PMingLiU"/>
          <w:sz w:val="14"/>
          <w:szCs w:val="14"/>
          <w:color w:val="231F20"/>
        </w:rPr>
        <w:t/>
      </w:r>
      <w:r>
        <w:rPr>
          <w:rFonts w:ascii="Arial" w:cs="Arial" w:eastAsia="Arial" w:hAnsi="Arial"/>
          <w:sz w:val="14"/>
          <w:szCs w:val="14"/>
          <w:color w:val="231F20"/>
        </w:rPr>
        <w:t>êŋŚĉƌßÃŚĉĬĥȊňŠŋŒŠÃĥŚȊŚĬȊ_êŷȊ¶ĬŋěȊ</w:t>
      </w:r>
    </w:p>
    <w:p>
      <w:pPr>
        <w:spacing w:after="0" w:line="10" w:lineRule="exact"/>
        <w:rPr>
          <w:sz w:val="20"/>
          <w:szCs w:val="20"/>
          <w:color w:val="auto"/>
        </w:rPr>
      </w:pPr>
    </w:p>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ŚĬßěȊ(żßąÃĥĀêȊǲ_¶</w:t>
      </w:r>
      <w:r>
        <w:rPr>
          <w:rFonts w:ascii="PMingLiU" w:cs="PMingLiU" w:eastAsia="PMingLiU" w:hAnsi="PMingLiU"/>
          <w:sz w:val="14"/>
          <w:szCs w:val="14"/>
          <w:color w:val="231F20"/>
        </w:rPr>
        <w:t></w:t>
      </w:r>
      <w:r>
        <w:rPr>
          <w:rFonts w:ascii="Arial" w:cs="Arial" w:eastAsia="Arial" w:hAnsi="Arial"/>
          <w:sz w:val="14"/>
          <w:szCs w:val="14"/>
          <w:color w:val="231F20"/>
        </w:rPr>
        <w:t>(ǳȊ</w:t>
      </w:r>
      <w:r>
        <w:rPr>
          <w:rFonts w:ascii="PMingLiU" w:cs="PMingLiU" w:eastAsia="PMingLiU" w:hAnsi="PMingLiU"/>
          <w:sz w:val="14"/>
          <w:szCs w:val="14"/>
          <w:color w:val="231F20"/>
        </w:rPr>
        <w:t/>
      </w:r>
      <w:r>
        <w:rPr>
          <w:rFonts w:ascii="Arial" w:cs="Arial" w:eastAsia="Arial" w:hAnsi="Arial"/>
          <w:sz w:val="14"/>
          <w:szCs w:val="14"/>
          <w:color w:val="231F20"/>
        </w:rPr>
        <w:t>ĬŋňĬŋÃŚêȊ=ĬŶêŋĥÃĥßêȊ</w:t>
      </w:r>
    </w:p>
    <w:p>
      <w:pPr>
        <w:spacing w:after="0" w:line="10" w:lineRule="exact"/>
        <w:rPr>
          <w:sz w:val="20"/>
          <w:szCs w:val="20"/>
          <w:color w:val="auto"/>
        </w:rPr>
      </w:pPr>
    </w:p>
    <w:p>
      <w:pPr>
        <w:spacing w:after="0" w:line="134" w:lineRule="exact"/>
        <w:rPr>
          <w:sz w:val="20"/>
          <w:szCs w:val="20"/>
          <w:color w:val="auto"/>
        </w:rPr>
      </w:pPr>
      <w:r>
        <w:rPr>
          <w:rFonts w:ascii="PMingLiU" w:cs="PMingLiU" w:eastAsia="PMingLiU" w:hAnsi="PMingLiU"/>
          <w:sz w:val="11"/>
          <w:szCs w:val="11"/>
          <w:color w:val="231F20"/>
        </w:rPr>
        <w:t></w:t>
      </w:r>
      <w:r>
        <w:rPr>
          <w:rFonts w:ascii="Arial" w:cs="Arial" w:eastAsia="Arial" w:hAnsi="Arial"/>
          <w:sz w:val="11"/>
          <w:szCs w:val="11"/>
          <w:color w:val="231F20"/>
        </w:rPr>
        <w:t>ŚÃĥåÃŋåŒȊ</w:t>
      </w:r>
      <w:r>
        <w:rPr>
          <w:rFonts w:ascii="PMingLiU" w:cs="PMingLiU" w:eastAsia="PMingLiU" w:hAnsi="PMingLiU"/>
          <w:sz w:val="11"/>
          <w:szCs w:val="11"/>
          <w:color w:val="231F20"/>
        </w:rPr>
        <w:t></w:t>
      </w:r>
      <w:r>
        <w:rPr>
          <w:rFonts w:ascii="Arial" w:cs="Arial" w:eastAsia="Arial" w:hAnsi="Arial"/>
          <w:sz w:val="11"/>
          <w:szCs w:val="11"/>
          <w:color w:val="231F20"/>
        </w:rPr>
        <w:t>êßŚĉĬĥȊƔƑƔ</w:t>
      </w:r>
      <w:r>
        <w:rPr>
          <w:rFonts w:ascii="PMingLiU" w:cs="PMingLiU" w:eastAsia="PMingLiU" w:hAnsi="PMingLiU"/>
          <w:sz w:val="11"/>
          <w:szCs w:val="11"/>
          <w:color w:val="231F20"/>
        </w:rPr>
        <w:t/>
      </w:r>
      <w:r>
        <w:rPr>
          <w:rFonts w:ascii="Arial" w:cs="Arial" w:eastAsia="Arial" w:hAnsi="Arial"/>
          <w:sz w:val="11"/>
          <w:szCs w:val="11"/>
          <w:color w:val="231F20"/>
        </w:rPr>
        <w:t>ǡƒƓǲÃǳȊŷÃŒȊŒŠÞĤĉŚŚêåȊŚĬȊ</w:t>
      </w:r>
    </w:p>
    <w:p>
      <w:pPr>
        <w:spacing w:after="0" w:line="45"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ŚąêȊ_¶</w:t>
      </w:r>
      <w:r>
        <w:rPr>
          <w:rFonts w:ascii="PMingLiU" w:cs="PMingLiU" w:eastAsia="PMingLiU" w:hAnsi="PMingLiU"/>
          <w:sz w:val="15"/>
          <w:szCs w:val="15"/>
          <w:color w:val="231F20"/>
        </w:rPr>
        <w:t></w:t>
      </w:r>
      <w:r>
        <w:rPr>
          <w:rFonts w:ascii="Arial" w:cs="Arial" w:eastAsia="Arial" w:hAnsi="Arial"/>
          <w:sz w:val="15"/>
          <w:szCs w:val="15"/>
          <w:color w:val="231F20"/>
        </w:rPr>
        <w:t>(ȊĬĥȊ^ÃŽȊƒƗǢȊƓƑƓƖǡ</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Non-Incorporation</w:t>
      </w:r>
    </w:p>
    <w:p>
      <w:pPr>
        <w:spacing w:after="0" w:line="16" w:lineRule="exact"/>
        <w:rPr>
          <w:sz w:val="20"/>
          <w:szCs w:val="20"/>
          <w:color w:val="auto"/>
        </w:rPr>
      </w:pPr>
    </w:p>
    <w:p>
      <w:pPr>
        <w:ind w:right="40"/>
        <w:spacing w:after="0" w:line="189" w:lineRule="exact"/>
        <w:rPr>
          <w:sz w:val="20"/>
          <w:szCs w:val="20"/>
          <w:color w:val="auto"/>
        </w:rPr>
      </w:pPr>
      <w:r>
        <w:rPr>
          <w:rFonts w:ascii="PMingLiU" w:cs="PMingLiU" w:eastAsia="PMingLiU" w:hAnsi="PMingLiU"/>
          <w:sz w:val="11"/>
          <w:szCs w:val="11"/>
          <w:color w:val="231F20"/>
        </w:rPr>
        <w:t></w:t>
      </w:r>
      <w:r>
        <w:rPr>
          <w:rFonts w:ascii="Arial" w:cs="Arial" w:eastAsia="Arial" w:hAnsi="Arial"/>
          <w:sz w:val="11"/>
          <w:szCs w:val="11"/>
          <w:color w:val="231F20"/>
        </w:rPr>
        <w:t>ąêȊ</w:t>
      </w:r>
      <w:r>
        <w:rPr>
          <w:rFonts w:ascii="PMingLiU" w:cs="PMingLiU" w:eastAsia="PMingLiU" w:hAnsi="PMingLiU"/>
          <w:sz w:val="11"/>
          <w:szCs w:val="11"/>
          <w:color w:val="231F20"/>
        </w:rPr>
        <w:t/>
      </w:r>
      <w:r>
        <w:rPr>
          <w:rFonts w:ascii="Arial" w:cs="Arial" w:eastAsia="Arial" w:hAnsi="Arial"/>
          <w:sz w:val="11"/>
          <w:szCs w:val="11"/>
          <w:color w:val="231F20"/>
        </w:rPr>
        <w:t>ĬĤňÃĥŽȃŒȊ&lt;ĬŋĤȊƒƑǸVȊÿĬŋȊŚąêȊŽêÃŋȊêĥåêåȊ #êßêĤÞêŋȊƔƒǢȊƓƑƓƖǢȊÃŒȊƌĞêåȊŷĉŚąȊŚąêȊ</w:t>
      </w:r>
      <w:r>
        <w:rPr>
          <w:rFonts w:ascii="PMingLiU" w:cs="PMingLiU" w:eastAsia="PMingLiU" w:hAnsi="PMingLiU"/>
          <w:sz w:val="11"/>
          <w:szCs w:val="11"/>
          <w:color w:val="231F20"/>
        </w:rPr>
        <w:t></w:t>
      </w:r>
      <w:r>
        <w:rPr>
          <w:rFonts w:ascii="Arial" w:cs="Arial" w:eastAsia="Arial" w:hAnsi="Arial"/>
          <w:sz w:val="11"/>
          <w:szCs w:val="11"/>
          <w:color w:val="231F20"/>
        </w:rPr>
        <w:t>êßŠŋĉŚĉêŒȊ ÃĥåȊ(żßąÃĥĀêȊ</w:t>
      </w:r>
      <w:r>
        <w:rPr>
          <w:rFonts w:ascii="PMingLiU" w:cs="PMingLiU" w:eastAsia="PMingLiU" w:hAnsi="PMingLiU"/>
          <w:sz w:val="11"/>
          <w:szCs w:val="11"/>
          <w:color w:val="231F20"/>
        </w:rPr>
        <w:t/>
      </w:r>
      <w:r>
        <w:rPr>
          <w:rFonts w:ascii="Arial" w:cs="Arial" w:eastAsia="Arial" w:hAnsi="Arial"/>
          <w:sz w:val="11"/>
          <w:szCs w:val="11"/>
          <w:color w:val="231F20"/>
        </w:rPr>
        <w:t>ĬĤĤĉŒŒĉĬĥȊǲ</w:t>
      </w:r>
      <w:r>
        <w:rPr>
          <w:rFonts w:ascii="PMingLiU" w:cs="PMingLiU" w:eastAsia="PMingLiU" w:hAnsi="PMingLiU"/>
          <w:sz w:val="11"/>
          <w:szCs w:val="11"/>
          <w:color w:val="231F20"/>
        </w:rPr>
        <w:t></w:t>
      </w:r>
      <w:r>
        <w:rPr>
          <w:rFonts w:ascii="Arial" w:cs="Arial" w:eastAsia="Arial" w:hAnsi="Arial"/>
          <w:sz w:val="11"/>
          <w:szCs w:val="11"/>
          <w:color w:val="231F20"/>
        </w:rPr>
        <w:t>(</w:t>
      </w:r>
      <w:r>
        <w:rPr>
          <w:rFonts w:ascii="PMingLiU" w:cs="PMingLiU" w:eastAsia="PMingLiU" w:hAnsi="PMingLiU"/>
          <w:sz w:val="11"/>
          <w:szCs w:val="11"/>
          <w:color w:val="231F20"/>
        </w:rPr>
        <w:t/>
      </w:r>
      <w:r>
        <w:rPr>
          <w:rFonts w:ascii="Arial" w:cs="Arial" w:eastAsia="Arial" w:hAnsi="Arial"/>
          <w:sz w:val="11"/>
          <w:szCs w:val="11"/>
          <w:color w:val="231F20"/>
        </w:rPr>
        <w:t>ǳǢȊĉŒȊĉĥßĞŠåêåȊ ŷĉŚąĉĥȊŚąĉŒȊ</w:t>
      </w:r>
      <w:r>
        <w:rPr>
          <w:rFonts w:ascii="PMingLiU" w:cs="PMingLiU" w:eastAsia="PMingLiU" w:hAnsi="PMingLiU"/>
          <w:sz w:val="11"/>
          <w:szCs w:val="11"/>
          <w:color w:val="231F20"/>
        </w:rPr>
        <w:t/>
      </w:r>
      <w:r>
        <w:rPr>
          <w:rFonts w:ascii="Arial" w:cs="Arial" w:eastAsia="Arial" w:hAnsi="Arial"/>
          <w:sz w:val="11"/>
          <w:szCs w:val="11"/>
          <w:color w:val="231F20"/>
        </w:rPr>
        <w:t>ĥĥŠÃĞȊ</w:t>
      </w:r>
      <w:r>
        <w:rPr>
          <w:rFonts w:ascii="PMingLiU" w:cs="PMingLiU" w:eastAsia="PMingLiU" w:hAnsi="PMingLiU"/>
          <w:sz w:val="11"/>
          <w:szCs w:val="11"/>
          <w:color w:val="231F20"/>
        </w:rPr>
        <w:t></w:t>
      </w:r>
      <w:r>
        <w:rPr>
          <w:rFonts w:ascii="Arial" w:cs="Arial" w:eastAsia="Arial" w:hAnsi="Arial"/>
          <w:sz w:val="11"/>
          <w:szCs w:val="11"/>
          <w:color w:val="231F20"/>
        </w:rPr>
        <w:t>êňĬŋŚǡȊfŚąêŋȊŚąÃĥȊŚąêȊƓƑƓƖȊ &lt;ĬŋĤȊƒƑǸVǢȊÃĞĞȊĬŚąêŋȊňĬŋŚĉĬĥŒȊĬÿȊŚąĉŒȊ</w:t>
      </w:r>
      <w:r>
        <w:rPr>
          <w:rFonts w:ascii="PMingLiU" w:cs="PMingLiU" w:eastAsia="PMingLiU" w:hAnsi="PMingLiU"/>
          <w:sz w:val="11"/>
          <w:szCs w:val="11"/>
          <w:color w:val="231F20"/>
        </w:rPr>
        <w:t/>
      </w:r>
      <w:r>
        <w:rPr>
          <w:rFonts w:ascii="Arial" w:cs="Arial" w:eastAsia="Arial" w:hAnsi="Arial"/>
          <w:sz w:val="11"/>
          <w:szCs w:val="11"/>
          <w:color w:val="231F20"/>
        </w:rPr>
        <w:t>ĥĥŠÃĞȊ</w:t>
      </w:r>
      <w:r>
        <w:rPr>
          <w:rFonts w:ascii="PMingLiU" w:cs="PMingLiU" w:eastAsia="PMingLiU" w:hAnsi="PMingLiU"/>
          <w:sz w:val="11"/>
          <w:szCs w:val="11"/>
          <w:color w:val="231F20"/>
        </w:rPr>
        <w:t></w:t>
      </w:r>
      <w:r>
        <w:rPr>
          <w:rFonts w:ascii="Arial" w:cs="Arial" w:eastAsia="Arial" w:hAnsi="Arial"/>
          <w:sz w:val="11"/>
          <w:szCs w:val="11"/>
          <w:color w:val="231F20"/>
        </w:rPr>
        <w:t>êňĬŋŚȊ ÃŋêȊĥĬŚȊȀƌĞêåȁȊŷĉŚąȊŚąêȊ</w:t>
      </w:r>
      <w:r>
        <w:rPr>
          <w:rFonts w:ascii="PMingLiU" w:cs="PMingLiU" w:eastAsia="PMingLiU" w:hAnsi="PMingLiU"/>
          <w:sz w:val="11"/>
          <w:szCs w:val="11"/>
          <w:color w:val="231F20"/>
        </w:rPr>
        <w:t></w:t>
      </w:r>
      <w:r>
        <w:rPr>
          <w:rFonts w:ascii="Arial" w:cs="Arial" w:eastAsia="Arial" w:hAnsi="Arial"/>
          <w:sz w:val="11"/>
          <w:szCs w:val="11"/>
          <w:color w:val="231F20"/>
        </w:rPr>
        <w:t>(</w:t>
      </w:r>
      <w:r>
        <w:rPr>
          <w:rFonts w:ascii="PMingLiU" w:cs="PMingLiU" w:eastAsia="PMingLiU" w:hAnsi="PMingLiU"/>
          <w:sz w:val="11"/>
          <w:szCs w:val="11"/>
          <w:color w:val="231F20"/>
        </w:rPr>
        <w:t/>
      </w:r>
      <w:r>
        <w:rPr>
          <w:rFonts w:ascii="Arial" w:cs="Arial" w:eastAsia="Arial" w:hAnsi="Arial"/>
          <w:sz w:val="11"/>
          <w:szCs w:val="11"/>
          <w:color w:val="231F20"/>
        </w:rPr>
        <w:t>ȊÃĥåȊŒąĬŠĞåȊĥĬŚȊÞêȊ deemed so.</w:t>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Annual Meeting</w:t>
      </w:r>
    </w:p>
    <w:p>
      <w:pPr>
        <w:spacing w:after="0" w:line="14" w:lineRule="exact"/>
        <w:rPr>
          <w:sz w:val="20"/>
          <w:szCs w:val="20"/>
          <w:color w:val="auto"/>
        </w:rPr>
      </w:pPr>
    </w:p>
    <w:p>
      <w:pPr>
        <w:ind w:right="20"/>
        <w:spacing w:after="0" w:line="180" w:lineRule="exact"/>
        <w:rPr>
          <w:sz w:val="20"/>
          <w:szCs w:val="20"/>
          <w:color w:val="auto"/>
        </w:rPr>
      </w:pPr>
      <w:r>
        <w:rPr>
          <w:rFonts w:ascii="Arial" w:cs="Arial" w:eastAsia="Arial" w:hAnsi="Arial"/>
          <w:sz w:val="13"/>
          <w:szCs w:val="13"/>
          <w:color w:val="231F20"/>
        </w:rPr>
        <w:t>The annual meeting of stockholders will be held on °êåĥêŒåÃŽǢȊ^ÃŽȊƓƑǢȊƓƑƓƗȊÃĥåȊĉŒȊŒßąêåŠĞêåȊŚĬȊ ßĬĤĤêĥßêȊÃŚȊƒƒǣƑƑȊÃǡĤǡǢȊ(ÃŒŚêŋĥȊ</w:t>
      </w:r>
      <w:r>
        <w:rPr>
          <w:rFonts w:ascii="PMingLiU" w:cs="PMingLiU" w:eastAsia="PMingLiU" w:hAnsi="PMingLiU"/>
          <w:sz w:val="13"/>
          <w:szCs w:val="13"/>
          <w:color w:val="231F20"/>
        </w:rPr>
        <w:t></w:t>
      </w:r>
      <w:r>
        <w:rPr>
          <w:rFonts w:ascii="Arial" w:cs="Arial" w:eastAsia="Arial" w:hAnsi="Arial"/>
          <w:sz w:val="13"/>
          <w:szCs w:val="13"/>
          <w:color w:val="231F20"/>
        </w:rPr>
        <w:t>ĉĤêǡ</w:t>
      </w:r>
    </w:p>
    <w:p>
      <w:pPr>
        <w:spacing w:after="0" w:line="85" w:lineRule="exact"/>
        <w:rPr>
          <w:sz w:val="20"/>
          <w:szCs w:val="20"/>
          <w:color w:val="auto"/>
        </w:rPr>
      </w:pPr>
    </w:p>
    <w:p>
      <w:pPr>
        <w:ind w:right="340"/>
        <w:spacing w:after="0" w:line="287" w:lineRule="auto"/>
        <w:rPr>
          <w:sz w:val="20"/>
          <w:szCs w:val="20"/>
          <w:color w:val="auto"/>
        </w:rPr>
      </w:pPr>
      <w:r>
        <w:rPr>
          <w:rFonts w:ascii="Arial" w:cs="Arial" w:eastAsia="Arial" w:hAnsi="Arial"/>
          <w:sz w:val="14"/>
          <w:szCs w:val="14"/>
          <w:color w:val="231F20"/>
        </w:rPr>
        <w:t xml:space="preserve">Stockholders may attend the annual meeting virtually through a live audio webcast at </w:t>
      </w:r>
      <w:r>
        <w:rPr>
          <w:rFonts w:ascii="Arial" w:cs="Arial" w:eastAsia="Arial" w:hAnsi="Arial"/>
          <w:sz w:val="14"/>
          <w:szCs w:val="14"/>
          <w:i w:val="1"/>
          <w:iCs w:val="1"/>
          <w:color w:val="231F20"/>
        </w:rPr>
        <w:t>www.virtualshareholdermeeting.com/AMT2026.</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231F20"/>
        </w:rPr>
        <w:t>There will be no physical location for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161925</wp:posOffset>
                </wp:positionV>
                <wp:extent cx="2119630"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963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2.75pt" to="167.25pt,12.75pt" o:allowincell="f" strokecolor="#231F20" strokeweight="0.25pt"/>
            </w:pict>
          </mc:Fallback>
        </mc:AlternateConten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Corporate Headquarters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231F20"/>
        </w:rPr>
        <w:t>222 Berkeley Street</w:t>
      </w:r>
    </w:p>
    <w:p>
      <w:pPr>
        <w:spacing w:after="0" w:line="6" w:lineRule="exact"/>
        <w:rPr>
          <w:sz w:val="20"/>
          <w:szCs w:val="20"/>
          <w:color w:val="auto"/>
        </w:rPr>
      </w:pPr>
    </w:p>
    <w:p>
      <w:pPr>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ĬŒŚĬĥǢȊ^</w:t>
      </w:r>
      <w:r>
        <w:rPr>
          <w:rFonts w:ascii="PMingLiU" w:cs="PMingLiU" w:eastAsia="PMingLiU" w:hAnsi="PMingLiU"/>
          <w:sz w:val="15"/>
          <w:szCs w:val="15"/>
          <w:color w:val="231F20"/>
        </w:rPr>
        <w:t/>
      </w:r>
      <w:r>
        <w:rPr>
          <w:rFonts w:ascii="Arial" w:cs="Arial" w:eastAsia="Arial" w:hAnsi="Arial"/>
          <w:sz w:val="15"/>
          <w:szCs w:val="15"/>
          <w:color w:val="231F20"/>
        </w:rPr>
        <w:t>ȊƑƓƒƒƗ</w:t>
      </w:r>
    </w:p>
    <w:p>
      <w:pPr>
        <w:spacing w:after="0" w:line="83" w:lineRule="exact"/>
        <w:rPr>
          <w:sz w:val="20"/>
          <w:szCs w:val="20"/>
          <w:color w:val="auto"/>
        </w:rPr>
      </w:pPr>
    </w:p>
    <w:p>
      <w:pPr>
        <w:ind w:right="940"/>
        <w:spacing w:after="0" w:line="269" w:lineRule="auto"/>
        <w:rPr>
          <w:sz w:val="20"/>
          <w:szCs w:val="20"/>
          <w:color w:val="auto"/>
        </w:rPr>
      </w:pPr>
      <w:r>
        <w:rPr>
          <w:rFonts w:ascii="Arial" w:cs="Arial" w:eastAsia="Arial" w:hAnsi="Arial"/>
          <w:sz w:val="15"/>
          <w:szCs w:val="15"/>
          <w:b w:val="1"/>
          <w:bCs w:val="1"/>
          <w:color w:val="231F20"/>
        </w:rPr>
        <w:t xml:space="preserve">Registrar and Stock Transfer Agent </w:t>
      </w:r>
      <w:r>
        <w:rPr>
          <w:rFonts w:ascii="Arial" w:cs="Arial" w:eastAsia="Arial" w:hAnsi="Arial"/>
          <w:sz w:val="15"/>
          <w:szCs w:val="15"/>
          <w:color w:val="231F20"/>
        </w:rPr>
        <w:t>Computershare</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Common Stock</w:t>
      </w:r>
    </w:p>
    <w:p>
      <w:pPr>
        <w:spacing w:after="0" w:line="14" w:lineRule="exact"/>
        <w:rPr>
          <w:sz w:val="20"/>
          <w:szCs w:val="20"/>
          <w:color w:val="auto"/>
        </w:rPr>
      </w:pPr>
    </w:p>
    <w:p>
      <w:pPr>
        <w:ind w:right="240"/>
        <w:spacing w:after="0" w:line="18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ąêȊ</w:t>
      </w:r>
      <w:r>
        <w:rPr>
          <w:rFonts w:ascii="PMingLiU" w:cs="PMingLiU" w:eastAsia="PMingLiU" w:hAnsi="PMingLiU"/>
          <w:sz w:val="14"/>
          <w:szCs w:val="14"/>
          <w:color w:val="231F20"/>
        </w:rPr>
        <w:t/>
      </w:r>
      <w:r>
        <w:rPr>
          <w:rFonts w:ascii="Arial" w:cs="Arial" w:eastAsia="Arial" w:hAnsi="Arial"/>
          <w:sz w:val="14"/>
          <w:szCs w:val="14"/>
          <w:color w:val="231F20"/>
        </w:rPr>
        <w:t>ĬĤňÃĥŽȃŒȊ</w:t>
      </w:r>
      <w:r>
        <w:rPr>
          <w:rFonts w:ascii="PMingLiU" w:cs="PMingLiU" w:eastAsia="PMingLiU" w:hAnsi="PMingLiU"/>
          <w:sz w:val="14"/>
          <w:szCs w:val="14"/>
          <w:color w:val="231F20"/>
        </w:rPr>
        <w:t/>
      </w:r>
      <w:r>
        <w:rPr>
          <w:rFonts w:ascii="Arial" w:cs="Arial" w:eastAsia="Arial" w:hAnsi="Arial"/>
          <w:sz w:val="14"/>
          <w:szCs w:val="14"/>
          <w:color w:val="231F20"/>
        </w:rPr>
        <w:t>ĬĤĤĬĥȊ</w:t>
      </w:r>
      <w:r>
        <w:rPr>
          <w:rFonts w:ascii="PMingLiU" w:cs="PMingLiU" w:eastAsia="PMingLiU" w:hAnsi="PMingLiU"/>
          <w:sz w:val="14"/>
          <w:szCs w:val="14"/>
          <w:color w:val="231F20"/>
        </w:rPr>
        <w:t></w:t>
      </w:r>
      <w:r>
        <w:rPr>
          <w:rFonts w:ascii="Arial" w:cs="Arial" w:eastAsia="Arial" w:hAnsi="Arial"/>
          <w:sz w:val="14"/>
          <w:szCs w:val="14"/>
          <w:color w:val="231F20"/>
        </w:rPr>
        <w:t>ŚĬßěȊĉŒȊŚŋÃåêåȊĬĥȊŚąêȊ _¶</w:t>
      </w:r>
      <w:r>
        <w:rPr>
          <w:rFonts w:ascii="PMingLiU" w:cs="PMingLiU" w:eastAsia="PMingLiU" w:hAnsi="PMingLiU"/>
          <w:sz w:val="14"/>
          <w:szCs w:val="14"/>
          <w:color w:val="231F20"/>
        </w:rPr>
        <w:t></w:t>
      </w:r>
      <w:r>
        <w:rPr>
          <w:rFonts w:ascii="Arial" w:cs="Arial" w:eastAsia="Arial" w:hAnsi="Arial"/>
          <w:sz w:val="14"/>
          <w:szCs w:val="14"/>
          <w:color w:val="231F20"/>
        </w:rPr>
        <w:t>(ȊŠĥåêŋȊŚąêȊŒŽĤÞĬĞȊ</w:t>
      </w:r>
      <w:r>
        <w:rPr>
          <w:rFonts w:ascii="PMingLiU" w:cs="PMingLiU" w:eastAsia="PMingLiU" w:hAnsi="PMingLiU"/>
          <w:sz w:val="14"/>
          <w:szCs w:val="14"/>
          <w:color w:val="231F20"/>
        </w:rPr>
        <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ǡ</w:t>
      </w:r>
    </w:p>
    <w:p>
      <w:pPr>
        <w:spacing w:after="0" w:line="84"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b w:val="1"/>
          <w:bCs w:val="1"/>
          <w:color w:val="231F20"/>
        </w:rPr>
        <w:t xml:space="preserve">Independent Registered Public Accounting Firm </w:t>
      </w:r>
      <w:r>
        <w:rPr>
          <w:rFonts w:ascii="Arial" w:cs="Arial" w:eastAsia="Arial" w:hAnsi="Arial"/>
          <w:sz w:val="15"/>
          <w:szCs w:val="15"/>
          <w:color w:val="231F20"/>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437515</wp:posOffset>
            </wp:positionV>
            <wp:extent cx="1758950" cy="9658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385">
                      <a:extLst>
                        <a:ext uri="{28A0092B-C50C-407E-A947-70E740481C1C}"/>
                      </a:extLst>
                    </a:blip>
                    <a:srcRect/>
                    <a:stretch>
                      <a:fillRect/>
                    </a:stretch>
                  </pic:blipFill>
                  <pic:spPr bwMode="auto">
                    <a:xfrm>
                      <a:off x="0" y="0"/>
                      <a:ext cx="1758950" cy="9658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43180</wp:posOffset>
                </wp:positionV>
                <wp:extent cx="211963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963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4pt" to="167.25pt,3.4pt" o:allowincell="f" strokecolor="#231F20" strokeweight="0.25pt"/>
            </w:pict>
          </mc:Fallback>
        </mc:AlternateContent>
      </w:r>
    </w:p>
    <w:p>
      <w:pPr>
        <w:spacing w:after="0" w:line="679" w:lineRule="exact"/>
        <w:rPr>
          <w:sz w:val="20"/>
          <w:szCs w:val="20"/>
          <w:color w:val="auto"/>
        </w:rPr>
      </w:pPr>
    </w:p>
    <w:p>
      <w:pPr>
        <w:sectPr>
          <w:pgSz w:w="11880" w:h="15480" w:orient="portrait"/>
          <w:cols w:equalWidth="0" w:num="2">
            <w:col w:w="6680" w:space="720"/>
            <w:col w:w="3360"/>
          </w:cols>
          <w:pgMar w:left="640" w:top="704" w:right="480" w:bottom="3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58" w:lineRule="exact"/>
        <w:rPr>
          <w:sz w:val="20"/>
          <w:szCs w:val="20"/>
          <w:color w:val="auto"/>
        </w:rPr>
      </w:pPr>
      <w:r>
        <w:rPr>
          <w:rFonts w:ascii="Arial" w:cs="Arial" w:eastAsia="Arial" w:hAnsi="Arial"/>
          <w:sz w:val="13"/>
          <w:szCs w:val="13"/>
          <w:color w:val="231F20"/>
        </w:rPr>
        <w:t xml:space="preserve">(From left to right) </w:t>
      </w:r>
      <w:r>
        <w:rPr>
          <w:rFonts w:ascii="Arial" w:cs="Arial" w:eastAsia="Arial" w:hAnsi="Arial"/>
          <w:sz w:val="13"/>
          <w:szCs w:val="13"/>
          <w:b w:val="1"/>
          <w:bCs w:val="1"/>
          <w:color w:val="231F20"/>
        </w:rPr>
        <w:t>Pamela D. A. Reeve</w:t>
      </w:r>
      <w:r>
        <w:rPr>
          <w:rFonts w:ascii="Arial" w:cs="Arial" w:eastAsia="Arial" w:hAnsi="Arial"/>
          <w:sz w:val="13"/>
          <w:szCs w:val="13"/>
          <w:color w:val="231F20"/>
        </w:rPr>
        <w:t xml:space="preserve">, </w:t>
      </w:r>
      <w:r>
        <w:rPr>
          <w:rFonts w:ascii="Arial" w:cs="Arial" w:eastAsia="Arial" w:hAnsi="Arial"/>
          <w:sz w:val="13"/>
          <w:szCs w:val="13"/>
          <w:i w:val="1"/>
          <w:iCs w:val="1"/>
          <w:color w:val="231F20"/>
        </w:rPr>
        <w:t>Former President and CEO –</w:t>
      </w:r>
      <w:r>
        <w:rPr>
          <w:rFonts w:ascii="Arial" w:cs="Arial" w:eastAsia="Arial" w:hAnsi="Arial"/>
          <w:sz w:val="13"/>
          <w:szCs w:val="13"/>
          <w:color w:val="231F20"/>
        </w:rPr>
        <w:t xml:space="preserve"> Lightbridge, Inc</w:t>
      </w:r>
      <w:r>
        <w:rPr>
          <w:rFonts w:ascii="Arial" w:cs="Arial" w:eastAsia="Arial" w:hAnsi="Arial"/>
          <w:sz w:val="13"/>
          <w:szCs w:val="13"/>
          <w:i w:val="1"/>
          <w:iCs w:val="1"/>
          <w:color w:val="231F20"/>
        </w:rPr>
        <w:t>.</w:t>
      </w:r>
      <w:r>
        <w:rPr>
          <w:rFonts w:ascii="Arial" w:cs="Arial" w:eastAsia="Arial" w:hAnsi="Arial"/>
          <w:sz w:val="13"/>
          <w:szCs w:val="13"/>
          <w:color w:val="231F20"/>
        </w:rPr>
        <w:t xml:space="preserve">; </w:t>
      </w:r>
      <w:r>
        <w:rPr>
          <w:rFonts w:ascii="Arial" w:cs="Arial" w:eastAsia="Arial" w:hAnsi="Arial"/>
          <w:sz w:val="13"/>
          <w:szCs w:val="13"/>
          <w:b w:val="1"/>
          <w:bCs w:val="1"/>
          <w:color w:val="231F20"/>
        </w:rPr>
        <w:t>Kelly C. Chambliss</w:t>
      </w:r>
      <w:r>
        <w:rPr>
          <w:rFonts w:ascii="Arial" w:cs="Arial" w:eastAsia="Arial" w:hAnsi="Arial"/>
          <w:sz w:val="13"/>
          <w:szCs w:val="13"/>
          <w:color w:val="231F20"/>
        </w:rPr>
        <w:t xml:space="preserve">, </w:t>
      </w:r>
      <w:r>
        <w:rPr>
          <w:rFonts w:ascii="Arial" w:cs="Arial" w:eastAsia="Arial" w:hAnsi="Arial"/>
          <w:sz w:val="13"/>
          <w:szCs w:val="13"/>
          <w:i w:val="1"/>
          <w:iCs w:val="1"/>
          <w:color w:val="231F20"/>
        </w:rPr>
        <w:t>&lt;ĬŋĤêŋȊ=ĞĬÞÃĞȊ</w:t>
      </w:r>
      <w:r>
        <w:rPr>
          <w:rFonts w:ascii="PMingLiU" w:cs="PMingLiU" w:eastAsia="PMingLiU" w:hAnsi="PMingLiU"/>
          <w:sz w:val="13"/>
          <w:szCs w:val="13"/>
          <w:i w:val="1"/>
          <w:iCs w:val="1"/>
          <w:color w:val="231F20"/>
        </w:rPr>
        <w:t/>
      </w:r>
      <w:r>
        <w:rPr>
          <w:rFonts w:ascii="Arial" w:cs="Arial" w:eastAsia="Arial" w:hAnsi="Arial"/>
          <w:sz w:val="13"/>
          <w:szCs w:val="13"/>
          <w:i w:val="1"/>
          <w:iCs w:val="1"/>
          <w:color w:val="231F20"/>
        </w:rPr>
        <w:t>ąĉêÿȊfňêŋÃŚĉĥĀȊfÿƌßêŋȊ</w:t>
      </w:r>
    </w:p>
    <w:p>
      <w:pPr>
        <w:spacing w:after="0" w:line="12" w:lineRule="exact"/>
        <w:rPr>
          <w:sz w:val="20"/>
          <w:szCs w:val="20"/>
          <w:color w:val="auto"/>
        </w:rPr>
      </w:pPr>
    </w:p>
    <w:p>
      <w:pPr>
        <w:jc w:val="both"/>
        <w:ind w:right="2640"/>
        <w:spacing w:after="0" w:line="162" w:lineRule="exact"/>
        <w:rPr>
          <w:sz w:val="20"/>
          <w:szCs w:val="20"/>
          <w:color w:val="auto"/>
        </w:rPr>
      </w:pPr>
      <w:r>
        <w:rPr>
          <w:rFonts w:ascii="Arial" w:cs="Arial" w:eastAsia="Arial" w:hAnsi="Arial"/>
          <w:sz w:val="13"/>
          <w:szCs w:val="13"/>
          <w:color w:val="231F20"/>
        </w:rPr>
        <w:t xml:space="preserve">– IBM Consulting; </w:t>
      </w:r>
      <w:r>
        <w:rPr>
          <w:rFonts w:ascii="Arial" w:cs="Arial" w:eastAsia="Arial" w:hAnsi="Arial"/>
          <w:sz w:val="13"/>
          <w:szCs w:val="13"/>
          <w:b w:val="1"/>
          <w:bCs w:val="1"/>
          <w:color w:val="231F20"/>
        </w:rPr>
        <w:t>Teresa H. Clarke</w:t>
      </w:r>
      <w:r>
        <w:rPr>
          <w:rFonts w:ascii="Arial" w:cs="Arial" w:eastAsia="Arial" w:hAnsi="Arial"/>
          <w:sz w:val="13"/>
          <w:szCs w:val="13"/>
          <w:color w:val="231F20"/>
        </w:rPr>
        <w:t xml:space="preserve">, </w:t>
      </w:r>
      <w:r>
        <w:rPr>
          <w:rFonts w:ascii="Arial" w:cs="Arial" w:eastAsia="Arial" w:hAnsi="Arial"/>
          <w:sz w:val="13"/>
          <w:szCs w:val="13"/>
          <w:i w:val="1"/>
          <w:iCs w:val="1"/>
          <w:color w:val="231F20"/>
        </w:rPr>
        <w:t>Chair and Executive Editor</w:t>
      </w:r>
      <w:r>
        <w:rPr>
          <w:rFonts w:ascii="Arial" w:cs="Arial" w:eastAsia="Arial" w:hAnsi="Arial"/>
          <w:sz w:val="13"/>
          <w:szCs w:val="13"/>
          <w:color w:val="231F20"/>
        </w:rPr>
        <w:t xml:space="preserve"> – Africa.com LLC; </w:t>
      </w:r>
      <w:r>
        <w:rPr>
          <w:rFonts w:ascii="Arial" w:cs="Arial" w:eastAsia="Arial" w:hAnsi="Arial"/>
          <w:sz w:val="13"/>
          <w:szCs w:val="13"/>
          <w:b w:val="1"/>
          <w:bCs w:val="1"/>
          <w:color w:val="231F20"/>
        </w:rPr>
        <w:t>Kenneth R. Frank</w:t>
      </w:r>
      <w:r>
        <w:rPr>
          <w:rFonts w:ascii="Arial" w:cs="Arial" w:eastAsia="Arial" w:hAnsi="Arial"/>
          <w:sz w:val="13"/>
          <w:szCs w:val="13"/>
          <w:color w:val="231F20"/>
        </w:rPr>
        <w:t xml:space="preserve">, </w:t>
      </w:r>
      <w:r>
        <w:rPr>
          <w:rFonts w:ascii="Arial" w:cs="Arial" w:eastAsia="Arial" w:hAnsi="Arial"/>
          <w:sz w:val="13"/>
          <w:szCs w:val="13"/>
          <w:i w:val="1"/>
          <w:iCs w:val="1"/>
          <w:color w:val="231F20"/>
        </w:rPr>
        <w:t>Partner –</w:t>
      </w:r>
      <w:r>
        <w:rPr>
          <w:rFonts w:ascii="Arial" w:cs="Arial" w:eastAsia="Arial" w:hAnsi="Arial"/>
          <w:sz w:val="13"/>
          <w:szCs w:val="13"/>
          <w:color w:val="231F20"/>
        </w:rPr>
        <w:t xml:space="preserve"> Banneker Partners; </w:t>
      </w:r>
      <w:r>
        <w:rPr>
          <w:rFonts w:ascii="Arial" w:cs="Arial" w:eastAsia="Arial" w:hAnsi="Arial"/>
          <w:sz w:val="13"/>
          <w:szCs w:val="13"/>
          <w:b w:val="1"/>
          <w:bCs w:val="1"/>
          <w:color w:val="231F20"/>
        </w:rPr>
        <w:t>Robert D. Hormats</w:t>
      </w:r>
      <w:r>
        <w:rPr>
          <w:rFonts w:ascii="Arial" w:cs="Arial" w:eastAsia="Arial" w:hAnsi="Arial"/>
          <w:sz w:val="13"/>
          <w:szCs w:val="13"/>
          <w:color w:val="231F20"/>
        </w:rPr>
        <w:t>,</w:t>
      </w:r>
      <w:r>
        <w:rPr>
          <w:rFonts w:ascii="Arial" w:cs="Arial" w:eastAsia="Arial" w:hAnsi="Arial"/>
          <w:sz w:val="13"/>
          <w:szCs w:val="13"/>
          <w:b w:val="1"/>
          <w:bCs w:val="1"/>
          <w:color w:val="231F20"/>
        </w:rPr>
        <w:t xml:space="preserve"> </w:t>
      </w:r>
      <w:r>
        <w:rPr>
          <w:rFonts w:ascii="Arial" w:cs="Arial" w:eastAsia="Arial" w:hAnsi="Arial"/>
          <w:sz w:val="13"/>
          <w:szCs w:val="13"/>
          <w:i w:val="1"/>
          <w:iCs w:val="1"/>
          <w:color w:val="231F20"/>
        </w:rPr>
        <w:t>Former Managing Director</w:t>
      </w:r>
      <w:r>
        <w:rPr>
          <w:rFonts w:ascii="Arial" w:cs="Arial" w:eastAsia="Arial" w:hAnsi="Arial"/>
          <w:sz w:val="13"/>
          <w:szCs w:val="13"/>
          <w:b w:val="1"/>
          <w:bCs w:val="1"/>
          <w:color w:val="231F20"/>
        </w:rPr>
        <w:t xml:space="preserve"> </w:t>
      </w:r>
      <w:r>
        <w:rPr>
          <w:rFonts w:ascii="Arial" w:cs="Arial" w:eastAsia="Arial" w:hAnsi="Arial"/>
          <w:sz w:val="13"/>
          <w:szCs w:val="13"/>
          <w:color w:val="231F20"/>
        </w:rPr>
        <w:t>– Tiedemann Advisors and</w:t>
      </w:r>
      <w:r>
        <w:rPr>
          <w:rFonts w:ascii="Arial" w:cs="Arial" w:eastAsia="Arial" w:hAnsi="Arial"/>
          <w:sz w:val="13"/>
          <w:szCs w:val="13"/>
          <w:b w:val="1"/>
          <w:bCs w:val="1"/>
          <w:color w:val="231F20"/>
        </w:rPr>
        <w:t xml:space="preserve"> </w:t>
      </w:r>
      <w:r>
        <w:rPr>
          <w:rFonts w:ascii="Arial" w:cs="Arial" w:eastAsia="Arial" w:hAnsi="Arial"/>
          <w:sz w:val="13"/>
          <w:szCs w:val="13"/>
          <w:i w:val="1"/>
          <w:iCs w:val="1"/>
          <w:color w:val="231F20"/>
        </w:rPr>
        <w:t>former Vice Chairman</w:t>
      </w:r>
      <w:r>
        <w:rPr>
          <w:rFonts w:ascii="Arial" w:cs="Arial" w:eastAsia="Arial" w:hAnsi="Arial"/>
          <w:sz w:val="13"/>
          <w:szCs w:val="13"/>
          <w:b w:val="1"/>
          <w:bCs w:val="1"/>
          <w:color w:val="231F20"/>
        </w:rPr>
        <w:t xml:space="preserve"> </w:t>
      </w:r>
      <w:r>
        <w:rPr>
          <w:rFonts w:ascii="Arial" w:cs="Arial" w:eastAsia="Arial" w:hAnsi="Arial"/>
          <w:sz w:val="13"/>
          <w:szCs w:val="13"/>
          <w:color w:val="231F20"/>
        </w:rPr>
        <w:t>– Goldman Sachs (International);</w:t>
      </w:r>
      <w:r>
        <w:rPr>
          <w:rFonts w:ascii="Arial" w:cs="Arial" w:eastAsia="Arial" w:hAnsi="Arial"/>
          <w:sz w:val="13"/>
          <w:szCs w:val="13"/>
          <w:b w:val="1"/>
          <w:bCs w:val="1"/>
          <w:color w:val="231F20"/>
        </w:rPr>
        <w:t xml:space="preserve"> Rajesh Kalathur</w:t>
      </w:r>
      <w:r>
        <w:rPr>
          <w:rFonts w:ascii="Arial" w:cs="Arial" w:eastAsia="Arial" w:hAnsi="Arial"/>
          <w:sz w:val="13"/>
          <w:szCs w:val="13"/>
          <w:color w:val="231F20"/>
        </w:rPr>
        <w:t>,</w:t>
      </w:r>
      <w:r>
        <w:rPr>
          <w:rFonts w:ascii="Arial" w:cs="Arial" w:eastAsia="Arial" w:hAnsi="Arial"/>
          <w:sz w:val="13"/>
          <w:szCs w:val="13"/>
          <w:b w:val="1"/>
          <w:bCs w:val="1"/>
          <w:color w:val="231F20"/>
        </w:rPr>
        <w:t xml:space="preserve"> </w:t>
      </w:r>
      <w:r>
        <w:rPr>
          <w:rFonts w:ascii="Arial" w:cs="Arial" w:eastAsia="Arial" w:hAnsi="Arial"/>
          <w:sz w:val="13"/>
          <w:szCs w:val="13"/>
          <w:i w:val="1"/>
          <w:iCs w:val="1"/>
          <w:color w:val="231F20"/>
        </w:rPr>
        <w:t>Former President</w:t>
      </w:r>
      <w:r>
        <w:rPr>
          <w:rFonts w:ascii="Arial" w:cs="Arial" w:eastAsia="Arial" w:hAnsi="Arial"/>
          <w:sz w:val="13"/>
          <w:szCs w:val="13"/>
          <w:b w:val="1"/>
          <w:bCs w:val="1"/>
          <w:color w:val="231F20"/>
        </w:rPr>
        <w:t xml:space="preserve"> </w:t>
      </w:r>
      <w:r>
        <w:rPr>
          <w:rFonts w:ascii="Arial" w:cs="Arial" w:eastAsia="Arial" w:hAnsi="Arial"/>
          <w:sz w:val="13"/>
          <w:szCs w:val="13"/>
          <w:color w:val="231F20"/>
        </w:rPr>
        <w:t>– John Deere Financial and</w:t>
      </w:r>
      <w:r>
        <w:rPr>
          <w:rFonts w:ascii="Arial" w:cs="Arial" w:eastAsia="Arial" w:hAnsi="Arial"/>
          <w:sz w:val="13"/>
          <w:szCs w:val="13"/>
          <w:i w:val="1"/>
          <w:iCs w:val="1"/>
          <w:color w:val="231F20"/>
        </w:rPr>
        <w:t>ȊÿĬŋĤêŋȊ</w:t>
      </w:r>
      <w:r>
        <w:rPr>
          <w:rFonts w:ascii="PMingLiU" w:cs="PMingLiU" w:eastAsia="PMingLiU" w:hAnsi="PMingLiU"/>
          <w:sz w:val="13"/>
          <w:szCs w:val="13"/>
          <w:i w:val="1"/>
          <w:iCs w:val="1"/>
          <w:color w:val="231F20"/>
        </w:rPr>
        <w:t/>
      </w:r>
      <w:r>
        <w:rPr>
          <w:rFonts w:ascii="Arial" w:cs="Arial" w:eastAsia="Arial" w:hAnsi="Arial"/>
          <w:sz w:val="13"/>
          <w:szCs w:val="13"/>
          <w:i w:val="1"/>
          <w:iCs w:val="1"/>
          <w:color w:val="231F20"/>
        </w:rPr>
        <w:t>ąĉêÿȊFĥÿĬŋĤÃŚĉĬĥȊfÿƌßêŋȊ</w:t>
      </w:r>
      <w:r>
        <w:rPr>
          <w:rFonts w:ascii="Arial" w:cs="Arial" w:eastAsia="Arial" w:hAnsi="Arial"/>
          <w:sz w:val="13"/>
          <w:szCs w:val="13"/>
          <w:color w:val="231F20"/>
        </w:rPr>
        <w:t>– Deere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187325</wp:posOffset>
            </wp:positionV>
            <wp:extent cx="2788285" cy="9563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386">
                      <a:extLst>
                        <a:ext uri="{28A0092B-C50C-407E-A947-70E740481C1C}"/>
                      </a:extLst>
                    </a:blip>
                    <a:srcRect/>
                    <a:stretch>
                      <a:fillRect/>
                    </a:stretch>
                  </pic:blipFill>
                  <pic:spPr bwMode="auto">
                    <a:xfrm>
                      <a:off x="0" y="0"/>
                      <a:ext cx="2788285" cy="956310"/>
                    </a:xfrm>
                    <a:prstGeom prst="rect">
                      <a:avLst/>
                    </a:prstGeom>
                    <a:noFill/>
                  </pic:spPr>
                </pic:pic>
              </a:graphicData>
            </a:graphic>
          </wp:anchor>
        </w:drawing>
      </w:r>
    </w:p>
    <w:p>
      <w:pPr>
        <w:sectPr>
          <w:pgSz w:w="11880" w:h="15480" w:orient="portrait"/>
          <w:cols w:equalWidth="0" w:num="1">
            <w:col w:w="10760"/>
          </w:cols>
          <w:pgMar w:left="640" w:top="704" w:right="480" w:bottom="3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760"/>
        <w:spacing w:after="0" w:line="165" w:lineRule="exact"/>
        <w:rPr>
          <w:sz w:val="20"/>
          <w:szCs w:val="20"/>
          <w:color w:val="auto"/>
        </w:rPr>
      </w:pPr>
      <w:r>
        <w:rPr>
          <w:rFonts w:ascii="Arial" w:cs="Arial" w:eastAsia="Arial" w:hAnsi="Arial"/>
          <w:sz w:val="14"/>
          <w:szCs w:val="14"/>
          <w:color w:val="231F20"/>
        </w:rPr>
        <w:t xml:space="preserve">(From left to right) </w:t>
      </w:r>
      <w:r>
        <w:rPr>
          <w:rFonts w:ascii="Arial" w:cs="Arial" w:eastAsia="Arial" w:hAnsi="Arial"/>
          <w:sz w:val="14"/>
          <w:szCs w:val="14"/>
          <w:b w:val="1"/>
          <w:bCs w:val="1"/>
          <w:color w:val="231F20"/>
        </w:rPr>
        <w:t>Grace D. Lieblein</w:t>
      </w:r>
      <w:r>
        <w:rPr>
          <w:rFonts w:ascii="Arial" w:cs="Arial" w:eastAsia="Arial" w:hAnsi="Arial"/>
          <w:sz w:val="14"/>
          <w:szCs w:val="14"/>
          <w:color w:val="231F20"/>
        </w:rPr>
        <w:t xml:space="preserve">, </w:t>
      </w:r>
      <w:r>
        <w:rPr>
          <w:rFonts w:ascii="Arial" w:cs="Arial" w:eastAsia="Arial" w:hAnsi="Arial"/>
          <w:sz w:val="14"/>
          <w:szCs w:val="14"/>
          <w:i w:val="1"/>
          <w:iCs w:val="1"/>
          <w:color w:val="231F20"/>
        </w:rPr>
        <w:t>&lt;ĬŋĤêŋȊ¯</w:t>
      </w:r>
      <w:r>
        <w:rPr>
          <w:rFonts w:ascii="PMingLiU" w:cs="PMingLiU" w:eastAsia="PMingLiU" w:hAnsi="PMingLiU"/>
          <w:sz w:val="14"/>
          <w:szCs w:val="14"/>
          <w:i w:val="1"/>
          <w:iCs w:val="1"/>
          <w:color w:val="231F20"/>
        </w:rPr>
        <w:t></w:t>
      </w:r>
      <w:r>
        <w:rPr>
          <w:rFonts w:ascii="Arial" w:cs="Arial" w:eastAsia="Arial" w:hAnsi="Arial"/>
          <w:sz w:val="14"/>
          <w:szCs w:val="14"/>
          <w:i w:val="1"/>
          <w:iCs w:val="1"/>
          <w:color w:val="231F20"/>
        </w:rPr>
        <w:t>ǢȊ=ĞĬÞÃĞȊ</w:t>
      </w:r>
      <w:r>
        <w:rPr>
          <w:rFonts w:ascii="PMingLiU" w:cs="PMingLiU" w:eastAsia="PMingLiU" w:hAnsi="PMingLiU"/>
          <w:sz w:val="14"/>
          <w:szCs w:val="14"/>
          <w:i w:val="1"/>
          <w:iCs w:val="1"/>
          <w:color w:val="231F20"/>
        </w:rPr>
        <w:t></w:t>
      </w:r>
      <w:r>
        <w:rPr>
          <w:rFonts w:ascii="Arial" w:cs="Arial" w:eastAsia="Arial" w:hAnsi="Arial"/>
          <w:sz w:val="14"/>
          <w:szCs w:val="14"/>
          <w:i w:val="1"/>
          <w:iCs w:val="1"/>
          <w:color w:val="231F20"/>
        </w:rPr>
        <w:t>ŠÃĞĉŚŽ</w:t>
      </w:r>
      <w:r>
        <w:rPr>
          <w:rFonts w:ascii="Arial" w:cs="Arial" w:eastAsia="Arial" w:hAnsi="Arial"/>
          <w:sz w:val="14"/>
          <w:szCs w:val="14"/>
          <w:color w:val="231F20"/>
        </w:rPr>
        <w:t xml:space="preserve"> – General Motors; </w:t>
      </w:r>
      <w:r>
        <w:rPr>
          <w:rFonts w:ascii="Arial" w:cs="Arial" w:eastAsia="Arial" w:hAnsi="Arial"/>
          <w:sz w:val="14"/>
          <w:szCs w:val="14"/>
          <w:b w:val="1"/>
          <w:bCs w:val="1"/>
          <w:color w:val="231F20"/>
        </w:rPr>
        <w:t>Craig Macnab</w:t>
      </w:r>
      <w:r>
        <w:rPr>
          <w:rFonts w:ascii="Arial" w:cs="Arial" w:eastAsia="Arial" w:hAnsi="Arial"/>
          <w:sz w:val="14"/>
          <w:szCs w:val="14"/>
          <w:color w:val="231F20"/>
        </w:rPr>
        <w:t xml:space="preserve">, </w:t>
      </w:r>
      <w:r>
        <w:rPr>
          <w:rFonts w:ascii="Arial" w:cs="Arial" w:eastAsia="Arial" w:hAnsi="Arial"/>
          <w:sz w:val="14"/>
          <w:szCs w:val="14"/>
          <w:i w:val="1"/>
          <w:iCs w:val="1"/>
          <w:color w:val="231F20"/>
        </w:rPr>
        <w:t>Former CEO</w:t>
      </w:r>
      <w:r>
        <w:rPr>
          <w:rFonts w:ascii="Arial" w:cs="Arial" w:eastAsia="Arial" w:hAnsi="Arial"/>
          <w:sz w:val="14"/>
          <w:szCs w:val="14"/>
          <w:color w:val="231F20"/>
        </w:rPr>
        <w:t xml:space="preserve"> – National Retail Properties, Inc.; </w:t>
      </w:r>
      <w:r>
        <w:rPr>
          <w:rFonts w:ascii="Arial" w:cs="Arial" w:eastAsia="Arial" w:hAnsi="Arial"/>
          <w:sz w:val="14"/>
          <w:szCs w:val="14"/>
          <w:b w:val="1"/>
          <w:bCs w:val="1"/>
          <w:color w:val="231F20"/>
        </w:rPr>
        <w:t>Neville R. Ray</w:t>
      </w:r>
      <w:r>
        <w:rPr>
          <w:rFonts w:ascii="Arial" w:cs="Arial" w:eastAsia="Arial" w:hAnsi="Arial"/>
          <w:sz w:val="14"/>
          <w:szCs w:val="14"/>
          <w:color w:val="231F20"/>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Former President of Technology</w:t>
      </w:r>
      <w:r>
        <w:rPr>
          <w:rFonts w:ascii="Arial" w:cs="Arial" w:eastAsia="Arial" w:hAnsi="Arial"/>
          <w:sz w:val="14"/>
          <w:szCs w:val="14"/>
          <w:b w:val="1"/>
          <w:bCs w:val="1"/>
          <w:color w:val="231F20"/>
        </w:rPr>
        <w:t xml:space="preserve"> </w:t>
      </w:r>
      <w:r>
        <w:rPr>
          <w:rFonts w:ascii="Arial" w:cs="Arial" w:eastAsia="Arial" w:hAnsi="Arial"/>
          <w:sz w:val="14"/>
          <w:szCs w:val="14"/>
          <w:color w:val="231F20"/>
        </w:rPr>
        <w:t>– T-Mobile US, Inc.;</w:t>
      </w:r>
      <w:r>
        <w:rPr>
          <w:rFonts w:ascii="Arial" w:cs="Arial" w:eastAsia="Arial" w:hAnsi="Arial"/>
          <w:sz w:val="14"/>
          <w:szCs w:val="14"/>
          <w:b w:val="1"/>
          <w:bCs w:val="1"/>
          <w:color w:val="231F20"/>
        </w:rPr>
        <w:t xml:space="preserve"> Eugene F. Reilly</w:t>
      </w:r>
      <w:r>
        <w:rPr>
          <w:rFonts w:ascii="Arial" w:cs="Arial" w:eastAsia="Arial" w:hAnsi="Arial"/>
          <w:sz w:val="14"/>
          <w:szCs w:val="14"/>
          <w:color w:val="231F20"/>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Former Vice Chairman</w:t>
      </w:r>
      <w:r>
        <w:rPr>
          <w:rFonts w:ascii="Arial" w:cs="Arial" w:eastAsia="Arial" w:hAnsi="Arial"/>
          <w:sz w:val="14"/>
          <w:szCs w:val="14"/>
          <w:b w:val="1"/>
          <w:bCs w:val="1"/>
          <w:color w:val="231F20"/>
        </w:rPr>
        <w:t xml:space="preserve"> </w:t>
      </w:r>
      <w:r>
        <w:rPr>
          <w:rFonts w:ascii="Arial" w:cs="Arial" w:eastAsia="Arial" w:hAnsi="Arial"/>
          <w:sz w:val="14"/>
          <w:szCs w:val="14"/>
          <w:color w:val="231F20"/>
        </w:rPr>
        <w:t>– Prologis, Inc.;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Bruce L. Tanner</w:t>
      </w:r>
      <w:r>
        <w:rPr>
          <w:rFonts w:ascii="Arial" w:cs="Arial" w:eastAsia="Arial" w:hAnsi="Arial"/>
          <w:sz w:val="13"/>
          <w:szCs w:val="13"/>
          <w:color w:val="231F20"/>
        </w:rPr>
        <w:t>,</w:t>
      </w:r>
      <w:r>
        <w:rPr>
          <w:rFonts w:ascii="Arial" w:cs="Arial" w:eastAsia="Arial" w:hAnsi="Arial"/>
          <w:sz w:val="13"/>
          <w:szCs w:val="13"/>
          <w:b w:val="1"/>
          <w:bCs w:val="1"/>
          <w:color w:val="231F20"/>
        </w:rPr>
        <w:t xml:space="preserve"> </w:t>
      </w:r>
      <w:r>
        <w:rPr>
          <w:rFonts w:ascii="Arial" w:cs="Arial" w:eastAsia="Arial" w:hAnsi="Arial"/>
          <w:sz w:val="13"/>
          <w:szCs w:val="13"/>
          <w:i w:val="1"/>
          <w:iCs w:val="1"/>
          <w:color w:val="231F20"/>
        </w:rPr>
        <w:t>Former EVP and CFO –</w:t>
      </w:r>
      <w:r>
        <w:rPr>
          <w:rFonts w:ascii="Arial" w:cs="Arial" w:eastAsia="Arial" w:hAnsi="Arial"/>
          <w:sz w:val="13"/>
          <w:szCs w:val="13"/>
          <w:b w:val="1"/>
          <w:bCs w:val="1"/>
          <w:color w:val="231F20"/>
        </w:rPr>
        <w:t xml:space="preserve"> </w:t>
      </w:r>
      <w:r>
        <w:rPr>
          <w:rFonts w:ascii="Arial" w:cs="Arial" w:eastAsia="Arial" w:hAnsi="Arial"/>
          <w:sz w:val="13"/>
          <w:szCs w:val="13"/>
          <w:color w:val="231F20"/>
        </w:rPr>
        <w:t>Lockheed Martin Corporation;</w:t>
      </w:r>
      <w:r>
        <w:rPr>
          <w:rFonts w:ascii="Arial" w:cs="Arial" w:eastAsia="Arial" w:hAnsi="Arial"/>
          <w:sz w:val="13"/>
          <w:szCs w:val="13"/>
          <w:b w:val="1"/>
          <w:bCs w:val="1"/>
          <w:color w:val="231F20"/>
        </w:rPr>
        <w:t xml:space="preserve"> Steven O. Vondran</w:t>
      </w:r>
      <w:r>
        <w:rPr>
          <w:rFonts w:ascii="Arial" w:cs="Arial" w:eastAsia="Arial" w:hAnsi="Arial"/>
          <w:sz w:val="13"/>
          <w:szCs w:val="13"/>
          <w:color w:val="231F20"/>
        </w:rPr>
        <w:t>,</w:t>
      </w:r>
      <w:r>
        <w:rPr>
          <w:rFonts w:ascii="Arial" w:cs="Arial" w:eastAsia="Arial" w:hAnsi="Arial"/>
          <w:sz w:val="13"/>
          <w:szCs w:val="13"/>
          <w:b w:val="1"/>
          <w:bCs w:val="1"/>
          <w:color w:val="231F20"/>
        </w:rPr>
        <w:t xml:space="preserve"> </w:t>
      </w:r>
      <w:r>
        <w:rPr>
          <w:rFonts w:ascii="Arial" w:cs="Arial" w:eastAsia="Arial" w:hAnsi="Arial"/>
          <w:sz w:val="13"/>
          <w:szCs w:val="13"/>
          <w:i w:val="1"/>
          <w:iCs w:val="1"/>
          <w:color w:val="231F20"/>
        </w:rPr>
        <w:t>President and CEO –</w:t>
      </w:r>
      <w:r>
        <w:rPr>
          <w:rFonts w:ascii="Arial" w:cs="Arial" w:eastAsia="Arial" w:hAnsi="Arial"/>
          <w:sz w:val="13"/>
          <w:szCs w:val="13"/>
          <w:b w:val="1"/>
          <w:bCs w:val="1"/>
          <w:color w:val="231F20"/>
        </w:rPr>
        <w:t xml:space="preserve"> </w:t>
      </w:r>
      <w:r>
        <w:rPr>
          <w:rFonts w:ascii="Arial" w:cs="Arial" w:eastAsia="Arial" w:hAnsi="Arial"/>
          <w:sz w:val="13"/>
          <w:szCs w:val="13"/>
          <w:color w:val="231F20"/>
        </w:rPr>
        <w:t>American Tower Corporation.</w:t>
      </w:r>
    </w:p>
    <w:p>
      <w:pPr>
        <w:sectPr>
          <w:pgSz w:w="11880" w:h="15480" w:orient="portrait"/>
          <w:cols w:equalWidth="0" w:num="1">
            <w:col w:w="10760"/>
          </w:cols>
          <w:pgMar w:left="640" w:top="704" w:right="480" w:bottom="311" w:gutter="0" w:footer="0" w:header="0"/>
          <w:type w:val="continuous"/>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191375" cy="8790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87">
                      <a:extLst>
                        <a:ext uri="{28A0092B-C50C-407E-A947-70E740481C1C}"/>
                      </a:extLst>
                    </a:blip>
                    <a:srcRect/>
                    <a:stretch>
                      <a:fillRect/>
                    </a:stretch>
                  </pic:blipFill>
                  <pic:spPr bwMode="auto">
                    <a:xfrm>
                      <a:off x="0" y="0"/>
                      <a:ext cx="7191375" cy="879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
        <w:spacing w:after="0"/>
        <w:rPr>
          <w:sz w:val="20"/>
          <w:szCs w:val="20"/>
          <w:color w:val="auto"/>
        </w:rPr>
      </w:pPr>
      <w:r>
        <w:rPr>
          <w:rFonts w:ascii="Arial" w:cs="Arial" w:eastAsia="Arial" w:hAnsi="Arial"/>
          <w:sz w:val="20"/>
          <w:szCs w:val="20"/>
          <w:color w:val="231F20"/>
        </w:rPr>
        <w:t>222 Berkeley Street</w:t>
      </w:r>
    </w:p>
    <w:p>
      <w:pPr>
        <w:spacing w:after="0" w:line="50" w:lineRule="exact"/>
        <w:rPr>
          <w:sz w:val="20"/>
          <w:szCs w:val="20"/>
          <w:color w:val="auto"/>
        </w:rPr>
      </w:pPr>
    </w:p>
    <w:p>
      <w:pPr>
        <w:ind w:left="5"/>
        <w:spacing w:after="0"/>
        <w:rPr>
          <w:sz w:val="20"/>
          <w:szCs w:val="20"/>
          <w:color w:val="auto"/>
        </w:rPr>
      </w:pPr>
      <w:r>
        <w:rPr>
          <w:rFonts w:ascii="Arial" w:cs="Arial" w:eastAsia="Arial" w:hAnsi="Arial"/>
          <w:sz w:val="20"/>
          <w:szCs w:val="20"/>
          <w:color w:val="231F20"/>
        </w:rPr>
        <w:t>Boston, MA 02116</w:t>
      </w:r>
    </w:p>
    <w:p>
      <w:pPr>
        <w:spacing w:after="0" w:line="50" w:lineRule="exact"/>
        <w:rPr>
          <w:sz w:val="20"/>
          <w:szCs w:val="20"/>
          <w:color w:val="auto"/>
        </w:rPr>
      </w:pPr>
    </w:p>
    <w:p>
      <w:pPr>
        <w:ind w:left="205" w:hanging="205"/>
        <w:spacing w:after="0"/>
        <w:tabs>
          <w:tab w:leader="none" w:pos="205" w:val="left"/>
        </w:tabs>
        <w:numPr>
          <w:ilvl w:val="0"/>
          <w:numId w:val="133"/>
        </w:numPr>
        <w:rPr>
          <w:rFonts w:ascii="Arial" w:cs="Arial" w:eastAsia="Arial" w:hAnsi="Arial"/>
          <w:sz w:val="20"/>
          <w:szCs w:val="20"/>
          <w:color w:val="231F20"/>
        </w:rPr>
      </w:pPr>
      <w:r>
        <w:rPr>
          <w:rFonts w:ascii="Arial" w:cs="Arial" w:eastAsia="Arial" w:hAnsi="Arial"/>
          <w:sz w:val="20"/>
          <w:szCs w:val="20"/>
          <w:color w:val="231F20"/>
        </w:rPr>
        <w:t>617-375-7500</w:t>
      </w:r>
    </w:p>
    <w:p>
      <w:pPr>
        <w:spacing w:after="0" w:line="50" w:lineRule="exact"/>
        <w:rPr>
          <w:rFonts w:ascii="Arial" w:cs="Arial" w:eastAsia="Arial" w:hAnsi="Arial"/>
          <w:sz w:val="20"/>
          <w:szCs w:val="20"/>
          <w:color w:val="231F20"/>
        </w:rPr>
      </w:pPr>
    </w:p>
    <w:p>
      <w:pPr>
        <w:ind w:left="5" w:right="8840" w:hanging="5"/>
        <w:spacing w:after="0" w:line="315" w:lineRule="auto"/>
        <w:tabs>
          <w:tab w:leader="none" w:pos="210" w:val="left"/>
        </w:tabs>
        <w:numPr>
          <w:ilvl w:val="0"/>
          <w:numId w:val="134"/>
        </w:numPr>
        <w:rPr>
          <w:rFonts w:ascii="Arial" w:cs="Arial" w:eastAsia="Arial" w:hAnsi="Arial"/>
          <w:sz w:val="20"/>
          <w:szCs w:val="20"/>
          <w:color w:val="231F20"/>
        </w:rPr>
      </w:pPr>
      <w:r>
        <w:rPr>
          <w:rFonts w:ascii="Arial" w:cs="Arial" w:eastAsia="Arial" w:hAnsi="Arial"/>
          <w:sz w:val="20"/>
          <w:szCs w:val="20"/>
          <w:color w:val="231F20"/>
        </w:rPr>
        <w:t>617-375-7575 americantower.com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6727825</wp:posOffset>
            </wp:positionV>
            <wp:extent cx="837565" cy="3835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388">
                      <a:extLst>
                        <a:ext uri="{28A0092B-C50C-407E-A947-70E740481C1C}"/>
                      </a:extLst>
                    </a:blip>
                    <a:srcRect/>
                    <a:stretch>
                      <a:fillRect/>
                    </a:stretch>
                  </pic:blipFill>
                  <pic:spPr bwMode="auto">
                    <a:xfrm>
                      <a:off x="0" y="0"/>
                      <a:ext cx="837565" cy="383540"/>
                    </a:xfrm>
                    <a:prstGeom prst="rect">
                      <a:avLst/>
                    </a:prstGeom>
                    <a:noFill/>
                  </pic:spPr>
                </pic:pic>
              </a:graphicData>
            </a:graphic>
          </wp:anchor>
        </w:drawing>
      </w:r>
    </w:p>
    <w:p>
      <w:pPr>
        <w:sectPr>
          <w:pgSz w:w="11880" w:h="15480" w:orient="portrait"/>
          <w:cols w:equalWidth="0" w:num="1">
            <w:col w:w="10625"/>
          </w:cols>
          <w:pgMar w:left="675" w:top="1440" w:right="580" w:bottom="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225"/>
        <w:spacing w:after="0"/>
        <w:rPr>
          <w:sz w:val="20"/>
          <w:szCs w:val="20"/>
          <w:color w:val="auto"/>
        </w:rPr>
      </w:pPr>
      <w:r>
        <w:rPr>
          <w:rFonts w:ascii="Arial" w:cs="Arial" w:eastAsia="Arial" w:hAnsi="Arial"/>
          <w:sz w:val="12"/>
          <w:szCs w:val="12"/>
          <w:color w:val="231F20"/>
        </w:rPr>
        <w:t>© 2026 ATC TRS V LLC. All rights reserved.</w:t>
      </w:r>
    </w:p>
    <w:sectPr>
      <w:pgSz w:w="11880" w:h="15480" w:orient="portrait"/>
      <w:cols w:equalWidth="0" w:num="1">
        <w:col w:w="10625"/>
      </w:cols>
      <w:pgMar w:left="675" w:top="1440" w:right="580" w:bottom="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decimal"/>
      <w:start w:val="1"/>
    </w:lvl>
  </w:abstractNum>
  <w:abstractNum w:abstractNumId="1">
    <w:nsid w:val="5DB70AE5"/>
    <w:multiLevelType w:val="hybridMultilevel"/>
    <w:lvl w:ilvl="0">
      <w:lvlJc w:val="left"/>
      <w:lvlText w:val="Ȋ"/>
      <w:numFmt w:val="bullet"/>
      <w:start w:val="1"/>
    </w:lvl>
  </w:abstractNum>
  <w:abstractNum w:abstractNumId="2">
    <w:nsid w:val="100F8FCA"/>
    <w:multiLevelType w:val="hybridMultilevel"/>
    <w:lvl w:ilvl="0">
      <w:lvlJc w:val="left"/>
      <w:lvlText w:val="Ȋ"/>
      <w:numFmt w:val="bullet"/>
      <w:start w:val="1"/>
    </w:lvl>
  </w:abstractNum>
  <w:abstractNum w:abstractNumId="3">
    <w:nsid w:val="6590700B"/>
    <w:multiLevelType w:val="hybridMultilevel"/>
    <w:lvl w:ilvl="0">
      <w:lvlJc w:val="left"/>
      <w:lvlText w:val="Ȋ"/>
      <w:numFmt w:val="bullet"/>
      <w:start w:val="1"/>
    </w:lvl>
  </w:abstractNum>
  <w:abstractNum w:abstractNumId="4">
    <w:nsid w:val="15014ACB"/>
    <w:multiLevelType w:val="hybridMultilevel"/>
    <w:lvl w:ilvl="0">
      <w:lvlJc w:val="left"/>
      <w:lvlText w:val="Ȋ"/>
      <w:numFmt w:val="bullet"/>
      <w:start w:val="1"/>
    </w:lvl>
  </w:abstractNum>
  <w:abstractNum w:abstractNumId="5">
    <w:nsid w:val="5F5E7FD0"/>
    <w:multiLevelType w:val="hybridMultilevel"/>
    <w:lvl w:ilvl="0">
      <w:lvlJc w:val="left"/>
      <w:lvlText w:val="☒"/>
      <w:numFmt w:val="bullet"/>
      <w:start w:val="1"/>
    </w:lvl>
    <w:lvl w:ilvl="1">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amp;"/>
      <w:numFmt w:val="bullet"/>
      <w:start w:val="1"/>
    </w:lvl>
  </w:abstractNum>
  <w:abstractNum w:abstractNumId="18">
    <w:nsid w:val="BF72B14"/>
    <w:multiLevelType w:val="hybridMultilevel"/>
    <w:lvl w:ilvl="0">
      <w:lvlJc w:val="left"/>
      <w:lvlText w:val="(%1)"/>
      <w:numFmt w:val="lowerRoman"/>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decimal"/>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
      <w:numFmt w:val="bullet"/>
      <w:start w:val="1"/>
    </w:lvl>
    <w:lvl w:ilvl="1">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1)"/>
      <w:numFmt w:val="decimal"/>
      <w:start w:val="1"/>
    </w:lvl>
  </w:abstractNum>
  <w:abstractNum w:abstractNumId="27">
    <w:nsid w:val="60B6DF70"/>
    <w:multiLevelType w:val="hybridMultilevel"/>
    <w:lvl w:ilvl="0">
      <w:lvlJc w:val="left"/>
      <w:lvlText w:val="(%1)"/>
      <w:numFmt w:val="decimal"/>
      <w:start w:val="1"/>
    </w:lvl>
  </w:abstractNum>
  <w:abstractNum w:abstractNumId="28">
    <w:nsid w:val="6A5EE64"/>
    <w:multiLevelType w:val="hybridMultilevel"/>
    <w:lvl w:ilvl="0">
      <w:lvlJc w:val="left"/>
      <w:lvlText w:val="•"/>
      <w:numFmt w:val="bullet"/>
      <w:start w:val="1"/>
    </w:lvl>
    <w:lvl w:ilvl="1">
      <w:lvlJc w:val="left"/>
      <w:lvlText w:val="◦"/>
      <w:numFmt w:val="bullet"/>
      <w:start w:val="1"/>
    </w:lvl>
  </w:abstractNum>
  <w:abstractNum w:abstractNumId="29">
    <w:nsid w:val="14330624"/>
    <w:multiLevelType w:val="hybridMultilevel"/>
    <w:lvl w:ilvl="0">
      <w:lvlJc w:val="left"/>
      <w:lvlText w:val="•"/>
      <w:numFmt w:val="bullet"/>
      <w:start w:val="1"/>
    </w:lvl>
    <w:lvl w:ilvl="1">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lvl w:ilvl="1">
      <w:lvlJc w:val="left"/>
      <w:lvlText w:val="◦"/>
      <w:numFmt w:val="bullet"/>
      <w:start w:val="1"/>
    </w:lvl>
  </w:abstractNum>
  <w:abstractNum w:abstractNumId="32">
    <w:nsid w:val="71EA110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3"/>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
      <w:numFmt w:val="bullet"/>
      <w:start w:val="1"/>
    </w:lvl>
    <w:lvl w:ilvl="1">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1)"/>
      <w:numFmt w:val="decimal"/>
      <w:start w:val="1"/>
    </w:lvl>
  </w:abstractNum>
  <w:abstractNum w:abstractNumId="54">
    <w:nsid w:val="26F324BA"/>
    <w:multiLevelType w:val="hybridMultilevel"/>
    <w:lvl w:ilvl="0">
      <w:lvlJc w:val="left"/>
      <w:lvlText w:val="(%1)"/>
      <w:numFmt w:val="decimal"/>
      <w:start w:val="1"/>
    </w:lvl>
  </w:abstractNum>
  <w:abstractNum w:abstractNumId="55">
    <w:nsid w:val="7F01579B"/>
    <w:multiLevelType w:val="hybridMultilevel"/>
    <w:lvl w:ilvl="0">
      <w:lvlJc w:val="left"/>
      <w:lvlText w:val="(%1)"/>
      <w:numFmt w:val="decimal"/>
      <w:start w:val="1"/>
    </w:lvl>
  </w:abstractNum>
  <w:abstractNum w:abstractNumId="56">
    <w:nsid w:val="49DA307D"/>
    <w:multiLevelType w:val="hybridMultilevel"/>
    <w:lvl w:ilvl="0">
      <w:lvlJc w:val="left"/>
      <w:lvlText w:val="%1."/>
      <w:numFmt w:val="lowerRoman"/>
      <w:start w:val="1"/>
    </w:lvl>
  </w:abstractNum>
  <w:abstractNum w:abstractNumId="57">
    <w:nsid w:val="7055A5F5"/>
    <w:multiLevelType w:val="hybridMultilevel"/>
    <w:lvl w:ilvl="0">
      <w:lvlJc w:val="left"/>
      <w:lvlText w:val="(%1)"/>
      <w:numFmt w:val="decimal"/>
      <w:start w:val="1"/>
    </w:lvl>
  </w:abstractNum>
  <w:abstractNum w:abstractNumId="58">
    <w:nsid w:val="5FB8370B"/>
    <w:multiLevelType w:val="hybridMultilevel"/>
    <w:lvl w:ilvl="0">
      <w:lvlJc w:val="left"/>
      <w:lvlText w:val="(%1)"/>
      <w:numFmt w:val="decimal"/>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1)"/>
      <w:numFmt w:val="decimal"/>
      <w:start w:val="1"/>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lowerLetter"/>
      <w:start w:val="1"/>
    </w:lvl>
  </w:abstractNum>
  <w:abstractNum w:abstractNumId="66">
    <w:nsid w:val="7D5E18F8"/>
    <w:multiLevelType w:val="hybridMultilevel"/>
    <w:lvl w:ilvl="0">
      <w:lvlJc w:val="left"/>
      <w:lvlText w:val="(%1)"/>
      <w:numFmt w:val="lowerLetter"/>
      <w:start w:val="1"/>
    </w:lvl>
    <w:lvl w:ilvl="1">
      <w:lvlJc w:val="left"/>
      <w:lvlText w:val="%2."/>
      <w:numFmt w:val="decimal"/>
      <w:start w:val="1"/>
    </w:lvl>
  </w:abstractNum>
  <w:abstractNum w:abstractNumId="67">
    <w:nsid w:val="5F3534A4"/>
    <w:multiLevelType w:val="hybridMultilevel"/>
    <w:lvl w:ilvl="0">
      <w:lvlJc w:val="left"/>
      <w:lvlText w:val="(%1)"/>
      <w:numFmt w:val="lowerRoman"/>
      <w:start w:val="3"/>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decimal"/>
      <w:start w:val="23"/>
    </w:lvl>
  </w:abstractNum>
  <w:abstractNum w:abstractNumId="70">
    <w:nsid w:val="555C55B5"/>
    <w:multiLevelType w:val="hybridMultilevel"/>
    <w:lvl w:ilvl="0">
      <w:lvlJc w:val="left"/>
      <w:lvlText w:val="%1"/>
      <w:numFmt w:val="decimal"/>
      <w:start w:val="32"/>
    </w:lvl>
  </w:abstractNum>
  <w:abstractNum w:abstractNumId="71">
    <w:nsid w:val="3FA62ACA"/>
    <w:multiLevelType w:val="hybridMultilevel"/>
    <w:lvl w:ilvl="0">
      <w:lvlJc w:val="left"/>
      <w:lvlText w:val="%1"/>
      <w:numFmt w:val="decimal"/>
      <w:start w:val="97"/>
    </w:lvl>
  </w:abstractNum>
  <w:abstractNum w:abstractNumId="72">
    <w:nsid w:val="14FCE74E"/>
    <w:multiLevelType w:val="hybridMultilevel"/>
    <w:lvl w:ilvl="0">
      <w:lvlJc w:val="left"/>
      <w:lvlText w:val="%1"/>
      <w:numFmt w:val="decimal"/>
      <w:start w:val="101"/>
    </w:lvl>
  </w:abstractNum>
  <w:abstractNum w:abstractNumId="73">
    <w:nsid w:val="6A3DD3E8"/>
    <w:multiLevelType w:val="hybridMultilevel"/>
    <w:lvl w:ilvl="0">
      <w:lvlJc w:val="left"/>
      <w:lvlText w:val="%1"/>
      <w:numFmt w:val="decimal"/>
      <w:start w:val="104"/>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1)"/>
      <w:numFmt w:val="decimal"/>
      <w:start w:val="1"/>
    </w:lvl>
  </w:abstractNum>
  <w:abstractNum w:abstractNumId="79">
    <w:nsid w:val="1D545C4D"/>
    <w:multiLevelType w:val="hybridMultilevel"/>
    <w:lvl w:ilvl="0">
      <w:lvlJc w:val="left"/>
      <w:lvlText w:val="(%1)"/>
      <w:numFmt w:val="decimal"/>
      <w:start w:val="1"/>
    </w:lvl>
  </w:abstractNum>
  <w:abstractNum w:abstractNumId="80">
    <w:nsid w:val="59ADEA3D"/>
    <w:multiLevelType w:val="hybridMultilevel"/>
    <w:lvl w:ilvl="0">
      <w:lvlJc w:val="left"/>
      <w:lvlText w:val="(%1)"/>
      <w:numFmt w:val="decimal"/>
      <w:start w:val="1"/>
    </w:lvl>
  </w:abstractNum>
  <w:abstractNum w:abstractNumId="81">
    <w:nsid w:val="288F1A34"/>
    <w:multiLevelType w:val="hybridMultilevel"/>
    <w:lvl w:ilvl="0">
      <w:lvlJc w:val="left"/>
      <w:lvlText w:val="(%1)"/>
      <w:numFmt w:val="upperLetter"/>
      <w:start w:val="2"/>
    </w:lvl>
  </w:abstractNum>
  <w:abstractNum w:abstractNumId="82">
    <w:nsid w:val="2A155DBC"/>
    <w:multiLevelType w:val="hybridMultilevel"/>
    <w:lvl w:ilvl="0">
      <w:lvlJc w:val="left"/>
      <w:lvlText w:val="(%1)"/>
      <w:numFmt w:val="lowerLetter"/>
      <w:start w:val="1"/>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1)"/>
      <w:numFmt w:val="decimal"/>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1)"/>
      <w:numFmt w:val="decimal"/>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1)"/>
      <w:numFmt w:val="decimal"/>
      <w:start w:val="1"/>
    </w:lvl>
  </w:abstractNum>
  <w:abstractNum w:abstractNumId="93">
    <w:nsid w:val="E7FFA2B"/>
    <w:multiLevelType w:val="hybridMultilevel"/>
    <w:lvl w:ilvl="0">
      <w:lvlJc w:val="left"/>
      <w:lvlText w:val="%1."/>
      <w:numFmt w:val="lowerRoman"/>
      <w:start w:val="1"/>
    </w:lvl>
  </w:abstractNum>
  <w:abstractNum w:abstractNumId="94">
    <w:nsid w:val="3C5991AA"/>
    <w:multiLevelType w:val="hybridMultilevel"/>
    <w:lvl w:ilvl="0">
      <w:lvlJc w:val="left"/>
      <w:lvlText w:val="(%1)"/>
      <w:numFmt w:val="decimal"/>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1)"/>
      <w:numFmt w:val="decimal"/>
      <w:start w:val="3"/>
    </w:lvl>
  </w:abstractNum>
  <w:abstractNum w:abstractNumId="97">
    <w:nsid w:val="39B7AAA2"/>
    <w:multiLevelType w:val="hybridMultilevel"/>
    <w:lvl w:ilvl="0">
      <w:lvlJc w:val="left"/>
      <w:lvlText w:val="(%1)"/>
      <w:numFmt w:val="decimal"/>
      <w:start w:val="1"/>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1)"/>
      <w:numFmt w:val="decimal"/>
      <w:start w:val="1"/>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1"/>
    </w:lvl>
  </w:abstractNum>
  <w:abstractNum w:abstractNumId="104">
    <w:nsid w:val="6AA7B75C"/>
    <w:multiLevelType w:val="hybridMultilevel"/>
    <w:lvl w:ilvl="0">
      <w:lvlJc w:val="left"/>
      <w:lvlText w:val="(%1)"/>
      <w:numFmt w:val="decimal"/>
      <w:start w:val="1"/>
    </w:lvl>
  </w:abstractNum>
  <w:abstractNum w:abstractNumId="105">
    <w:nsid w:val="1DF029D3"/>
    <w:multiLevelType w:val="hybridMultilevel"/>
    <w:lvl w:ilvl="0">
      <w:lvlJc w:val="left"/>
      <w:lvlText w:val="(%1)"/>
      <w:numFmt w:val="decimal"/>
      <w:start w:val="1"/>
    </w:lvl>
  </w:abstractNum>
  <w:abstractNum w:abstractNumId="106">
    <w:nsid w:val="5675FF36"/>
    <w:multiLevelType w:val="hybridMultilevel"/>
    <w:lvl w:ilvl="0">
      <w:lvlJc w:val="left"/>
      <w:lvlText w:val="(%1)"/>
      <w:numFmt w:val="decimal"/>
      <w:start w:val="1"/>
    </w:lvl>
  </w:abstractNum>
  <w:abstractNum w:abstractNumId="107">
    <w:nsid w:val="3DD15094"/>
    <w:multiLevelType w:val="hybridMultilevel"/>
    <w:lvl w:ilvl="0">
      <w:lvlJc w:val="left"/>
      <w:lvlText w:val="(%1)"/>
      <w:numFmt w:val="decimal"/>
      <w:start w:val="1"/>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1)"/>
      <w:numFmt w:val="decimal"/>
      <w:start w:val="1"/>
    </w:lvl>
  </w:abstractNum>
  <w:abstractNum w:abstractNumId="110">
    <w:nsid w:val="5B25ACE2"/>
    <w:multiLevelType w:val="hybridMultilevel"/>
    <w:lvl w:ilvl="0">
      <w:lvlJc w:val="left"/>
      <w:lvlText w:val="(%1)"/>
      <w:numFmt w:val="decimal"/>
      <w:start w:val="1"/>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decimal"/>
      <w:start w:val="1"/>
    </w:lvl>
  </w:abstractNum>
  <w:abstractNum w:abstractNumId="113">
    <w:nsid w:val="53B0A9E"/>
    <w:multiLevelType w:val="hybridMultilevel"/>
    <w:lvl w:ilvl="0">
      <w:lvlJc w:val="left"/>
      <w:lvlText w:val="(%1)"/>
      <w:numFmt w:val="decimal"/>
      <w:start w:val="1"/>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1."/>
      <w:numFmt w:val="decimal"/>
      <w:start w:val="21"/>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decimal"/>
      <w:start w:val="1"/>
    </w:lvl>
  </w:abstractNum>
  <w:abstractNum w:abstractNumId="127">
    <w:nsid w:val="57A61A29"/>
    <w:multiLevelType w:val="hybridMultilevel"/>
    <w:lvl w:ilvl="0">
      <w:lvlJc w:val="left"/>
      <w:lvlText w:val="(%1)"/>
      <w:numFmt w:val="decimal"/>
      <w:start w:val="1"/>
    </w:lvl>
  </w:abstractNum>
  <w:abstractNum w:abstractNumId="128">
    <w:nsid w:val="5399C654"/>
    <w:multiLevelType w:val="hybridMultilevel"/>
    <w:lvl w:ilvl="0">
      <w:lvlJc w:val="left"/>
      <w:lvlText w:val="(%1)"/>
      <w:numFmt w:val="decimal"/>
      <w:start w:val="7"/>
    </w:lvl>
  </w:abstractNum>
  <w:abstractNum w:abstractNumId="129">
    <w:nsid w:val="20EE1348"/>
    <w:multiLevelType w:val="hybridMultilevel"/>
    <w:lvl w:ilvl="0">
      <w:lvlJc w:val="left"/>
      <w:lvlText w:val="Ȋ"/>
      <w:numFmt w:val="bullet"/>
      <w:start w:val="1"/>
    </w:lvl>
  </w:abstractNum>
  <w:abstractNum w:abstractNumId="130">
    <w:nsid w:val="4427069A"/>
    <w:multiLevelType w:val="hybridMultilevel"/>
    <w:lvl w:ilvl="0">
      <w:lvlJc w:val="left"/>
      <w:lvlText w:val="Ȋ"/>
      <w:numFmt w:val="bullet"/>
      <w:start w:val="1"/>
    </w:lvl>
  </w:abstractNum>
  <w:abstractNum w:abstractNumId="131">
    <w:nsid w:val="B37E80A"/>
    <w:multiLevelType w:val="hybridMultilevel"/>
    <w:lvl w:ilvl="0">
      <w:lvlJc w:val="left"/>
      <w:lvlText w:val="\endash "/>
      <w:numFmt w:val="bullet"/>
      <w:start w:val="1"/>
    </w:lvl>
  </w:abstractNum>
  <w:abstractNum w:abstractNumId="132">
    <w:nsid w:val="2157F6BC"/>
    <w:multiLevelType w:val="hybridMultilevel"/>
    <w:lvl w:ilvl="0">
      <w:lvlJc w:val="left"/>
      <w:lvlText w:val="%1:"/>
      <w:numFmt w:val="upperLetter"/>
      <w:start w:val="20"/>
    </w:lvl>
  </w:abstractNum>
  <w:abstractNum w:abstractNumId="133">
    <w:nsid w:val="704E1DD5"/>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2026-04-08T07:54:21Z</dcterms:created>
  <dcterms:modified xsi:type="dcterms:W3CDTF">2026-04-08T07:54:21Z</dcterms:modified>
</cp:coreProperties>
</file>