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610870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4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44450</wp:posOffset>
            </wp:positionV>
            <wp:extent cx="23660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46990</wp:posOffset>
            </wp:positionV>
            <wp:extent cx="23660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CURRENT REPORT PURSUANT</w:t>
      </w:r>
    </w:p>
    <w:p>
      <w:pPr>
        <w:spacing w:after="0" w:line="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TO SECTION 13 OR 15(d) OF THE</w:t>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SECURITIES EXCHANGE ACT OF 1934</w:t>
      </w:r>
    </w:p>
    <w:p>
      <w:pPr>
        <w:spacing w:after="0" w:line="8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40005</wp:posOffset>
            </wp:positionV>
            <wp:extent cx="23660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1"/>
          <w:szCs w:val="41"/>
          <w:b w:val="1"/>
          <w:bCs w:val="1"/>
          <w:color w:val="auto"/>
        </w:rPr>
        <w:t>AMERICAN TOWER CORPORATION</w:t>
      </w:r>
    </w:p>
    <w:p>
      <w:pPr>
        <w:spacing w:after="0" w:line="1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43815</wp:posOffset>
            </wp:positionV>
            <wp:extent cx="23660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5" w:lineRule="exact"/>
        <w:rPr>
          <w:sz w:val="24"/>
          <w:szCs w:val="24"/>
          <w:color w:val="auto"/>
        </w:rPr>
      </w:pPr>
    </w:p>
    <w:tbl>
      <w:tblPr>
        <w:tblLayout w:type="fixed"/>
        <w:tblInd w:w="240" w:type="dxa"/>
        <w:tblCellMar>
          <w:top w:w="0" w:type="dxa"/>
          <w:left w:w="0" w:type="dxa"/>
          <w:bottom w:w="0" w:type="dxa"/>
          <w:right w:w="0" w:type="dxa"/>
        </w:tblCellMar>
      </w:tblPr>
      <w:tr>
        <w:trPr>
          <w:trHeight w:val="206"/>
        </w:trPr>
        <w:tc>
          <w:tcPr>
            <w:tcW w:w="3580" w:type="dxa"/>
            <w:vAlign w:val="bottom"/>
          </w:tcPr>
          <w:p>
            <w:pPr>
              <w:jc w:val="center"/>
              <w:ind w:right="832"/>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520" w:type="dxa"/>
            <w:vAlign w:val="bottom"/>
          </w:tcPr>
          <w:p>
            <w:pPr>
              <w:jc w:val="right"/>
              <w:ind w:right="1452"/>
              <w:spacing w:after="0"/>
              <w:rPr>
                <w:sz w:val="20"/>
                <w:szCs w:val="20"/>
                <w:color w:val="auto"/>
              </w:rPr>
            </w:pPr>
            <w:r>
              <w:rPr>
                <w:rFonts w:ascii="Times New Roman" w:cs="Times New Roman" w:eastAsia="Times New Roman" w:hAnsi="Times New Roman"/>
                <w:sz w:val="14"/>
                <w:szCs w:val="14"/>
                <w:b w:val="1"/>
                <w:bCs w:val="1"/>
                <w:color w:val="auto"/>
              </w:rPr>
              <w:t>001-14195</w:t>
            </w:r>
          </w:p>
        </w:tc>
        <w:tc>
          <w:tcPr>
            <w:tcW w:w="310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65-0723837</w:t>
            </w:r>
          </w:p>
        </w:tc>
      </w:tr>
      <w:tr>
        <w:trPr>
          <w:trHeight w:val="206"/>
        </w:trPr>
        <w:tc>
          <w:tcPr>
            <w:tcW w:w="3580" w:type="dxa"/>
            <w:vAlign w:val="bottom"/>
          </w:tcPr>
          <w:p>
            <w:pPr>
              <w:jc w:val="center"/>
              <w:ind w:right="832"/>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 of Incorporation)</w:t>
            </w:r>
          </w:p>
        </w:tc>
        <w:tc>
          <w:tcPr>
            <w:tcW w:w="35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(Commission File Number)</w:t>
            </w:r>
          </w:p>
        </w:tc>
        <w:tc>
          <w:tcPr>
            <w:tcW w:w="3100" w:type="dxa"/>
            <w:vAlign w:val="bottom"/>
          </w:tcPr>
          <w:p>
            <w:pPr>
              <w:jc w:val="center"/>
              <w:ind w:left="932"/>
              <w:spacing w:after="0"/>
              <w:rPr>
                <w:sz w:val="20"/>
                <w:szCs w:val="20"/>
                <w:color w:val="auto"/>
              </w:rPr>
            </w:pPr>
            <w:r>
              <w:rPr>
                <w:rFonts w:ascii="Times New Roman" w:cs="Times New Roman" w:eastAsia="Times New Roman" w:hAnsi="Times New Roman"/>
                <w:sz w:val="14"/>
                <w:szCs w:val="14"/>
                <w:b w:val="1"/>
                <w:bCs w:val="1"/>
                <w:color w:val="auto"/>
                <w:w w:val="97"/>
              </w:rPr>
              <w:t>(I.R.S. Employer Identification No.)</w:t>
            </w:r>
          </w:p>
        </w:tc>
      </w:tr>
    </w:tbl>
    <w:p>
      <w:pPr>
        <w:spacing w:after="0" w:line="1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222 Berkeley Street</w:t>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Boston, Massachusetts 02116</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(617) 375-7500</w:t>
      </w:r>
    </w:p>
    <w:p>
      <w:pPr>
        <w:spacing w:after="0" w:line="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231F20"/>
        </w:rPr>
        <w:t>(Former name or former address, if changed since last report.)</w:t>
      </w:r>
    </w:p>
    <w:p>
      <w:pPr>
        <w:spacing w:after="0" w:line="31"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ind w:left="340" w:hanging="299"/>
        <w:spacing w:after="0"/>
        <w:tabs>
          <w:tab w:leader="none" w:pos="3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42" w:lineRule="exact"/>
        <w:rPr>
          <w:rFonts w:ascii="MS PGothic" w:cs="MS PGothic" w:eastAsia="MS PGothic" w:hAnsi="MS PGothic"/>
          <w:sz w:val="15"/>
          <w:szCs w:val="15"/>
          <w:color w:val="auto"/>
        </w:rPr>
      </w:pPr>
    </w:p>
    <w:p>
      <w:pPr>
        <w:ind w:left="340" w:hanging="299"/>
        <w:spacing w:after="0"/>
        <w:tabs>
          <w:tab w:leader="none" w:pos="3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231F20"/>
        </w:rPr>
        <w:t>Soliciting material pursuant to Rule 14a-12 under the Exchange Act (17 CFR 240.14a-12)</w:t>
      </w:r>
    </w:p>
    <w:p>
      <w:pPr>
        <w:spacing w:after="0" w:line="33" w:lineRule="exact"/>
        <w:rPr>
          <w:rFonts w:ascii="MS PGothic" w:cs="MS PGothic" w:eastAsia="MS PGothic" w:hAnsi="MS PGothic"/>
          <w:sz w:val="15"/>
          <w:szCs w:val="15"/>
          <w:color w:val="auto"/>
        </w:rPr>
      </w:pPr>
    </w:p>
    <w:p>
      <w:pPr>
        <w:ind w:left="340" w:hanging="299"/>
        <w:spacing w:after="0"/>
        <w:tabs>
          <w:tab w:leader="none" w:pos="3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231F20"/>
        </w:rPr>
        <w:t>Pre-commencement communications pursuant to Rule 14d-2(b) under the Exchange Act (17 CFR 240.14d-2(b))</w:t>
      </w:r>
    </w:p>
    <w:p>
      <w:pPr>
        <w:spacing w:after="0" w:line="20" w:lineRule="exact"/>
        <w:rPr>
          <w:rFonts w:ascii="MS PGothic" w:cs="MS PGothic" w:eastAsia="MS PGothic" w:hAnsi="MS PGothic"/>
          <w:sz w:val="15"/>
          <w:szCs w:val="15"/>
          <w:color w:val="auto"/>
        </w:rPr>
      </w:pPr>
    </w:p>
    <w:p>
      <w:pPr>
        <w:ind w:left="340" w:hanging="299"/>
        <w:spacing w:after="0"/>
        <w:tabs>
          <w:tab w:leader="none" w:pos="3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231F20"/>
        </w:rPr>
        <w:t>Pre-commencement communications pursuant to Rule 13e-4(c) under the Exchange Act (17 CFR 240.13e-4(c))</w:t>
      </w:r>
    </w:p>
    <w:p>
      <w:pPr>
        <w:spacing w:after="0" w:line="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38" w:lineRule="exact"/>
        <w:rPr>
          <w:sz w:val="24"/>
          <w:szCs w:val="24"/>
          <w:color w:val="auto"/>
        </w:rPr>
      </w:pPr>
    </w:p>
    <w:tbl>
      <w:tblPr>
        <w:tblLayout w:type="fixed"/>
        <w:tblInd w:w="1120" w:type="dxa"/>
        <w:tblCellMar>
          <w:top w:w="0" w:type="dxa"/>
          <w:left w:w="0" w:type="dxa"/>
          <w:bottom w:w="0" w:type="dxa"/>
          <w:right w:w="0" w:type="dxa"/>
        </w:tblCellMar>
      </w:tblPr>
      <w:tr>
        <w:trPr>
          <w:trHeight w:val="180"/>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3440" w:type="dxa"/>
            <w:vAlign w:val="bottom"/>
          </w:tcPr>
          <w:p>
            <w:pPr>
              <w:jc w:val="center"/>
              <w:ind w:left="832"/>
              <w:spacing w:after="0"/>
              <w:rPr>
                <w:sz w:val="20"/>
                <w:szCs w:val="20"/>
                <w:color w:val="auto"/>
              </w:rPr>
            </w:pPr>
            <w:r>
              <w:rPr>
                <w:rFonts w:ascii="Times New Roman" w:cs="Times New Roman" w:eastAsia="Times New Roman" w:hAnsi="Times New Roman"/>
                <w:sz w:val="14"/>
                <w:szCs w:val="14"/>
                <w:b w:val="1"/>
                <w:bCs w:val="1"/>
                <w:color w:val="auto"/>
                <w:w w:val="97"/>
              </w:rPr>
              <w:t>Name of each exchange on which registered</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Common Stock, $0.01 par value</w:t>
            </w:r>
          </w:p>
        </w:tc>
        <w:tc>
          <w:tcPr>
            <w:tcW w:w="2940" w:type="dxa"/>
            <w:vAlign w:val="bottom"/>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w w:val="97"/>
              </w:rPr>
              <w:t>AMT</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0.450% Senior Notes due 2027</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27C</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0.400% Senior Notes due 2027</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27D</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4.125% Senior Notes due 2027</w:t>
            </w:r>
          </w:p>
        </w:tc>
        <w:tc>
          <w:tcPr>
            <w:tcW w:w="29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8"/>
              </w:rPr>
              <w:t>AMT 27F</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0.500% Senior Notes due 2028</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28A</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0.875% Senior Notes due 2029</w:t>
            </w:r>
          </w:p>
        </w:tc>
        <w:tc>
          <w:tcPr>
            <w:tcW w:w="29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7"/>
              </w:rPr>
              <w:t>AMT 29B</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0.950% Senior Notes due 2030</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30C</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3.900% Senior Notes due 2030</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30D</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4.625% Senior Notes due 2031</w:t>
            </w:r>
          </w:p>
        </w:tc>
        <w:tc>
          <w:tcPr>
            <w:tcW w:w="29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7"/>
              </w:rPr>
              <w:t>AMT 31B</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1.000% Senior Notes due 2032</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5"/>
              </w:rPr>
              <w:t>AMT 32</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3.625% Senior Notes due 2032</w:t>
            </w:r>
          </w:p>
        </w:tc>
        <w:tc>
          <w:tcPr>
            <w:tcW w:w="29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7"/>
              </w:rPr>
              <w:t>AMT 32B</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1.250% Senior Notes due 2033</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5"/>
              </w:rPr>
              <w:t>AMT 33</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4.000% Senior Notes due 2033</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33D</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r>
        <w:trPr>
          <w:trHeight w:val="193"/>
        </w:trPr>
        <w:tc>
          <w:tcPr>
            <w:tcW w:w="28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4.100% Senior Notes due 2034</w:t>
            </w:r>
          </w:p>
        </w:tc>
        <w:tc>
          <w:tcPr>
            <w:tcW w:w="29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AMT 34A</w:t>
            </w:r>
          </w:p>
        </w:tc>
        <w:tc>
          <w:tcPr>
            <w:tcW w:w="3440" w:type="dxa"/>
            <w:vAlign w:val="bottom"/>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r>
    </w:tbl>
    <w:p>
      <w:pPr>
        <w:spacing w:after="0" w:line="154" w:lineRule="exact"/>
        <w:rPr>
          <w:sz w:val="24"/>
          <w:szCs w:val="24"/>
          <w:color w:val="auto"/>
        </w:rPr>
      </w:pPr>
    </w:p>
    <w:p>
      <w:pPr>
        <w:ind w:right="160"/>
        <w:spacing w:after="0" w:line="270"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3" w:lineRule="exact"/>
        <w:rPr>
          <w:sz w:val="20"/>
          <w:szCs w:val="20"/>
          <w:color w:val="auto"/>
        </w:rPr>
      </w:pPr>
      <w:r>
        <w:rPr>
          <w:rFonts w:ascii="Times New Roman" w:cs="Times New Roman" w:eastAsia="Times New Roman" w:hAnsi="Times New Roman"/>
          <w:sz w:val="15"/>
          <w:szCs w:val="15"/>
          <w:color w:val="231F20"/>
        </w:rPr>
        <w:t xml:space="preserve">Emerging growth company </w:t>
      </w:r>
      <w:r>
        <w:rPr>
          <w:rFonts w:ascii="MS PGothic" w:cs="MS PGothic" w:eastAsia="MS PGothic" w:hAnsi="MS PGothic"/>
          <w:sz w:val="15"/>
          <w:szCs w:val="15"/>
          <w:color w:val="000000"/>
        </w:rPr>
        <w:t>☐</w:t>
      </w:r>
    </w:p>
    <w:p>
      <w:pPr>
        <w:spacing w:after="0" w:line="94" w:lineRule="exact"/>
        <w:rPr>
          <w:sz w:val="24"/>
          <w:szCs w:val="24"/>
          <w:color w:val="auto"/>
        </w:rPr>
      </w:pPr>
    </w:p>
    <w:p>
      <w:pPr>
        <w:ind w:right="460"/>
        <w:spacing w:after="0" w:line="202" w:lineRule="exact"/>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539115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7122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27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wp:posOffset>
            </wp:positionV>
            <wp:extent cx="7122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2795" cy="8255"/>
                    </a:xfrm>
                    <a:prstGeom prst="rect">
                      <a:avLst/>
                    </a:prstGeom>
                    <a:noFill/>
                  </pic:spPr>
                </pic:pic>
              </a:graphicData>
            </a:graphic>
          </wp:anchor>
        </w:drawing>
      </w:r>
    </w:p>
    <w:p>
      <w:pPr>
        <w:sectPr>
          <w:pgSz w:w="11900" w:h="16838" w:orient="portrait"/>
          <w:cols w:equalWidth="0" w:num="1">
            <w:col w:w="11180"/>
          </w:cols>
          <w:pgMar w:left="320" w:top="1045" w:right="399" w:bottom="1440" w:gutter="0" w:footer="0" w:header="0"/>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9"/>
          <w:szCs w:val="19"/>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48" w:lineRule="exact"/>
        <w:rPr>
          <w:sz w:val="20"/>
          <w:szCs w:val="20"/>
          <w:color w:val="auto"/>
        </w:rPr>
      </w:pPr>
    </w:p>
    <w:p>
      <w:pPr>
        <w:jc w:val="both"/>
        <w:ind w:right="40" w:firstLine="617"/>
        <w:spacing w:after="0" w:line="237" w:lineRule="auto"/>
        <w:rPr>
          <w:sz w:val="20"/>
          <w:szCs w:val="20"/>
          <w:color w:val="auto"/>
        </w:rPr>
      </w:pPr>
      <w:r>
        <w:rPr>
          <w:rFonts w:ascii="Times New Roman" w:cs="Times New Roman" w:eastAsia="Times New Roman" w:hAnsi="Times New Roman"/>
          <w:sz w:val="19"/>
          <w:szCs w:val="19"/>
          <w:color w:val="auto"/>
        </w:rPr>
        <w:t>American Tower Corporation (the “Company”) is providing an update regarding its relationship with DISH Wireless L.L.C., a subsidiary of DISH Network Corporation (“DISH”). The Company delivered a notice of termination, effective June 2, 2026, to DISH of the Company’s Strategic Collocation Agreement entered into in March 2021 (the “SCA”) and related agreements with DISH. Beginning on January 1, 2026, 100% of DISH revenue has been reflected in churn and this termination is not expected to impact the Company’s financial results for the year ending December 31, 2026. The Company continues to pursue litigation against DISH with respect to its obligations under the SCA.</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Cautionary Language Regarding Forward-Looking Statements</w:t>
      </w:r>
    </w:p>
    <w:p>
      <w:pPr>
        <w:spacing w:after="0" w:line="222" w:lineRule="exact"/>
        <w:rPr>
          <w:sz w:val="20"/>
          <w:szCs w:val="20"/>
          <w:color w:val="auto"/>
        </w:rPr>
      </w:pPr>
    </w:p>
    <w:p>
      <w:pPr>
        <w:ind w:firstLine="617"/>
        <w:spacing w:after="0" w:line="237" w:lineRule="auto"/>
        <w:rPr>
          <w:sz w:val="20"/>
          <w:szCs w:val="20"/>
          <w:color w:val="auto"/>
        </w:rPr>
      </w:pPr>
      <w:r>
        <w:rPr>
          <w:rFonts w:ascii="Times New Roman" w:cs="Times New Roman" w:eastAsia="Times New Roman" w:hAnsi="Times New Roman"/>
          <w:sz w:val="19"/>
          <w:szCs w:val="19"/>
          <w:color w:val="auto"/>
        </w:rPr>
        <w:t>This current report on Form 8-K contains “forward-looking statements” concerning the Company’s goals, beliefs, expectations, strategies, objectives, plans, future operating results and underlying assumptions and other statements that are not necessarily based on historical facts. Actual results may differ materially from those indicated in the Company’s forward-looking statements as a result of various factors, including those factors set forth under the caption “Risk Factors” in Item 1A of its most recent annual report on Form 10-K, and other risks described in documents the Company subsequently files from time to time with the Securities and Exchange Commission. The Company undertakes no obligation to update the information contained in this current report on Form 8-K to reflect subsequently occurring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443230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731" w:right="37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SIGNATURE</w:t>
      </w:r>
    </w:p>
    <w:p>
      <w:pPr>
        <w:spacing w:after="0" w:line="248" w:lineRule="exact"/>
        <w:rPr>
          <w:sz w:val="20"/>
          <w:szCs w:val="20"/>
          <w:color w:val="auto"/>
        </w:rPr>
      </w:pPr>
    </w:p>
    <w:p>
      <w:pPr>
        <w:ind w:right="160" w:firstLine="694"/>
        <w:spacing w:after="0" w:line="267"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9"/>
          <w:szCs w:val="19"/>
          <w:color w:val="auto"/>
        </w:rPr>
        <w:t>AMERICAN TOWER CORPORATION</w:t>
      </w:r>
    </w:p>
    <w:p>
      <w:pPr>
        <w:spacing w:after="0" w:line="26"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9"/>
          <w:szCs w:val="19"/>
          <w:color w:val="auto"/>
        </w:rPr>
        <w:t>(Registrant)</w:t>
      </w:r>
    </w:p>
    <w:p>
      <w:pPr>
        <w:spacing w:after="0" w:line="200" w:lineRule="exact"/>
        <w:rPr>
          <w:sz w:val="20"/>
          <w:szCs w:val="20"/>
          <w:color w:val="auto"/>
        </w:rPr>
      </w:pPr>
    </w:p>
    <w:p>
      <w:pPr>
        <w:spacing w:after="0" w:line="237" w:lineRule="exact"/>
        <w:rPr>
          <w:sz w:val="20"/>
          <w:szCs w:val="20"/>
          <w:color w:val="auto"/>
        </w:rPr>
      </w:pPr>
    </w:p>
    <w:p>
      <w:pPr>
        <w:ind w:left="720"/>
        <w:spacing w:after="0"/>
        <w:tabs>
          <w:tab w:leader="none" w:pos="1620" w:val="left"/>
          <w:tab w:leader="none" w:pos="6740" w:val="left"/>
          <w:tab w:leader="none" w:pos="8860" w:val="left"/>
        </w:tabs>
        <w:rPr>
          <w:sz w:val="20"/>
          <w:szCs w:val="20"/>
          <w:color w:val="auto"/>
        </w:rPr>
      </w:pPr>
      <w:r>
        <w:rPr>
          <w:rFonts w:ascii="Times New Roman" w:cs="Times New Roman" w:eastAsia="Times New Roman" w:hAnsi="Times New Roman"/>
          <w:sz w:val="19"/>
          <w:szCs w:val="19"/>
          <w:color w:val="auto"/>
        </w:rPr>
        <w:t>Date:</w:t>
      </w:r>
      <w:r>
        <w:rPr>
          <w:sz w:val="20"/>
          <w:szCs w:val="20"/>
          <w:color w:val="auto"/>
        </w:rPr>
        <w:tab/>
      </w:r>
      <w:r>
        <w:rPr>
          <w:rFonts w:ascii="Times New Roman" w:cs="Times New Roman" w:eastAsia="Times New Roman" w:hAnsi="Times New Roman"/>
          <w:sz w:val="19"/>
          <w:szCs w:val="19"/>
          <w:color w:val="auto"/>
        </w:rPr>
        <w:t>June 4, 2026</w:t>
      </w:r>
      <w:r>
        <w:rPr>
          <w:sz w:val="20"/>
          <w:szCs w:val="20"/>
          <w:color w:val="auto"/>
        </w:rPr>
        <w:tab/>
      </w: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color w:val="auto"/>
        </w:rPr>
        <w:t>/s/ Rodney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4709160</wp:posOffset>
            </wp:positionH>
            <wp:positionV relativeFrom="paragraph">
              <wp:posOffset>21590</wp:posOffset>
            </wp:positionV>
            <wp:extent cx="24917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18"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9"/>
          <w:szCs w:val="19"/>
          <w:color w:val="auto"/>
        </w:rPr>
        <w:t>Rodney M. Smith</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Executive Vice President, Chief Financial Officer</w:t>
      </w:r>
    </w:p>
    <w:p>
      <w:pPr>
        <w:ind w:left="9300"/>
        <w:spacing w:after="0"/>
        <w:rPr>
          <w:sz w:val="20"/>
          <w:szCs w:val="20"/>
          <w:color w:val="auto"/>
        </w:rPr>
      </w:pPr>
      <w:r>
        <w:rPr>
          <w:rFonts w:ascii="Times New Roman" w:cs="Times New Roman" w:eastAsia="Times New Roman" w:hAnsi="Times New Roman"/>
          <w:sz w:val="19"/>
          <w:szCs w:val="19"/>
          <w:color w:val="auto"/>
        </w:rPr>
        <w:t>Treasurer</w:t>
      </w:r>
    </w:p>
    <w:sectPr>
      <w:pgSz w:w="11900" w:h="16838" w:orient="portrait"/>
      <w:cols w:equalWidth="0" w:num="1">
        <w:col w:w="11340"/>
      </w:cols>
      <w:pgMar w:left="320" w:top="7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2026-06-04T15:49:16Z</dcterms:created>
  <dcterms:modified xsi:type="dcterms:W3CDTF">2026-06-04T15:49:16Z</dcterms:modified>
</cp:coreProperties>
</file>