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6122d424b5.htm"/>
        <w:bookmarkStart w:id="1" w:name="ksd11612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333-287714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This preliminary prospectus supplement relates to an effective registration statement under the Securities Act of 1933, as amended, but is not complete and may be changed. </w:t>
      </w:r>
    </w:p>
    <w:p>
      <w:pPr>
        <w:pStyle w:val="TextBody"/>
        <w:bidi w:val="0"/>
        <w:spacing w:before="0" w:after="0"/>
        <w:ind w:left="760" w:right="760" w:hanging="0"/>
        <w:jc w:val="left"/>
        <w:rPr/>
      </w:pPr>
      <w:r>
        <w:rPr/>
        <w:t> </w:t>
      </w:r>
    </w:p>
    <w:p>
      <w:pPr>
        <w:pStyle w:val="TextBody"/>
        <w:bidi w:val="0"/>
        <w:spacing w:before="0" w:after="0"/>
        <w:ind w:left="760" w:right="760" w:hanging="0"/>
        <w:jc w:val="center"/>
        <w:rPr>
          <w:rFonts w:ascii="Times New Roman" w:hAnsi="Times New Roman"/>
          <w:b/>
          <w:color w:val="FF4338"/>
          <w:sz w:val="18"/>
        </w:rPr>
      </w:pPr>
      <w:r>
        <w:rPr>
          <w:rFonts w:ascii="Times New Roman" w:hAnsi="Times New Roman"/>
          <w:b/>
          <w:color w:val="FF4338"/>
          <w:sz w:val="18"/>
        </w:rPr>
        <w:t xml:space="preserve">SUBJECT TO COMPLETION, DATED SEPTEMBER 9, 2026. </w:t>
      </w:r>
    </w:p>
    <w:p>
      <w:pPr>
        <w:pStyle w:val="TextBody"/>
        <w:bidi w:val="0"/>
        <w:spacing w:before="240" w:after="0"/>
        <w:ind w:left="760" w:right="760" w:hanging="0"/>
        <w:jc w:val="center"/>
        <w:rPr>
          <w:rFonts w:ascii="Times New Roman" w:hAnsi="Times New Roman"/>
          <w:b/>
          <w:sz w:val="18"/>
        </w:rPr>
      </w:pPr>
      <w:r>
        <w:rPr>
          <w:rFonts w:ascii="Times New Roman" w:hAnsi="Times New Roman"/>
          <w:b/>
          <w:sz w:val="18"/>
        </w:rPr>
        <w:t xml:space="preserve">PROSPECTUS SUPPLEMENT TO </w:t>
      </w:r>
    </w:p>
    <w:p>
      <w:pPr>
        <w:pStyle w:val="TextBody"/>
        <w:bidi w:val="0"/>
        <w:spacing w:before="0" w:after="0"/>
        <w:ind w:left="760" w:right="760" w:hanging="0"/>
        <w:jc w:val="center"/>
        <w:rPr>
          <w:rFonts w:ascii="Times New Roman" w:hAnsi="Times New Roman"/>
          <w:b/>
          <w:sz w:val="18"/>
        </w:rPr>
      </w:pPr>
      <w:r>
        <w:rPr>
          <w:rFonts w:ascii="Times New Roman" w:hAnsi="Times New Roman"/>
          <w:b/>
          <w:sz w:val="18"/>
        </w:rPr>
        <w:t xml:space="preserve">PROSPECTUS DATED JUNE 2, 2025 </w:t>
      </w:r>
    </w:p>
    <w:p>
      <w:pPr>
        <w:pStyle w:val="TextBody"/>
        <w:bidi w:val="0"/>
        <w:spacing w:before="100" w:after="0"/>
        <w:ind w:left="760" w:right="760" w:hanging="0"/>
        <w:jc w:val="center"/>
        <w:rPr>
          <w:rFonts w:ascii="Times New Roman" w:hAnsi="Times New Roman"/>
          <w:b/>
          <w:sz w:val="26"/>
        </w:rPr>
      </w:pPr>
      <w:r>
        <w:rPr>
          <w:rFonts w:ascii="Times New Roman" w:hAnsi="Times New Roman"/>
          <w:b/>
          <w:sz w:val="26"/>
        </w:rPr>
        <w:t xml:space="preserve">$    </w:t>
      </w:r>
    </w:p>
    <w:p>
      <w:pPr>
        <w:pStyle w:val="TextBody"/>
        <w:bidi w:val="0"/>
        <w:spacing w:before="0" w:after="0"/>
        <w:ind w:left="760" w:right="760" w:hanging="0"/>
        <w:jc w:val="left"/>
        <w:rPr/>
      </w:pPr>
      <w:r>
        <w:rPr/>
        <w:t> </w:t>
      </w:r>
    </w:p>
    <w:p>
      <w:pPr>
        <w:pStyle w:val="TextBody"/>
        <w:bidi w:val="0"/>
        <w:spacing w:before="0" w:after="0"/>
        <w:ind w:left="760" w:right="760" w:hanging="0"/>
        <w:jc w:val="center"/>
        <w:rPr/>
      </w:pPr>
      <w:r>
        <w:rPr/>
        <w:drawing>
          <wp:inline distT="0" distB="0" distL="0" distR="0">
            <wp:extent cx="1666875" cy="831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1215"/>
                    </a:xfrm>
                    <a:prstGeom prst="rect">
                      <a:avLst/>
                    </a:prstGeom>
                  </pic:spPr>
                </pic:pic>
              </a:graphicData>
            </a:graphic>
          </wp:inline>
        </w:drawing>
      </w:r>
      <w:r>
        <w:rPr/>
        <w:t xml:space="preserve"> </w:t>
      </w:r>
    </w:p>
    <w:p>
      <w:pPr>
        <w:pStyle w:val="TextBody"/>
        <w:bidi w:val="0"/>
        <w:spacing w:before="60" w:after="0"/>
        <w:ind w:left="760" w:right="760" w:hanging="0"/>
        <w:jc w:val="center"/>
        <w:rPr>
          <w:rFonts w:ascii="Times New Roman" w:hAnsi="Times New Roman"/>
          <w:b/>
          <w:sz w:val="40"/>
        </w:rPr>
      </w:pPr>
      <w:r>
        <w:rPr>
          <w:rFonts w:ascii="Times New Roman" w:hAnsi="Times New Roman"/>
          <w:b/>
          <w:sz w:val="40"/>
        </w:rPr>
        <w:t xml:space="preserve">American Tower Corporation </w:t>
      </w:r>
    </w:p>
    <w:p>
      <w:pPr>
        <w:pStyle w:val="TextBody"/>
        <w:bidi w:val="0"/>
        <w:spacing w:before="60" w:after="0"/>
        <w:ind w:left="760" w:right="760" w:hanging="0"/>
        <w:jc w:val="center"/>
        <w:rPr>
          <w:rFonts w:ascii="Times New Roman" w:hAnsi="Times New Roman"/>
          <w:b/>
          <w:sz w:val="24"/>
        </w:rPr>
      </w:pPr>
      <w:r>
        <w:rPr>
          <w:rFonts w:ascii="Times New Roman" w:hAnsi="Times New Roman"/>
          <w:b/>
          <w:sz w:val="24"/>
        </w:rPr>
        <w:t xml:space="preserve">$     % Senior Notes due 2031 </w:t>
      </w:r>
    </w:p>
    <w:p>
      <w:pPr>
        <w:pStyle w:val="TextBody"/>
        <w:bidi w:val="0"/>
        <w:spacing w:before="60" w:after="0"/>
        <w:ind w:left="760" w:right="760" w:hanging="0"/>
        <w:jc w:val="center"/>
        <w:rPr>
          <w:rFonts w:ascii="Times New Roman" w:hAnsi="Times New Roman"/>
          <w:b/>
          <w:sz w:val="24"/>
        </w:rPr>
      </w:pPr>
      <w:r>
        <w:rPr>
          <w:rFonts w:ascii="Times New Roman" w:hAnsi="Times New Roman"/>
          <w:b/>
          <w:sz w:val="24"/>
        </w:rPr>
        <w:t xml:space="preserve">$     % Senior Notes due 2033 </w:t>
      </w:r>
    </w:p>
    <w:p>
      <w:pPr>
        <w:pStyle w:val="TextBody"/>
        <w:bidi w:val="0"/>
        <w:spacing w:before="60" w:after="0"/>
        <w:ind w:left="760" w:right="760" w:hanging="0"/>
        <w:jc w:val="center"/>
        <w:rPr>
          <w:rFonts w:ascii="Times New Roman" w:hAnsi="Times New Roman"/>
          <w:b/>
          <w:sz w:val="24"/>
        </w:rPr>
      </w:pPr>
      <w:r>
        <w:rPr>
          <w:rFonts w:ascii="Times New Roman" w:hAnsi="Times New Roman"/>
          <w:b/>
          <w:sz w:val="24"/>
        </w:rPr>
        <w:t xml:space="preserve">$     % Senior Notes due 2036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60" w:after="0"/>
        <w:ind w:left="760" w:right="760" w:hanging="0"/>
        <w:jc w:val="left"/>
        <w:rPr>
          <w:rFonts w:ascii="Times New Roman" w:hAnsi="Times New Roman"/>
          <w:sz w:val="18"/>
        </w:rPr>
      </w:pPr>
      <w:r>
        <w:rPr>
          <w:rFonts w:ascii="Times New Roman" w:hAnsi="Times New Roman"/>
          <w:sz w:val="18"/>
        </w:rPr>
        <w:t xml:space="preserve">We are offering $    of   % Senior Notes due 2031 (the “2031 notes”), $    of   % Senior Notes due 2033 (the “2033 notes”) and $     of   % Senior Notes due 2036 (the “2036 notes” and, collectively with the 2031 notes and the 2033 notes, the “notes”). We will pay cash interest on the notes on March 15 and September 15 of each year, beginning on March 15, 2027. The 2031 notes will mature on September 15, 2031, the 2033 notes will mature on September 15, 2033 and the 2036 notes will mature on September 15, 2036. </w:t>
      </w:r>
    </w:p>
    <w:p>
      <w:pPr>
        <w:pStyle w:val="TextBody"/>
        <w:bidi w:val="0"/>
        <w:spacing w:before="60" w:after="0"/>
        <w:ind w:left="760" w:right="760" w:hanging="0"/>
        <w:jc w:val="left"/>
        <w:rPr>
          <w:rFonts w:ascii="Times New Roman" w:hAnsi="Times New Roman"/>
          <w:sz w:val="18"/>
        </w:rPr>
      </w:pPr>
      <w:r>
        <w:rPr>
          <w:rFonts w:ascii="Times New Roman" w:hAnsi="Times New Roman"/>
          <w:sz w:val="18"/>
        </w:rPr>
        <w:t xml:space="preserve">The notes will be general, unsecured obligations of American Tower Corporation and will rank equally in right of payment with all other senior unsecured debt obligations of American Tower Corporation. The notes will be structurally subordinated to all existing and future indebtedness and other obligations of our subsidiaries. </w:t>
      </w:r>
    </w:p>
    <w:p>
      <w:pPr>
        <w:pStyle w:val="TextBody"/>
        <w:bidi w:val="0"/>
        <w:spacing w:before="60" w:after="0"/>
        <w:ind w:left="760" w:right="760" w:hanging="0"/>
        <w:jc w:val="left"/>
        <w:rPr>
          <w:rFonts w:ascii="Times New Roman" w:hAnsi="Times New Roman"/>
          <w:sz w:val="18"/>
        </w:rPr>
      </w:pPr>
      <w:r>
        <w:rPr>
          <w:rFonts w:ascii="Times New Roman" w:hAnsi="Times New Roman"/>
          <w:sz w:val="18"/>
        </w:rPr>
        <w:t xml:space="preserve">We may redeem the notes at any time and from time to time, in whole or in part, in cash at the applicable redemption prices described under the heading “Description of Notes—Optional Redemption.” </w:t>
      </w:r>
    </w:p>
    <w:p>
      <w:pPr>
        <w:pStyle w:val="TextBody"/>
        <w:bidi w:val="0"/>
        <w:spacing w:before="60" w:after="0"/>
        <w:ind w:left="760" w:right="760" w:hanging="0"/>
        <w:jc w:val="left"/>
        <w:rPr>
          <w:rFonts w:ascii="Times New Roman" w:hAnsi="Times New Roman"/>
          <w:sz w:val="18"/>
        </w:rPr>
      </w:pPr>
      <w:r>
        <w:rPr>
          <w:rFonts w:ascii="Times New Roman" w:hAnsi="Times New Roman"/>
          <w:sz w:val="18"/>
        </w:rPr>
        <w:t xml:space="preserve">The notes will not be listed on any securities exchange. Currently, there is no public market for the notes.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60" w:after="0"/>
        <w:ind w:left="760" w:right="760" w:hanging="0"/>
        <w:jc w:val="left"/>
        <w:rPr/>
      </w:pPr>
      <w:r>
        <w:rPr>
          <w:rFonts w:ascii="Times New Roman" w:hAnsi="Times New Roman"/>
          <w:b/>
          <w:sz w:val="20"/>
        </w:rPr>
        <w:t>Investing in the notes involves risks. See “</w:t>
      </w:r>
      <w:hyperlink w:anchor="supptoc116122_5">
        <w:r>
          <w:rPr>
            <w:rStyle w:val="InternetLink"/>
            <w:rFonts w:ascii="Times New Roman" w:hAnsi="Times New Roman"/>
            <w:b/>
            <w:sz w:val="20"/>
          </w:rPr>
          <w:t>Risk Factors</w:t>
        </w:r>
      </w:hyperlink>
      <w:r>
        <w:rPr>
          <w:rFonts w:ascii="Times New Roman" w:hAnsi="Times New Roman"/>
          <w:b/>
          <w:sz w:val="20"/>
        </w:rPr>
        <w:t xml:space="preserve">” beginning on page S-6 and those described as risk factors in Part I, Item 1A, of our Annual Report on Form 10-K for the year ended December 31, 2025 (the “2025 Annual Report”) incorporated herein by reference.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0" w:after="0"/>
        <w:ind w:left="760" w:right="760" w:hanging="0"/>
        <w:jc w:val="left"/>
        <w:rPr/>
      </w:pPr>
      <w:r>
        <w:rPr/>
        <w:t> </w:t>
      </w:r>
    </w:p>
    <w:tbl>
      <w:tblPr>
        <w:tblW w:w="4200" w:type="pct"/>
        <w:jc w:val="center"/>
        <w:tblInd w:w="0" w:type="dxa"/>
        <w:tblLayout w:type="fixed"/>
        <w:tblCellMar>
          <w:top w:w="0" w:type="dxa"/>
          <w:left w:w="0" w:type="dxa"/>
          <w:bottom w:w="0" w:type="dxa"/>
          <w:right w:w="0" w:type="dxa"/>
        </w:tblCellMar>
      </w:tblPr>
      <w:tblGrid>
        <w:gridCol w:w="1234"/>
        <w:gridCol w:w="309"/>
        <w:gridCol w:w="276"/>
        <w:gridCol w:w="1591"/>
        <w:gridCol w:w="323"/>
        <w:gridCol w:w="226"/>
        <w:gridCol w:w="247"/>
        <w:gridCol w:w="1417"/>
        <w:gridCol w:w="323"/>
        <w:gridCol w:w="225"/>
        <w:gridCol w:w="308"/>
        <w:gridCol w:w="1766"/>
        <w:gridCol w:w="327"/>
      </w:tblGrid>
      <w:tr>
        <w:trPr/>
        <w:tc>
          <w:tcPr>
            <w:tcW w:w="123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23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Public Offering</w:t>
              <w:br/>
              <w:t>Price (1)</w:t>
            </w:r>
          </w:p>
        </w:tc>
        <w:tc>
          <w:tcPr>
            <w:tcW w:w="32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6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 (2)</w:t>
            </w:r>
          </w:p>
        </w:tc>
        <w:tc>
          <w:tcPr>
            <w:tcW w:w="32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w:t>
              <w:br/>
              <w:t>American Tower</w:t>
              <w:br/>
              <w:t>Corporation</w:t>
            </w:r>
          </w:p>
        </w:tc>
        <w:tc>
          <w:tcPr>
            <w:tcW w:w="327" w:type="dxa"/>
            <w:tcBorders/>
            <w:vAlign w:val="bottom"/>
          </w:tcPr>
          <w:p>
            <w:pPr>
              <w:pStyle w:val="TableContents"/>
              <w:bidi w:val="0"/>
              <w:spacing w:before="0" w:after="283"/>
              <w:jc w:val="left"/>
              <w:rPr/>
            </w:pPr>
            <w:r>
              <w:rPr/>
              <w:t> </w:t>
            </w:r>
          </w:p>
        </w:tc>
      </w:tr>
      <w:tr>
        <w:trPr/>
        <w:tc>
          <w:tcPr>
            <w:tcW w:w="12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2031 note</w:t>
            </w:r>
          </w:p>
        </w:tc>
        <w:tc>
          <w:tcPr>
            <w:tcW w:w="30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r>
        <w:trPr/>
        <w:tc>
          <w:tcPr>
            <w:tcW w:w="1234" w:type="dxa"/>
            <w:tcBorders/>
          </w:tcPr>
          <w:p>
            <w:pPr>
              <w:pStyle w:val="TableContents"/>
              <w:bidi w:val="0"/>
              <w:spacing w:before="0" w:after="0"/>
              <w:jc w:val="left"/>
              <w:rPr>
                <w:rFonts w:ascii="Times New Roman" w:hAnsi="Times New Roman"/>
                <w:sz w:val="18"/>
              </w:rPr>
            </w:pPr>
            <w:r>
              <w:rPr>
                <w:rFonts w:ascii="Times New Roman" w:hAnsi="Times New Roman"/>
                <w:sz w:val="18"/>
              </w:rPr>
              <w:t>2031 note total</w:t>
            </w:r>
          </w:p>
        </w:tc>
        <w:tc>
          <w:tcPr>
            <w:tcW w:w="30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591"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7"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766"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283"/>
              <w:jc w:val="left"/>
              <w:rPr/>
            </w:pPr>
            <w:r>
              <w:rPr/>
              <w:t> </w:t>
            </w:r>
          </w:p>
        </w:tc>
      </w:tr>
      <w:tr>
        <w:trPr/>
        <w:tc>
          <w:tcPr>
            <w:tcW w:w="12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2033 note</w:t>
            </w:r>
          </w:p>
        </w:tc>
        <w:tc>
          <w:tcPr>
            <w:tcW w:w="30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r>
        <w:trPr/>
        <w:tc>
          <w:tcPr>
            <w:tcW w:w="1234" w:type="dxa"/>
            <w:tcBorders/>
          </w:tcPr>
          <w:p>
            <w:pPr>
              <w:pStyle w:val="TableContents"/>
              <w:bidi w:val="0"/>
              <w:spacing w:before="0" w:after="0"/>
              <w:jc w:val="left"/>
              <w:rPr>
                <w:rFonts w:ascii="Times New Roman" w:hAnsi="Times New Roman"/>
                <w:sz w:val="18"/>
              </w:rPr>
            </w:pPr>
            <w:r>
              <w:rPr>
                <w:rFonts w:ascii="Times New Roman" w:hAnsi="Times New Roman"/>
                <w:sz w:val="18"/>
              </w:rPr>
              <w:t>2033 note total</w:t>
            </w:r>
          </w:p>
        </w:tc>
        <w:tc>
          <w:tcPr>
            <w:tcW w:w="30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591"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7"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766"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283"/>
              <w:jc w:val="left"/>
              <w:rPr/>
            </w:pPr>
            <w:r>
              <w:rPr/>
              <w:t> </w:t>
            </w:r>
          </w:p>
        </w:tc>
      </w:tr>
      <w:tr>
        <w:trPr/>
        <w:tc>
          <w:tcPr>
            <w:tcW w:w="12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2036 note</w:t>
            </w:r>
          </w:p>
        </w:tc>
        <w:tc>
          <w:tcPr>
            <w:tcW w:w="30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91"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r>
        <w:trPr/>
        <w:tc>
          <w:tcPr>
            <w:tcW w:w="1234" w:type="dxa"/>
            <w:tcBorders/>
          </w:tcPr>
          <w:p>
            <w:pPr>
              <w:pStyle w:val="TableContents"/>
              <w:bidi w:val="0"/>
              <w:spacing w:before="0" w:after="0"/>
              <w:jc w:val="left"/>
              <w:rPr>
                <w:rFonts w:ascii="Times New Roman" w:hAnsi="Times New Roman"/>
                <w:sz w:val="18"/>
              </w:rPr>
            </w:pPr>
            <w:r>
              <w:rPr>
                <w:rFonts w:ascii="Times New Roman" w:hAnsi="Times New Roman"/>
                <w:sz w:val="18"/>
              </w:rPr>
              <w:t>2036 note total</w:t>
            </w:r>
          </w:p>
        </w:tc>
        <w:tc>
          <w:tcPr>
            <w:tcW w:w="30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591"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17"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w:t>
            </w:r>
          </w:p>
        </w:tc>
        <w:tc>
          <w:tcPr>
            <w:tcW w:w="1766" w:type="dxa"/>
            <w:tcBorders/>
            <w:vAlign w:val="bottom"/>
          </w:tcPr>
          <w:p>
            <w:pPr>
              <w:pStyle w:val="TableContents"/>
              <w:bidi w:val="0"/>
              <w:spacing w:before="0" w:after="283"/>
              <w:jc w:val="right"/>
              <w:rPr/>
            </w:pPr>
            <w:r>
              <w:rPr/>
              <w:t>    </w:t>
            </w:r>
          </w:p>
        </w:tc>
        <w:tc>
          <w:tcPr>
            <w:tcW w:w="327" w:type="dxa"/>
            <w:tcBorders/>
            <w:vAlign w:val="bottom"/>
          </w:tcPr>
          <w:p>
            <w:pPr>
              <w:pStyle w:val="TableContents"/>
              <w:bidi w:val="0"/>
              <w:spacing w:before="0" w:after="283"/>
              <w:jc w:val="left"/>
              <w:rPr/>
            </w:pPr>
            <w:r>
              <w:rPr/>
              <w:t> </w:t>
            </w:r>
          </w:p>
        </w:tc>
      </w:tr>
      <w:tr>
        <w:trPr/>
        <w:tc>
          <w:tcPr>
            <w:tcW w:w="1234"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309"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1591"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17"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w:t>
            </w:r>
          </w:p>
        </w:tc>
        <w:tc>
          <w:tcPr>
            <w:tcW w:w="1766" w:type="dxa"/>
            <w:tcBorders/>
            <w:shd w:fill="CCEEFF" w:val="clear"/>
            <w:vAlign w:val="bottom"/>
          </w:tcPr>
          <w:p>
            <w:pPr>
              <w:pStyle w:val="TableContents"/>
              <w:bidi w:val="0"/>
              <w:spacing w:before="0" w:after="283"/>
              <w:jc w:val="right"/>
              <w:rPr/>
            </w:pPr>
            <w:r>
              <w:rPr/>
              <w:t>    </w:t>
            </w:r>
          </w:p>
        </w:tc>
        <w:tc>
          <w:tcPr>
            <w:tcW w:w="327"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left"/>
        <w:rPr>
          <w:bdr w:val="single" w:sz="2" w:space="1" w:color="000000"/>
        </w:rPr>
      </w:pPr>
      <w:r>
        <w:rPr>
          <w:bdr w:val="single" w:sz="2" w:space="1" w:color="000000"/>
        </w:rPr>
        <w:t> </w:t>
      </w:r>
    </w:p>
    <w:tbl>
      <w:tblPr>
        <w:tblW w:w="5000" w:type="pct"/>
        <w:jc w:val="left"/>
        <w:tblInd w:w="7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 2026, if settlement occurs after that date. </w:t>
            </w:r>
          </w:p>
        </w:tc>
      </w:tr>
    </w:tbl>
    <w:tbl>
      <w:tblPr>
        <w:tblW w:w="5000" w:type="pct"/>
        <w:jc w:val="left"/>
        <w:tblInd w:w="7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Before reimbursement of a portion of our expenses in connection with the notes offering, which the underwriters have agreed to make to us. </w:t>
            </w:r>
          </w:p>
        </w:tc>
      </w:tr>
    </w:tbl>
    <w:p>
      <w:pPr>
        <w:pStyle w:val="TextBody"/>
        <w:bidi w:val="0"/>
        <w:spacing w:before="60" w:after="0"/>
        <w:ind w:left="760" w:right="760" w:hanging="0"/>
        <w:jc w:val="left"/>
        <w:rPr>
          <w:rFonts w:ascii="Times New Roman" w:hAnsi="Times New Roman"/>
          <w:sz w:val="18"/>
        </w:rPr>
      </w:pPr>
      <w:r>
        <w:rPr>
          <w:rFonts w:ascii="Times New Roman" w:hAnsi="Times New Roman"/>
          <w:sz w:val="18"/>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60" w:after="0"/>
        <w:ind w:left="760" w:right="760" w:hanging="0"/>
        <w:jc w:val="left"/>
        <w:rPr>
          <w:rFonts w:ascii="Times New Roman" w:hAnsi="Times New Roman"/>
          <w:sz w:val="18"/>
        </w:rPr>
      </w:pPr>
      <w:r>
        <w:rPr>
          <w:rFonts w:ascii="Times New Roman" w:hAnsi="Times New Roman"/>
          <w:sz w:val="18"/>
        </w:rPr>
        <w:t xml:space="preserve">The underwriters expect to deliver the notes in book-entry form only through the facilities of The Depository Trust Company for the accounts of its participants, including Clearstream Banking, S.A. (“Clearstream”), and Euroclear Bank S.A./N.V. (the “Euroclear Operator”), as operator of the Euroclear System (“Euroclear”), against payment on      , 2026, which is the third business day following the date of this prospectus supplement (this settlement cycle being referred to as “T+3”). Under Rule 15c6-1 of the Securities Exchange Act of 1934, as amended (the “Exchange Act”), trades in the secondary market generally are required to settle in one business day, unless the parties to the trade expressly agree otherwise. Accordingly, purchasers who wish to trade the notes on the date of this prospectus supplement or the following business day will be required, by virtue of the fact that the notes initially will settle in T+3, to specify an alternate settlement cycle at the time of any such trade to prevent a failed settlement and should consult their own advisors. </w:t>
      </w:r>
    </w:p>
    <w:p>
      <w:pPr>
        <w:pStyle w:val="TextBody"/>
        <w:bidi w:val="0"/>
        <w:spacing w:before="0" w:after="0"/>
        <w:ind w:left="760" w:right="760" w:hanging="0"/>
        <w:jc w:val="left"/>
        <w:rPr/>
      </w:pPr>
      <w:r>
        <w:rPr/>
        <w:t> </w:t>
      </w:r>
    </w:p>
    <w:p>
      <w:pPr>
        <w:pStyle w:val="TextBody"/>
        <w:bidi w:val="0"/>
        <w:spacing w:lineRule="atLeast" w:line="142" w:before="0" w:after="40"/>
        <w:ind w:left="760" w:right="760" w:hanging="0"/>
        <w:jc w:val="center"/>
        <w:rPr>
          <w:bdr w:val="single" w:sz="8" w:space="1" w:color="000000"/>
        </w:rPr>
      </w:pPr>
      <w:r>
        <w:rPr>
          <w:bdr w:val="single" w:sz="8" w:space="1" w:color="000000"/>
        </w:rPr>
        <w:t> </w:t>
      </w:r>
    </w:p>
    <w:p>
      <w:pPr>
        <w:pStyle w:val="TextBody"/>
        <w:bidi w:val="0"/>
        <w:spacing w:before="60" w:after="0"/>
        <w:ind w:left="760" w:right="760" w:hanging="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ind w:left="760" w:right="760" w:hanging="0"/>
        <w:jc w:val="left"/>
        <w:rPr/>
      </w:pPr>
      <w:r>
        <w:rPr/>
        <w:t> </w:t>
      </w:r>
    </w:p>
    <w:tbl>
      <w:tblPr>
        <w:tblW w:w="5000" w:type="pct"/>
        <w:jc w:val="center"/>
        <w:tblInd w:w="0" w:type="dxa"/>
        <w:tblLayout w:type="fixed"/>
        <w:tblCellMar>
          <w:top w:w="0" w:type="dxa"/>
          <w:left w:w="0" w:type="dxa"/>
          <w:bottom w:w="0" w:type="dxa"/>
          <w:right w:w="0" w:type="dxa"/>
        </w:tblCellMar>
      </w:tblPr>
      <w:tblGrid>
        <w:gridCol w:w="1735"/>
        <w:gridCol w:w="101"/>
        <w:gridCol w:w="2042"/>
        <w:gridCol w:w="101"/>
        <w:gridCol w:w="2041"/>
        <w:gridCol w:w="102"/>
        <w:gridCol w:w="2041"/>
        <w:gridCol w:w="102"/>
        <w:gridCol w:w="1940"/>
      </w:tblGrid>
      <w:tr>
        <w:trPr/>
        <w:tc>
          <w:tcPr>
            <w:tcW w:w="173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735" w:type="dxa"/>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735"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center"/>
              <w:rPr>
                <w:b/>
              </w:rPr>
            </w:pPr>
            <w:r>
              <w:rPr>
                <w:b/>
              </w:rPr>
              <w:t>Morgan Stanley</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right"/>
              <w:rPr>
                <w:b/>
              </w:rPr>
            </w:pPr>
            <w:r>
              <w:rPr>
                <w:b/>
              </w:rPr>
              <w:t>Scotiabank</w:t>
            </w:r>
          </w:p>
        </w:tc>
      </w:tr>
    </w:tbl>
    <w:p>
      <w:pPr>
        <w:pStyle w:val="TextBody"/>
        <w:bidi w:val="0"/>
        <w:spacing w:before="120" w:after="0"/>
        <w:ind w:left="760" w:right="760" w:hanging="0"/>
        <w:jc w:val="center"/>
        <w:rPr>
          <w:rFonts w:ascii="Times New Roman" w:hAnsi="Times New Roman"/>
          <w:b/>
          <w:sz w:val="18"/>
        </w:rPr>
      </w:pPr>
      <w:r>
        <w:rPr>
          <w:rFonts w:ascii="Times New Roman" w:hAnsi="Times New Roman"/>
          <w:b/>
          <w:sz w:val="18"/>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2">
              <w:r>
                <w:rPr>
                  <w:rStyle w:val="InternetLink"/>
                  <w:rFonts w:ascii="Times New Roman" w:hAnsi="Times New Roman"/>
                  <w:sz w:val="20"/>
                </w:rPr>
                <w:t>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3">
              <w:r>
                <w:rPr>
                  <w:rStyle w:val="InternetLink"/>
                  <w:rFonts w:ascii="Times New Roman" w:hAnsi="Times New Roman"/>
                  <w:sz w:val="20"/>
                </w:rPr>
                <w:t>Market and Industry Data</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4">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7">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8">
              <w:r>
                <w:rPr>
                  <w:rStyle w:val="InternetLink"/>
                  <w:rFonts w:ascii="Times New Roman" w:hAnsi="Times New Roman"/>
                  <w:sz w:val="20"/>
                </w:rPr>
                <w:t>Description of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9">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0">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1">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oc116122_1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x116122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
              <w:r>
                <w:rPr>
                  <w:rStyle w:val="InternetLink"/>
                  <w:rFonts w:ascii="Times New Roman" w:hAnsi="Times New Roman"/>
                  <w:sz w:val="20"/>
                </w:rPr>
                <w:t>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3">
              <w:r>
                <w:rPr>
                  <w:rStyle w:val="InternetLink"/>
                  <w:rFonts w:ascii="Times New Roman" w:hAnsi="Times New Roman"/>
                  <w:sz w:val="20"/>
                </w:rPr>
                <w:t>American Tower Corporation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6">
              <w:r>
                <w:rPr>
                  <w:rStyle w:val="InternetLink"/>
                  <w:rFonts w:ascii="Times New Roman" w:hAnsi="Times New Roman"/>
                  <w:sz w:val="20"/>
                </w:rPr>
                <w:t>Description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7">
              <w:r>
                <w:rPr>
                  <w:rStyle w:val="InternetLink"/>
                  <w:rFonts w:ascii="Times New Roman" w:hAnsi="Times New Roman"/>
                  <w:sz w:val="20"/>
                </w:rPr>
                <w:t>Description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8">
              <w:r>
                <w:rPr>
                  <w:rStyle w:val="InternetLink"/>
                  <w:rFonts w:ascii="Times New Roman" w:hAnsi="Times New Roman"/>
                  <w:sz w:val="20"/>
                </w:rPr>
                <w:t>Description of Preferred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9">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0">
              <w:r>
                <w:rPr>
                  <w:rStyle w:val="InternetLink"/>
                  <w:rFonts w:ascii="Times New Roman" w:hAnsi="Times New Roman"/>
                  <w:sz w:val="20"/>
                </w:rPr>
                <w:t>Description of Guarantees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1">
              <w:r>
                <w:rPr>
                  <w:rStyle w:val="InternetLink"/>
                  <w:rFonts w:ascii="Times New Roman" w:hAnsi="Times New Roman"/>
                  <w:sz w:val="20"/>
                </w:rPr>
                <w:t>Description of Depositary Shares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2">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3">
              <w:r>
                <w:rPr>
                  <w:rStyle w:val="InternetLink"/>
                  <w:rFonts w:ascii="Times New Roman" w:hAnsi="Times New Roman"/>
                  <w:sz w:val="20"/>
                </w:rPr>
                <w:t>Description of Purchase Contracts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4">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5">
              <w:r>
                <w:rPr>
                  <w:rStyle w:val="InternetLink"/>
                  <w:rFonts w:ascii="Times New Roman" w:hAnsi="Times New Roman"/>
                  <w:sz w:val="20"/>
                </w:rPr>
                <w:t>Legal Ownership</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6">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7">
              <w:r>
                <w:rPr>
                  <w:rStyle w:val="InternetLink"/>
                  <w:rFonts w:ascii="Times New Roman" w:hAnsi="Times New Roman"/>
                  <w:sz w:val="20"/>
                </w:rPr>
                <w:t>Material U.S. Federal Income Tax Considerations Related to Our Qualification and Taxation as a REIT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8">
              <w:r>
                <w:rPr>
                  <w:rStyle w:val="InternetLink"/>
                  <w:rFonts w:ascii="Times New Roman" w:hAnsi="Times New Roman"/>
                  <w:sz w:val="20"/>
                </w:rPr>
                <w:t>Material U.S. Federal Income Tax Considerations Relevant to Holders of Our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19">
              <w:r>
                <w:rPr>
                  <w:rStyle w:val="InternetLink"/>
                  <w:rFonts w:ascii="Times New Roman" w:hAnsi="Times New Roman"/>
                  <w:sz w:val="20"/>
                </w:rPr>
                <w:t>Material U.S. Federal Income Tax Considerations Relevant to Holders of Our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0">
              <w:r>
                <w:rPr>
                  <w:rStyle w:val="InternetLink"/>
                  <w:rFonts w:ascii="Times New Roman" w:hAnsi="Times New Roman"/>
                  <w:sz w:val="20"/>
                </w:rPr>
                <w:t>Validity of the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1">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x116122_22">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supplement and the accompanying prospectus. We have not, and the underwriters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supplement or the accompanying prospectus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116122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w:t>
      </w:r>
    </w:p>
    <w:p>
      <w:pPr>
        <w:pStyle w:val="TextBody"/>
        <w:bidi w:val="0"/>
        <w:spacing w:before="480" w:after="0"/>
        <w:jc w:val="center"/>
        <w:rPr>
          <w:rFonts w:ascii="Times New Roman" w:hAnsi="Times New Roman"/>
          <w:b/>
          <w:sz w:val="20"/>
        </w:rPr>
      </w:pPr>
      <w:bookmarkStart w:id="4" w:name="supptoc116122_2"/>
      <w:bookmarkEnd w:id="4"/>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our relationships with our customers, the creditworthiness and financial strength of our customers, our ability to maintain or increase our market share, the effects of consolidation among companies in our industry and among our customers and other competitive and financial pressures, our plans to fund our future liquidity needs, our expectations for the closing of signed agreements, including divestitures, and the expected impacts of such agreements on our business, the expected impacts of strategic partnerships on our business, our substantial leverage and debt service obligations, our future financing transactions, our future operating results, the level of future expenditures by companies in this industry and other trends in this industry, the impacts of technology failures, including cybersecurity, data governance and data privacy incidents, on our business, our ability to operate our distinct data centers business,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the expected impact of our transformation initiatives on our business and natural disasters and similar events. These statements are based on our management’s beliefs and assumptions, which in turn are based on currently available information. These assumptions could prove inaccurate. See “Risk Factors.” These forward-looking statements may be found in this prospectus supplement and the accompanying prospectus generally as well as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keep in mind that any forward-looking statement we make in this prospectus supplement, the accompanying prospectus, the documents incorporated by reference or elsewhere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this prospectus supplement, in the accompanying prospectus and the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incorporated by reference, may cause actual results to differ materially from those indicated by our forward-looking statements. We have no duty, and do not intend, to update or revise the forward-looking statements we make in this prospectus supplement, the accompanying prospectus, the documents incorporated by reference or elsewhere, except as may be required by law. In light of these risks and uncertainties, you should keep in mind that the future events or circumstances described in any forward-looking statement we make in this prospectus supplement, the accompanying prospectus, the documents incorporated by reference or elsewhere might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oc116122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estimates regarding market data, which are based on our internal estimates, independent industry publications, reports by market research firms and/or other published independent sources. In each case, we believe these estimates are reasonable. However, market data is subject to change and cannot always be verified with complete certainty due to limits on the availability and reliability of raw data, the voluntary nature of the data gathering process and other limitations and uncertainties inherent in any statistical survey of market data. As a result, you should be aware that market data set forth in this prospectus supplement, accompanying prospectus or the documents incorporated by reference or elsewhere, and estimates and beliefs based on such data, may not be reliable.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oc116122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may not contain all the information that may be important to you. You should read this entire prospectus supplement, the accompanying prospectus and those documents incorporated by reference into the prospectus supplement and the accompanying prospectus, including the risk factors and the financial statements and related notes, before making an investment decision. Unless otherwise indicated or the context otherwise requires, references to “we,” “us,” “our” and “American Tower” refer to American Tower Corporation and its predecessor, as applicable, and its consolidated subsidiaries, in each case, as the context requires. References herein to our “common stock” refer to our common stock and the Class A common stock of our predecessor, as applicable.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American Tower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provide for the leasing of space primarily to enterprises, network operators, cloud providers and supporting service providers. As of June 30, 2026, our portfolio included over 148,000 communications sites across the globe and 30 data center facilities across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operates as a REIT for U.S. federal income tax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Brazil, Burkina Faso, Canada, Chile, Colombia, Costa Rica, France, Germany, Ghana, Kenya, Mexico, Niger, Nigeria, Paraguay, Peru, South Africa, Spain and Uganda.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222 Berkeley Street, Boston, Massachusetts 02116. Our main telephone number at that address is +1 (617) 375-7500.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Stonepeak Preferred Conversion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in 2022, we entered into agreements pursuant to which certain investment vehicles affiliated with Stonepeak Partners LP (such investment vehicles, collectively, “Stonepeak”) acquired a noncontrolling ownership interest in our U.S. data center business, through an investment in common equity and mandatorily convertible preferred equity. On August 8, 2026, Stonepeak’s preferred equity ownership converted into common equity, after which we hold a controlling ownership interest of approximately 64%, with Stonepeak holding approximately 36%, in our U.S. data center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American Tower Corporation, a Delaware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9" w:type="dxa"/>
            <w:tcBorders/>
          </w:tcPr>
          <w:p>
            <w:pPr>
              <w:pStyle w:val="TableContents"/>
              <w:bidi w:val="0"/>
              <w:spacing w:before="0" w:after="283"/>
              <w:jc w:val="left"/>
              <w:rPr/>
            </w:pPr>
            <w:r>
              <w:rPr/>
              <w:t xml:space="preserve">$    aggregate principal amount of   % Senior Notes due 2031, $    aggregate principal amount of   % Senior Notes due 2033 and $   aggregate principal amount of   % Senior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Dates </w:t>
            </w:r>
          </w:p>
        </w:tc>
        <w:tc>
          <w:tcPr>
            <w:tcW w:w="6327" w:type="dxa"/>
            <w:tcBorders/>
          </w:tcPr>
          <w:p>
            <w:pPr>
              <w:pStyle w:val="TableContents"/>
              <w:bidi w:val="0"/>
              <w:spacing w:before="0" w:after="283"/>
              <w:jc w:val="left"/>
              <w:rPr/>
            </w:pPr>
            <w:r>
              <w:rPr/>
              <w:t xml:space="preserve">September 15, 2031 in the case of the 2031 notes.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September 15, 2033 in the case of the 2033 notes.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September 15, 2036 in the case of the 2036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Payments </w:t>
            </w:r>
          </w:p>
        </w:tc>
        <w:tc>
          <w:tcPr>
            <w:tcW w:w="6329" w:type="dxa"/>
            <w:tcBorders/>
          </w:tcPr>
          <w:p>
            <w:pPr>
              <w:pStyle w:val="TableContents"/>
              <w:bidi w:val="0"/>
              <w:spacing w:before="0" w:after="283"/>
              <w:jc w:val="left"/>
              <w:rPr/>
            </w:pPr>
            <w:r>
              <w:rPr/>
              <w:t xml:space="preserve">March 15 and September 15 of each year, beginning on March 15, 2027. Interest on the notes will accrue from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will be general, unsecured obligations and will rank equally in right of payment with all of our other senior unsecured debt obligations. As of June 30, 2026, after giving effect to the transactions described under “Capitalization,” we would have had approximately $    billion of senior unsecured indebtedness outstanding. In addition, we would have had approximately $    billion in aggregate undrawn loan commitments under our $6.0 billion senior unsecured multicurrency revolving credit facility, as amended and restated in December 2021, as further amended (the “2021 Multicurrency Credit Facility”), and our $4.0 billion senior unsecured revolving credit facility, as amended and restated in December 2021, as further amended (the “2021 Credit Facility”), net of approximately $39.4 million of outstanding undrawn letters of credit.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notes will be structurally subordinated to all existing and future indebtedness and other obligations of our subsidiaries. Our subsidiaries are not guarantors of the notes. As of June 30, 2026, our subsidiaries had approximately $1.8 billion of total debt obligations (excluding intercompany obligations),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$7.7 million unamortized deferred financing fees) backed by the debt of two special purpose subsidiaries, which is secured primarily by mortgages on those subsidiaries’ interests in 5,018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$3.2 million under our loan entered into in connection with our purchase of a data center asset for our CoreSite subsidiary (the “CoreSite DE1 Note”);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$14.4 million of other debt, which consists of finance leases attributable to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redeem the notes at any time and from time to time, in whole or in part, at our election at the applicable redemption prices. If we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redeem the 2031 notes prior to August 15, 2031 (one month prior to their maturity date), the 2033 notes prior to July 15, 2033 (two months prior to their maturity date) or the 2036 notes prior to June 15, 2036 (three months prior to their maturity date), we will pay a redemption price equal to 100% of the principal amount of the notes to be redeemed plus a make-whole premium, together with accrued interest to the redemption date. If we redeem the 2031 notes on or after August 15, 2031 (one month prior to their maturity date), the 2033 notes on or after July 15, 2033 (two months prior to their maturity date) or the 2036 notes on or after June 15, 2036 (three months prior to their maturity date), we will pay a redemption price equal to 100% of the principal amount of the notes to be redeemed plus accrued interest to the redemption date. 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Offer </w:t>
            </w:r>
          </w:p>
        </w:tc>
        <w:tc>
          <w:tcPr>
            <w:tcW w:w="6328" w:type="dxa"/>
            <w:tcBorders/>
          </w:tcPr>
          <w:p>
            <w:pPr>
              <w:pStyle w:val="TableContents"/>
              <w:bidi w:val="0"/>
              <w:spacing w:before="0" w:after="283"/>
              <w:jc w:val="left"/>
              <w:rPr/>
            </w:pPr>
            <w:r>
              <w:rPr/>
              <w:t xml:space="preserve">Following a Change of Control and Ratings Decline (each as defined herein), we will be required to offer to purchase all of the notes at a purchase price equal to 101% of the aggregate principal amount of the notes repurchased, plus accrued and unpaid interest, if any, up to but not including the date of repurchase. See “Description of Notes— Repurchase of Notes Upon a Change of Control Triggering Event.” The 2021 Multicurrency Credit Facility and the 2021 Credit Facility might restrict our ability to make such a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7" w:type="dxa"/>
            <w:tcBorders/>
          </w:tcPr>
          <w:p>
            <w:pPr>
              <w:pStyle w:val="TableContents"/>
              <w:bidi w:val="0"/>
              <w:spacing w:before="0" w:after="283"/>
              <w:jc w:val="left"/>
              <w:rPr/>
            </w:pPr>
            <w:r>
              <w:rPr/>
              <w:t xml:space="preserve">The provisions of the indenture governing the notes will, among other things, limit our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or sell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expect that the net proceeds of this offering will be approximately $    million, after deducting discounts and commissions payable to the underwriters and estimated expenses of this offering payable by us. We intend to use the net proceeds from this offering to repay $600.0 million aggregate principal amount of our 1.450% senior notes due 2026 (the “1.450% Notes”), to repay existing indebtedness under the 2021 Multicurrency Credit Facility, and for general corporate purposes. See “Use of Proceeds” and “Capitalization.”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Listing </w:t>
            </w:r>
          </w:p>
        </w:tc>
        <w:tc>
          <w:tcPr>
            <w:tcW w:w="6327" w:type="dxa"/>
            <w:tcBorders/>
          </w:tcPr>
          <w:p>
            <w:pPr>
              <w:pStyle w:val="TableContents"/>
              <w:bidi w:val="0"/>
              <w:spacing w:before="0" w:after="283"/>
              <w:jc w:val="left"/>
              <w:rPr/>
            </w:pPr>
            <w:r>
              <w:rPr/>
              <w:t xml:space="preserve">We do not intend to list the notes on any securities exchange or any automated dealer quotation system. Although the underwriters have informed us that they presently intend to make a market in the notes, they are not obligated to do so and may discontinue market-making at any time at their sole discretion without notice. Accordingly, we cannot assure you that a liquid market for the notes will develop or be maintained.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in minimum denominations of $2,000 and multiples of $1,000 thereafter.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 Federal Income Tax Considerations </w:t>
            </w:r>
          </w:p>
        </w:tc>
        <w:tc>
          <w:tcPr>
            <w:tcW w:w="6328" w:type="dxa"/>
            <w:tcBorders/>
          </w:tcPr>
          <w:p>
            <w:pPr>
              <w:pStyle w:val="TableContents"/>
              <w:bidi w:val="0"/>
              <w:spacing w:before="0" w:after="283"/>
              <w:jc w:val="left"/>
              <w:rPr/>
            </w:pPr>
            <w:r>
              <w:rPr/>
              <w:t xml:space="preserve">Investors in the 2031 notes, the 2033 notes or the 2036 notes, or a combination of them, should consider the information in the accompanying prospectus under “Material U.S. Federal Income Tax Considerations Relevant to Holders of Our Debt Securities,” which should be applied separately to each series of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Before investing in the notes, you should carefully consider all of the information in this prospectus supplement and the accompanying prospectus and in the documents incorporated by reference herein or therein, including the discussions under “Risk Factors” beginning on page S-6 and in Part I, Item 1A, of our 2025 Annual Report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116122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in addition to the other information presented and incorporated by reference in this prospectus supplement and the accompanying prospectus, in evaluating us, our business and an investment in the notes. A description of the risks related to our business is included in the “Risk Factors” section in Part I, Item 1A, of our 2025 Annual Report, which is incorporated by reference herein. The risks and uncertainties described below and incorporated by reference are not the only ones we face. Additional risks and uncertainties that we do not currently know about, or that we currently believe are immaterial, may also adversely impact our business. Events relating to any of the following risks as well as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this offering </w:t>
      </w:r>
    </w:p>
    <w:p>
      <w:pPr>
        <w:pStyle w:val="TextBody"/>
        <w:bidi w:val="0"/>
        <w:spacing w:before="120" w:after="0"/>
        <w:jc w:val="left"/>
        <w:rPr>
          <w:rFonts w:ascii="Times New Roman" w:hAnsi="Times New Roman"/>
          <w:b/>
          <w:sz w:val="20"/>
        </w:rPr>
      </w:pPr>
      <w:r>
        <w:rPr>
          <w:rFonts w:ascii="Times New Roman" w:hAnsi="Times New Roman"/>
          <w:b/>
          <w:sz w:val="20"/>
        </w:rPr>
        <w:t xml:space="preserve">Our leverage and debt service obligations may materially and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We have a substantial amount of indebtedness. As of June 30, 2026, after giving effect to the transactions described under “Capitalization,” we would have had approximately $     billion of consolidated debt and the ability to borrow additional aggregate amounts of approximately $     billion under the 2021 Multicurrency Credit Facility and the 2021 Credit Facility, net of approximately $39.4 million of outstanding undrawn letters of credit. Our substantial level of indebtedness increases the possibility that we may be unable to generate cash sufficient to pay when due the principal of, interest on, or other amounts due with respect to, our indebtedness. We are also permitted, subject to certain restrictions under our existing indebtedness, to obtain additional long-term debt and working capital lines of credit to meet future financing needs. This would effectively increase our total leverage. Furthermore, the indenture relating to the notes does not prohibit us from incurring additional indebtedness. Our leverage could have significant negative consequences on our financial condition and results of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debt or equity financing, thereby increasing our vulnerability to general adverse economic and industry conditions and placing us at a possible competitive disadvantage to less leveraged competitors and competitors that may have better access to capital resources, including with respect to acquiring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our ability to meet one or more of the financial ratio covenants contained in our debt agreements or to generate cash sufficient to pay interest or principal due under those agreements, which could result in an acceleration of some or all of our outstanding debt and the loss of the towers securing such debt if a default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borrowing costs if our current investment grade debt ratings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debt, thereby reducing the amount of our cash flow available for other purposes, including capital expenditures and REIT distributions;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the markets in which we compete.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holding company structure results in structural subordination of the notes and may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American Tower Corporation and not of our subsidiaries. However, all of our operations are conducted through our subsidiaries. Our cash flow and our ability to service our debt, including the notes, is dependent upon distributions of earnings, loans or other payments by our subsidiaries to us. Our subsidiaries are separate and distinct legal entities and have no obligation to pay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due on the notes or to provide us with funds for our payment obligations, whether by dividends, distributions, loans or otherwise. Payments to us by our subsidiaries are contingent upon our subsidiaries’ earnings and cash flows. Moreover, our subsidiaries may incur indebtedness that may restrict or prohibit the making of distributions, the paying of dividends or the making of loans by such subsidiaries to us. The notes are structurally subordinated to all existing, and will be structurally subordinated to all future, indebtedness and other obligations issued by our subsidiaries. Certain of our subsidiary indebtedness is also secured. As of June 30, 2026, our subsidiaries had approximately $1.8 billion of total debt obligations (excluding intercompany obligations),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$7.7 million unamortized deferred financing fees) backed by the debt of two special purpose subsidiaries, which is secured primarily by mortgages on those subsidiaries’ interests in 5,018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$3.2 million under the CoreSite DE1 Note;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$14.4 million of other debt, which consists of finance leases attributable to wholly owned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our insolvency, liquidation or reorganization, or should any of the indebtedness of our subsidiaries be accelerated because of a default, the holders of those debt obligations would have a claim to the proceeds from any liquidation of, or distribution from, certain of our subsidiaries prior to a claim by holders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There may be no public market for the notes offered hereby. </w:t>
      </w:r>
    </w:p>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notes offered by this prospectus supplement, there has been no public market for the notes. The underwriters have advised us that they presently intend to make a market in the notes. The underwriters are not obligated, however, to make a market in the notes, and may discontinue any such market-making at any time at their sole discretion. In addition, any market-making activity will be subject to the limits imposed by securities laws. Accordingly, we cannot assure you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or sustainability of any market for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ability to sell your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you would be able to sell your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market were to exist for the notes, the notes could trade at prices that are lower than the principal amount of your purchase price, depending on many factors, including prevailing interest rates, the market for similar notes and our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We may be unable to repay the notes when due or repurchase the notes when we are required to do so and holders may be unable to require us to repurchase their notes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At final maturity of the notes or in the event of acceleration of the notes following an event of default, the entire outstanding principal amount of the notes will become due and payable. Upon the occurrence of a Change of Control Triggering Event (as described in this prospectus supplement), we will be required to offer to repurchase in cash all outstanding notes at a redemption price equal to 101% of the principal amount of the notes plus accrued and unpaid interest, if any, up to, but not including, the repurchase date. If we were unable to make the required payments or repurchases of the notes, it would constitute an event of default under the notes and, as a result, may constitute an event of default under the 2021 Multicurrency Credit Facility, the 2021 Credit Facility and other outstanding indebtedness. The indentures for our other outstanding indebtedness also provide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 rights upon a change of control and, in some cases, other fundamental changes under different terms. As a result, holders of our other indebtedness may have the ability to require us to repurchase their debt securities before the holders of the notes would have such repurchase rights. It is possible that we will not have sufficient funds at maturity, upon acceleration or at the time of the Change of Control Triggering Event or other fundamental change to make the required repurchase of notes and other indebtedness. In addition, a Change of Control (as described in this prospectus supplement) and certain other change of control events may constitute an event of default under the 2021 Multicurrency Credit Facility, the 2021 Credit Facility and certain other outstanding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(as described in this prospectus supplement).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stockholder’s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“Description of Notes—Repurchase of Notes Upon a Change of Control Triggering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will effectively rank junior to any secured indebtedness we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general unsecured obligations, and will effectively rank junior to any secured indebtedness we incur in the future to the extent of the assets securing such indebtedness. In the event of our bankruptcy, liquidation, reorganization or other winding up, our assets that secure indebtedness will be available to pay obligations on the notes only after all such secured indebtedness has been repaid in full from such assets. As a result, there may not be sufficient assets remaining to pay amounts due on any or all of the notes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116122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net proceeds of this offering will be approximately $    million, after deducting discounts and commissions payable to the underwriters and estimated expenses of this offering payable by us. We intend to use the net proceeds from this offering to repay $600.0 million aggregate principal amount of the 1.450% Notes, to repay existing indebtedness under the 2021 Multicurrency Credit Facility, and for general corporate purposes. Pending use, the net proceeds may be invested temporarily in short-term marketable securities. Our management will have broad discretion in the application of the net proceeds, and the purposes for which the net proceeds are used may change from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2021 Multicurrency Credit Facility matures on May 1, 2029, includes two optional renewal periods and currently bears interest at a rate equal to Term SOFR (as such term is defined in the applicable loan agreement) plus 0.875%. Borrowings under the 2021 Multicurrency Credit Facility were primarily used to repay outstanding indebtedness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116122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cash and cash equivalents and capitalization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historical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after giving effect to this offering and the application of the net proceeds as described in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the ability to borrow additional amounts under the 2021 Multicurrency Credit Facility and the 2021 Credit Facility. You should read the capitalization table below in conjunction with “Management’s Discussion and Analysis of Financial Condition and Results of Operations” and our consolidated financial statements and related notes, which are incorporated by reference in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5"/>
        <w:gridCol w:w="312"/>
        <w:gridCol w:w="158"/>
        <w:gridCol w:w="841"/>
        <w:gridCol w:w="60"/>
        <w:gridCol w:w="312"/>
        <w:gridCol w:w="96"/>
        <w:gridCol w:w="1217"/>
        <w:gridCol w:w="64"/>
      </w:tblGrid>
      <w:tr>
        <w:trPr/>
        <w:tc>
          <w:tcPr>
            <w:tcW w:w="714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14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6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4"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714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684" w:type="dxa"/>
            <w:gridSpan w:val="6"/>
            <w:tcBorders/>
            <w:vAlign w:val="bottom"/>
          </w:tcPr>
          <w:p>
            <w:pPr>
              <w:pStyle w:val="TableContents"/>
              <w:bidi w:val="0"/>
              <w:spacing w:before="0" w:after="283"/>
              <w:jc w:val="center"/>
              <w:rPr>
                <w:b/>
              </w:rPr>
            </w:pPr>
            <w:r>
              <w:rPr>
                <w:b/>
              </w:rPr>
              <w:t>(In millions)</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(1)(2)</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1,762.5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145"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1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including current portion (3):</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Corporation debt:</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21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Multicurrency Credit Facility</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1,085.0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2021 Term Loan</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997.9</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997.9</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Credit Facility</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695.0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695.0</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1.450% senior notes due 2026</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599.7</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3.375% senior notes due 2026</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999.4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999.4</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3.125% senior notes due 2027</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399.8</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399.8</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2.750% senior notes due 2027</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749.4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749.4</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0.450% senior notes due 2027 (4)</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856.0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856.0</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0.400% senior notes due 2027 (4)</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570.4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570.4</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3.650% senior notes due 2027</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648.8</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648.8</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4.125% senior notes due 2027 (4)</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399.2</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399.2</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3.55% senior notes due 2027</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749.1</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749.1</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3.600% senior notes due 2028</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698.4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698.4</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0.500% senior notes due 2028 (4)</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854.7</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854.7</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1.500% senior notes due 2028</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648.9</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648.9</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notes due 2028</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697.2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697.2</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5.250% senior notes due 2028</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647.1</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647.1</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5.800% senior notes due 2028</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746.5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746.5</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5.200% senior notes due 2029</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645.8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645.8</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3.950% senior notes due 2029</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596.6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596.6</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0.875% senior notes due 2029 (4)</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854.4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854.4</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3.800% senior notes due 2029</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1,643.4</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1,643.4</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2.900% senior notes due 2030</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746.5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746.5</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5.000% senior notes due 2030</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595.1</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595.1</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4.900% senior notes due 2030</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848.2</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848.2</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3.900% senior notes due 2030 (4)</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567.6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567.6</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2.100% senior notes due 2030</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745.7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745.7</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0.950% senior notes due 2030 (4)</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567.3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567.3</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1.875% senior notes due 2030</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795.7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795.7</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2.700% senior notes due 2031</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696.6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696.6</w:t>
            </w:r>
          </w:p>
        </w:tc>
        <w:tc>
          <w:tcPr>
            <w:tcW w:w="64" w:type="dxa"/>
            <w:tcBorders/>
            <w:vAlign w:val="bottom"/>
          </w:tcPr>
          <w:p>
            <w:pPr>
              <w:pStyle w:val="TableContents"/>
              <w:bidi w:val="0"/>
              <w:spacing w:before="0" w:after="283"/>
              <w:jc w:val="left"/>
              <w:rPr/>
            </w:pPr>
            <w:r>
              <w:rPr/>
              <w:t> </w:t>
            </w:r>
          </w:p>
        </w:tc>
      </w:tr>
      <w:tr>
        <w:trPr/>
        <w:tc>
          <w:tcPr>
            <w:tcW w:w="7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4.625% senior notes due 2031 (4)</w:t>
            </w:r>
          </w:p>
        </w:tc>
        <w:tc>
          <w:tcPr>
            <w:tcW w:w="31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566.4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566.4</w:t>
            </w:r>
          </w:p>
        </w:tc>
        <w:tc>
          <w:tcPr>
            <w:tcW w:w="64" w:type="dxa"/>
            <w:tcBorders/>
            <w:shd w:fill="CCEEFF" w:val="clear"/>
            <w:vAlign w:val="bottom"/>
          </w:tcPr>
          <w:p>
            <w:pPr>
              <w:pStyle w:val="TableContents"/>
              <w:bidi w:val="0"/>
              <w:spacing w:before="0" w:after="283"/>
              <w:jc w:val="left"/>
              <w:rPr/>
            </w:pPr>
            <w:r>
              <w:rPr/>
              <w:t> </w:t>
            </w:r>
          </w:p>
        </w:tc>
      </w:tr>
      <w:tr>
        <w:trPr/>
        <w:tc>
          <w:tcPr>
            <w:tcW w:w="7145" w:type="dxa"/>
            <w:tcBorders/>
          </w:tcPr>
          <w:p>
            <w:pPr>
              <w:pStyle w:val="TableContents"/>
              <w:bidi w:val="0"/>
              <w:spacing w:before="0" w:after="0"/>
              <w:jc w:val="left"/>
              <w:rPr>
                <w:rFonts w:ascii="Times New Roman" w:hAnsi="Times New Roman"/>
                <w:sz w:val="20"/>
              </w:rPr>
            </w:pPr>
            <w:r>
              <w:rPr>
                <w:rFonts w:ascii="Times New Roman" w:hAnsi="Times New Roman"/>
                <w:sz w:val="20"/>
              </w:rPr>
              <w:t>2.300% senior notes due 2031</w:t>
            </w:r>
          </w:p>
        </w:tc>
        <w:tc>
          <w:tcPr>
            <w:tcW w:w="31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694.9</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694.9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55"/>
        <w:gridCol w:w="226"/>
        <w:gridCol w:w="140"/>
        <w:gridCol w:w="874"/>
        <w:gridCol w:w="155"/>
        <w:gridCol w:w="193"/>
        <w:gridCol w:w="83"/>
        <w:gridCol w:w="1220"/>
        <w:gridCol w:w="159"/>
      </w:tblGrid>
      <w:tr>
        <w:trPr/>
        <w:tc>
          <w:tcPr>
            <w:tcW w:w="7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159"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59"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665" w:type="dxa"/>
            <w:gridSpan w:val="6"/>
            <w:tcBorders/>
            <w:vAlign w:val="bottom"/>
          </w:tcPr>
          <w:p>
            <w:pPr>
              <w:pStyle w:val="TableContents"/>
              <w:bidi w:val="0"/>
              <w:spacing w:before="0" w:after="283"/>
              <w:jc w:val="center"/>
              <w:rPr>
                <w:b/>
              </w:rPr>
            </w:pPr>
            <w:r>
              <w:rPr>
                <w:b/>
              </w:rPr>
              <w:t>(In millions)</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 senior notes due 2032 (4)</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738.2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738.2</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4.050% senior notes due 2032</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644.8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644.8</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3.625% senior notes due 2032 (4)</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567.9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567.9</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4.700% senior notes due 2032</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840.9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840.9</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5.650% senior notes due 2033</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792.8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792.8</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1.250% senior notes due 2033 (4)</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566.4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566.4</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5.550% senior notes due 2033</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842.6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842.6</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4.000% senior notes due 2033 (4)</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848.3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848.3</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5.900% senior notes due 2033</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743.2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743.2</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5.450% senior notes due 2034</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641.9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641.9</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4.100% senior notes due 2034 (4)</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564.9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564.9</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5.400% senior notes due 2035</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592.9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592.9</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5.350% senior notes due 2035</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731.1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731.1</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3.700% senior notes due 2049</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592.9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592.9</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3.100% senior notes due 2050</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1,039.3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1,039.3</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2.950% senior notes due 2051</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1,024.9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1,024.9</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pPr>
            <w:r>
              <w:rPr/>
              <w:t>   </w:t>
            </w:r>
            <w:r>
              <w:rPr>
                <w:rFonts w:ascii="Times New Roman" w:hAnsi="Times New Roman"/>
                <w:sz w:val="20"/>
              </w:rPr>
              <w:t>% senior notes due 2031 to be offered hereby (5)</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tcPr>
          <w:p>
            <w:pPr>
              <w:pStyle w:val="TableContents"/>
              <w:bidi w:val="0"/>
              <w:spacing w:before="0" w:after="0"/>
              <w:jc w:val="left"/>
              <w:rPr/>
            </w:pPr>
            <w:r>
              <w:rPr/>
              <w:t>   </w:t>
            </w:r>
            <w:r>
              <w:rPr>
                <w:rFonts w:ascii="Times New Roman" w:hAnsi="Times New Roman"/>
                <w:sz w:val="20"/>
              </w:rPr>
              <w:t>% senior notes due 2033 to be offered hereby (5)</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55" w:type="dxa"/>
            <w:tcBorders/>
            <w:shd w:fill="CCEEFF" w:val="clear"/>
          </w:tcPr>
          <w:p>
            <w:pPr>
              <w:pStyle w:val="TableContents"/>
              <w:bidi w:val="0"/>
              <w:spacing w:before="0" w:after="0"/>
              <w:jc w:val="left"/>
              <w:rPr/>
            </w:pPr>
            <w:r>
              <w:rPr/>
              <w:t>   </w:t>
            </w:r>
            <w:r>
              <w:rPr>
                <w:rFonts w:ascii="Times New Roman" w:hAnsi="Times New Roman"/>
                <w:sz w:val="20"/>
              </w:rPr>
              <w:t>% senior notes due 2036 to be offered hereby (5)</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American Tower Corporation debt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35,379.7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Tower secured and other subsidiary debt: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Secured Tower Revenue Securities, Series 2018-1A</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498.7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498.7</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Secured Tower Revenue Securities, Series 2023-1A</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1,293.6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1,293.6</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Other subsidiary debt (6)</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3.2</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14.4</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Total American Tower subsidiary debt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1,809.9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1,809.9</w:t>
            </w:r>
          </w:p>
        </w:tc>
        <w:tc>
          <w:tcPr>
            <w:tcW w:w="159"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37,189.6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(7)</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15,276.9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15,276.9</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in excess of earnings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(5,032.3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(5,032.3</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(4,661.0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(4,661.0</w:t>
            </w:r>
          </w:p>
        </w:tc>
        <w:tc>
          <w:tcPr>
            <w:tcW w:w="159" w:type="dxa"/>
            <w:tcBorders/>
            <w:vAlign w:val="bottom"/>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(1)</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(1,868.7</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(1,868.7</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Corporation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3,719.7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3,719.7</w:t>
            </w:r>
          </w:p>
        </w:tc>
        <w:tc>
          <w:tcPr>
            <w:tcW w:w="159"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6,532.8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6,532.8</w:t>
            </w:r>
          </w:p>
        </w:tc>
        <w:tc>
          <w:tcPr>
            <w:tcW w:w="159" w:type="dxa"/>
            <w:tcBorders/>
            <w:shd w:fill="CCEEFF" w:val="clear"/>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10,252.5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10,252.5</w:t>
            </w:r>
          </w:p>
        </w:tc>
        <w:tc>
          <w:tcPr>
            <w:tcW w:w="159" w:type="dxa"/>
            <w:tcBorders/>
            <w:vAlign w:val="bottom"/>
          </w:tcPr>
          <w:p>
            <w:pPr>
              <w:pStyle w:val="TableContents"/>
              <w:bidi w:val="0"/>
              <w:spacing w:before="0" w:after="283"/>
              <w:jc w:val="left"/>
              <w:rPr/>
            </w:pPr>
            <w:r>
              <w:rPr/>
              <w:t> </w:t>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47,442.1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15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dividend distribution on July 13, 2026 of approximately $834.1 million to our common stockholders of record on June 12, 2026, which was accrued for at June 30, 2026, or repurchases of common stock made subsequent to June 30, 2026 pursuant to our previously announced stock repurchase program.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amount excludes $130.1 million of restricted funds pledged as collateral to secure obligations and cash, the use of which is otherwise limited by contractual provisions.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intercompany indebtedness that is eliminated in our consolidated financial statements.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senior notes denominated in euros and represents the dollar equivalent based on the euro/U.S. dollar exchange rate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aggregate principal amount of the notes, excluding any offering discounts and deferred financing fees.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CoreSite DE1 Note, which is denominated in U.S. Dollar.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common stock, par value $0.01 per share – 1,000,000,000 shares authorized, 480,163,259 shares issued and 465,958,334 shares outstanding,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116122_8"/>
      <w:bookmarkEnd w:id="10"/>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You can find the definitions of certain terms used in this description under the subheading “—Certain Definitions.” In this description, the references to “American Tower,” the “Company,” “we,” “us” or “our” refer only to American Tower Corporation (and not to any of its affiliates, including Subsidiaries, as defined below). The following description supplements and, to the extent inconsistent therewith, replaces the description of the general terms and provisions of the debt securities set forth in the accompanying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American Tower Corporation will issue the notes under an indenture dated as of June 2, 2025, between us and U.S. Bank Trust Company, National Association, as trustee, as supplemented by a supplemental indenture thereto, relating to the notes. We refer to the indenture as so supplemented as the “indenture.” The terms of the notes include those stated in the indenture and those made part of the indenture by reference to the Trust Indenture Act of 1939, as amended (the “Trust Indenture Act”).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a summary of the material provisions of the indenture and does not restate the indenture in its entirety. We urge you to read the indenture because the indenture, and not this description, defines your rights as a holder of the notes. Copies of the indenture are available from the trustee and a copy has been filed with the registration statement of which the accompanying prospectus is a part, as set forth below under “Where You Can Find More Information.” We use certain defined terms in this description that are not defined below under “—Certain Definitions” or elsewhere in this description; these terms have the meanings assigned to them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issue $    aggregate principal amount of the 2031 notes, $    aggregate principal amount of the 2033 notes and $    aggregate principal amount of the 2036 notes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in minimum denominations of $2,000 and multiples of $1,000 thereafter.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notes, issue additional notes having the same ranking, interest rate, maturity and other terms as the notes previously issued. Any additional notes having such similar terms, together with the notes previously issued, will constitute a single series of notes under the indenture. Further, any additional notes shall be issued under a separate CUSIP or ISIN number unless the additional notes are issued pursuant to a “qualified reopening” of the original series, are otherwise treated as part of the same “issue” of debt instruments as the original series or are issued with no more than a de minimis amount of original issue discount, in each case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2031 notes will mature on September 15, 2031. The 2033 notes will mature on September 15, 2033. The 2036 notes will mature on September 15, 2036. Accrued and unpaid interest on the notes will be payable in U.S. dollars semi-annually in arrears on March 15 and September 15 of each year, which we refer to as the “interest payment dates,” beginning on March 15, 2027 to the persons in whose names the notes are registered at the close of business on the preceding March 1 and September 1 respectively, which we refer to as the “record dates.” Interest on the notes will accrue from    , 2026 and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Each payment of interest on the notes will include interest accrued through the day before the applicable interest payment date. Any payment required to be made on any day that is not a Business Day will be made on the next Business Day as if made on the date that the payment was due and no interest will accrue on that payment for the period from the original payment date to the date of that payment on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and interest on the notes, register the transfer of the notes and exchange the notes at our office or agency maintained for that purpose, which initially will be the Corporate Trust Office of the trustee. We may change the paying agent or registrar without prior notice to the holders of the notes, and we 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subsidiaries may act as paying agent or registrar. So long as the notes are represented by global debt securities, the interest payable on the notes will be paid to Cede &amp; Co., the nominee of the depositary, or its registered assigns as the registered owner of such global debt securities, by wire transfer of immediately available funds on each of the applicable interest payment dates. If any of the notes are no longer represented by a global debt security, we have the option to pay interest by check mailed to the address of the person entitled to the interest. No service charge will be made for any transfer or exchange of notes, but we may require payment of a sum sufficient to cover any tax or other governmental charge payable.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senior unsecured obligations and rank equally in right of payment with all our existing and future senior unsecured debt. The notes are effectively junior to all of our secured indebtedness to the extent of the assets securing such indebtedness. Our operations are conducted through our subsidiaries and, therefore, we depend on the cash flow of our subsidiaries to meet our obligations, including our obligations under the notes. Our subsidiaries are not guarantors of the notes. Accordingly, the notes are effectively subordinated to all indebtedness and other obligations of our subsidiaries. See “Risk Factors—Our holding company structure results in structural subordination of the notes and may affect our ability to make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after giving effect to the transactions described under “Capitalization,” we and our subsidiaries would have had total outstanding consolidated debt of approximately $    billion,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$    billion of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$1.8 billion of indebtedness of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after giving effect to the transactions described under “Capitalization,” we would have the ability to borrow additional aggregate amounts of $    billion under the 2021 Multicurrency Credit Facility and the 2021 Credit Facility, net of approximately $39.4 million of outstanding undrawn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the issue date, our current subsidiaries, other than those listed in the definition of “Unrestricted Subsidiary” under “—Certain Definitions” below, will be Subsidiaries. Under certain circumstances, we will be able to designate current or future subsidiaries as Unrestricted Subsidiaries. Unrestricted Subsidiaries will not be subject to the restrictive covenants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subject to a sinking fund.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notes in accordance with the indenture. The registrar and the trustee may require a holder, among other things, to furnish appropriate endorsements and transfer documents in connection with a transfer of notes. Holders will be required to pay all taxes due on transfer. We are not required to transfer or exchange any note selected for redemption or tendered for repurchase. Also, we are not required to transfer or exchange any note for a period of 10 days preceding the date of notice of redemption of notes to be redeemed was first given.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i/>
          <w:sz w:val="20"/>
        </w:rPr>
      </w:pPr>
      <w:r>
        <w:rPr>
          <w:rFonts w:ascii="Times New Roman" w:hAnsi="Times New Roman"/>
          <w:i/>
          <w:sz w:val="20"/>
        </w:rPr>
        <w:t xml:space="preserve">2031 notes </w:t>
      </w:r>
    </w:p>
    <w:p>
      <w:pPr>
        <w:pStyle w:val="TextBody"/>
        <w:bidi w:val="0"/>
        <w:spacing w:before="120" w:after="0"/>
        <w:jc w:val="left"/>
        <w:rPr>
          <w:rFonts w:ascii="Times New Roman" w:hAnsi="Times New Roman"/>
          <w:sz w:val="20"/>
        </w:rPr>
      </w:pPr>
      <w:r>
        <w:rPr>
          <w:rFonts w:ascii="Times New Roman" w:hAnsi="Times New Roman"/>
          <w:sz w:val="20"/>
        </w:rPr>
        <w:t xml:space="preserve">The 2031 notes are redeemable at our election, in whole or in part, at any time and from time to time. If we redeem the 2031 notes prior to August 15, 2031 (one month prior to their maturity date), we will pay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2031 notes to be redeemed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2031 notes matured on the First Par Call Date) on a semi-annual basis (assuming a 360-day year consisting of twelve 30-day months) at the Treasury Rate for the 2031 notes plus      basis points less (b) interest accrued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accrued and unpaid interest to the date of redemption on the 2031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redeem the 2031 notes on or after August 15, 2031 (one month prior to their maturity date), we will pay a redemption price equal to 100% of the principal amount of the 2031 notes to be redeemed plus accrued and unpaid interest to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2033 notes </w:t>
      </w:r>
    </w:p>
    <w:p>
      <w:pPr>
        <w:pStyle w:val="TextBody"/>
        <w:bidi w:val="0"/>
        <w:spacing w:before="120" w:after="0"/>
        <w:jc w:val="left"/>
        <w:rPr>
          <w:rFonts w:ascii="Times New Roman" w:hAnsi="Times New Roman"/>
          <w:sz w:val="20"/>
        </w:rPr>
      </w:pPr>
      <w:r>
        <w:rPr>
          <w:rFonts w:ascii="Times New Roman" w:hAnsi="Times New Roman"/>
          <w:sz w:val="20"/>
        </w:rPr>
        <w:t xml:space="preserve">The 2033 notes are redeemable at our election, in whole or in part, at any time and from time to time. If we redeem the 2033 notes prior to July 15, 2033 (two months prior to their maturity date), we will pay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2033 notes to be redeemed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2033 notes matured on the First Par Call Date) on a semi-annual basis (assuming a 360-day year consisting of twelve 30-day months) at the Treasury Rate for the 2033 notes plus    basis points less (b) interest accrued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accrued and unpaid interest to the date of redemption on the 2033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the 2033 notes on or after July 15, 2033 (two months prior to their maturity date), we will pay a redemption price equal to 100% of the principal amount of the 2033 notes to be redeemed plus accrued and unpaid interest to the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2036 notes </w:t>
      </w:r>
    </w:p>
    <w:p>
      <w:pPr>
        <w:pStyle w:val="TextBody"/>
        <w:bidi w:val="0"/>
        <w:spacing w:before="120" w:after="0"/>
        <w:jc w:val="left"/>
        <w:rPr>
          <w:rFonts w:ascii="Times New Roman" w:hAnsi="Times New Roman"/>
          <w:sz w:val="20"/>
        </w:rPr>
      </w:pPr>
      <w:r>
        <w:rPr>
          <w:rFonts w:ascii="Times New Roman" w:hAnsi="Times New Roman"/>
          <w:sz w:val="20"/>
        </w:rPr>
        <w:t xml:space="preserve">The 2036 notes are redeemable at our election, in whole or in part, at any time and from time to time. If we redeem the 2036 notes prior to June 15, 2036 (three months prior to their maturity date), we will pay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2036 notes to be redeemed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2036 notes matured on the First Par Call Date) on a semi-annual basis (assuming a 360-day year consisting of twelve 30-day months) at the Treasury Rate for the 2036 notes plus     basis points less (b) interest accrued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accrued and unpaid interest to the date of redemption on the 2036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the 2036 notes on or after June 15, 2036 (three months prior to their maturity date), we will pay a redemption price equal to 100% of the principal amount of the 2036 notes to be redeemed plus accrued and unpaid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optional redemption date is on or after a record date and on or before the related interest payment date, the accrued and unpaid interest, if any, will be paid to the person in whose name the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We will give a notice of redemption at least 10 days but not more than 60 days before the redemption date to each holder of the notes to be redeemed, except that redemption notices may be given more than 60 days prior to a redemption date if the notice is issued in connection with a defeasance of the notes or a satisfaction and discharge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Notes called for redemption become due on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the trustee will select notes for redemption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listed on any national securities exchange, in compliance with the requirements of the principal national securities exchange on which the notes are listed;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not so listed, on a pro rata basis (subject to the procedures of DTC) or, to the extent a pro rata basis is not permitted, by lot or in such other manner as the trustee shall deem to be fair and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note of $2,000 in principal amount or less shall be redeemed in part. If any note is to be redeemed in part only, the notice of redemption relating to such note will state the portion of the principal amount to be redeemed. A new note in principal amount equal to the unredeemed portion will be issued in the name of the holder thereof upon cancellation of the original note.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occurs with respect to the notes, each holder of notes will have the right to require us to repurchase all or any part, equal to $2,000 or an integral multiple of $1,000 thereafter, of that holder’s notes, provided that any unpurchased portion of the notes will equal $2,000 or an integral multiple of $1,000 thereafter, pursuant to a Change of Control Offer on the terms set forth in the indenture. In the Change of Control Offer, we will offer a Change of Control Payment in cash equal to 101% of the aggregate principal amount of notes repurchased plus accrued and unpaid interest on the notes up to but excluding the date of repurchase. Within 30 days following any Change of Control Triggering Event, if we had not, prior to the Change of Control Triggering Event, sent a redemption notice for all the notes in connection with an optional redemption permitted by the indenture, we will give a notice to each registered holder briefly describing the transaction or transactions that constitute a Change of Control Triggering Event and offering to repurchase notes on the date specified in such notice (the “Change of Control Payment Date”), which date will be no earlier than 10 days and no later than 60 days from the date the notice is given, pursuant to the procedures required by the indenture and described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such laws and regulations are applicable to any Change of Control Offer. To the extent that the provisions of any securities laws or regulations conflict with the provisions of the indenture relating to the covenant described above, we will comply with the applicable securities laws and regulations and will not be deemed to have breached our obligations under the provisions of the indenture relating to the covenant described above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thereof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so accepted together with an Officers’ Certificate stating the aggregate principal amount of notes or portions thereof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mail to each registered holder of notes so tendered the Change of Control Payment for such notes, and the trustee will promptly authenticate and mail, or cause to be transferred by book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entry, to each holder a new note equal in principal amount to any unpurchased portion of the notes surrendered, if any; </w:t>
      </w:r>
      <w:r>
        <w:rPr>
          <w:rFonts w:ascii="Times New Roman" w:hAnsi="Times New Roman"/>
          <w:i/>
          <w:sz w:val="20"/>
        </w:rPr>
        <w:t xml:space="preserve">provided </w:t>
      </w:r>
      <w:r>
        <w:rPr>
          <w:rFonts w:ascii="Times New Roman" w:hAnsi="Times New Roman"/>
          <w:sz w:val="20"/>
        </w:rPr>
        <w:t xml:space="preserve">that each such new note will be in a principal amount of $2,000 or an integral multiple of $1,000 thereafter. Any note so accepted for payment will cease to accrue interest on and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provisions described above will be applicable regardless of whether or not any other provisions of the indenture are applicable. Other than with respect to a Change of Control Triggering Event, the indenture does not contain provisions that permit the holders of the notes to require that we repurchase or redeem the notes in the event of a takeover, recapitalization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entitled to require us to purchase their notes in the event of a takeover, recapitalization, leveraged buyout or similar transaction that is not a Change of Control. We may nonetheless incur significant additional indebtedness in connection with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Change of Control will not be deemed to have occurred if we merge with an affiliate solely for the purpose of reincorporating American Tower in its current or another jurisdiction within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shareholder’s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“Risk Factors—We may be unable to repay the notes when due or repurchase the notes when we are required to do so and holders may be unable to require us to repurchase their notes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upon a Change of Control Triggering Event if a third party makes the Change of Control Offer in the manner, at the times and otherwise in compliance with the requirements set forth in the indenture applicable to a Change of Control Offer made by us and purchases all notes properly tendered and not withdrawn under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A Change of Control Offer may be made in advance of a Change of Control Triggering Event, and conditional upon the occurrence of such Change of Control Triggering Event, if a definitive agreement is in place for the Change of Control Triggering Event at the time of making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have sufficient funds available at the time of any Change of Control Triggering Event, and consummate a Change of Control Offer for all notes then outstanding, at a purchase price for 101% of their principal amount, plus accrued and unpaid interest to the Change of Control Payment Date. The indentures for our other outstanding indebtedness also provide for repurchase rights upon a change in control and, in some cases, certain other events under different terms. As a result, holders of our other indebtedness may have the ability to require us to repurchase their debt securities before the holders of the notes offered hereby would have such repurchase rights. In addition, a Change of Control (as described herein) and certain other change of control events may constitute an event of default under the 2021 Multicurrency Credit Facility, the 2021 Credit Facility and certain other outstanding indebtedness. As a result, we may not be able to make any of the required payments on, or repurchases of, the notes without obtaining the consent of the lenders under the 2021 Multicurrency Credit Facility, the 2021 Credit Facility or that other outstanding indebtedness with respect to such payment or repurchase.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Under the indenture, we will not, and will not permit any of our Subsidiaries to, allow any Lien (other than Permitted Liens) on any of our or our Subsidiaries’ property or assets (which includes Capital Stock) securing Indebtedness, unless the Lien secures the notes equally and ratably with, or prior to, any other Indebtedness secured by such Lien, so long as such other Indebtedness is so secured.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may, and may permit any of our Subsidiaries to, incur Liens securing Indebtedness without equally and ratably securing the notes if, after giving effect to the incurrence of such Liens, the aggregate amount (without duplication) of the Indebtedness secured by Liens (other than Permitted Liens) on the property or assets (which includes Capital Stock) of us and our Subsidiaries shall not exceed the Permitted Amount at the time of the incurrence of such Liens (it being understood that Liens securing the SpectraSite ABS Facility shall be deemed to be incurred pursuant to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for the notes is U.S. Bank Trust Company, National Association, and we have initially appointed the trustee as the paying agent, registrar and custodian with regard to the notes. 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notes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notes,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(as defined in the Trust Indenture Act), it would be required to eliminate such conflict within 90 days, apply to the SEC for permission to continue as trustee or resign. The trustee is also the trustee under the trust and servicing agreement related to our securitization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the information in this section concerning DTC,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DTC, Clearstream and Euroclear as they are currently in effect. Those systems could change their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represented by one or more fully registered global notes. Each such global note will be deposited with, or on behalf of, DTC or any successor thereto and registered in the name of Cede &amp; Co. (DTC’s nominee). You may hold your interests in the global notes in the United States through DTC, or in Europe through Clearstream or Euroclear, either as a participant in such systems or indirectly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which in turn will hold those positions in customers’ securities accounts in the depositaries’ names on the books of DTC. Citibank, N.A. will act as depositary for Clearstream and the Euroclear Operator will act as depositary for Euroclear.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we issue the notes in fully certificated, registered form under the limited circumstances described below under the heading “—Certificated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not be entitled to receive a certificate representing your interest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in this prospectus supplement to actions by holders will refer to actions taken by DTC upon instructions from its direct participants;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in this prospectus supplement to payments and notices to holders will refer to payments and notices to DTC or Cede &amp; Co., as the registered holder of the notes, for distribution to you in accordance with DTC procedures.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DTC will act as securities depositary for the notes. The notes will be issued as fully registered notes registered in the name of Cede &amp; Co. DTC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under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under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w:t>
      </w:r>
    </w:p>
    <w:p>
      <w:pPr>
        <w:pStyle w:val="TextBody"/>
        <w:bidi w:val="0"/>
        <w:spacing w:before="240" w:after="0"/>
        <w:jc w:val="left"/>
        <w:rPr>
          <w:rFonts w:ascii="Times New Roman" w:hAnsi="Times New Roman"/>
          <w:sz w:val="20"/>
        </w:rPr>
      </w:pPr>
      <w:r>
        <w:rPr>
          <w:rFonts w:ascii="Times New Roman" w:hAnsi="Times New Roman"/>
          <w:sz w:val="20"/>
        </w:rPr>
        <w:t xml:space="preserve">Direct participants of DTC include securities brokers and dealers (including the underwriters), banks, trust companies, clearing corporations and certain other organizations. DTC is owned by a number of its direct participants. Indirect participants of DTC, such as securities brokers and dealers, banks and trust companies, can also access the DTC system if they maintain a custodial relationship with a direct participant. </w:t>
      </w:r>
    </w:p>
    <w:p>
      <w:pPr>
        <w:pStyle w:val="TextBody"/>
        <w:bidi w:val="0"/>
        <w:spacing w:before="240" w:after="0"/>
        <w:jc w:val="left"/>
        <w:rPr>
          <w:rFonts w:ascii="Times New Roman" w:hAnsi="Times New Roman"/>
          <w:sz w:val="20"/>
        </w:rPr>
      </w:pPr>
      <w:r>
        <w:rPr>
          <w:rFonts w:ascii="Times New Roman" w:hAnsi="Times New Roman"/>
          <w:sz w:val="20"/>
        </w:rPr>
        <w:t xml:space="preserve">Purchases of notes under DTC’s system must be made by or through direct participants, which will receive a credit for the notes on DTC’s records. The ownership interest of each beneficial owner is in turn to be recorded on the records of direct participants and indirect participants. Beneficial owners will not receive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notes, except as provided below under the heading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with DTC are registered in the name of DTC’s nominee, Cede &amp; Co. The deposit of notes with DTC and their registration in the name of Cede &amp; Co. effect no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360" w:after="0"/>
        <w:jc w:val="left"/>
        <w:rPr>
          <w:rFonts w:ascii="Times New Roman" w:hAnsi="Times New Roman"/>
          <w:i/>
          <w:sz w:val="20"/>
        </w:rPr>
      </w:pPr>
      <w:r>
        <w:rPr>
          <w:rFonts w:ascii="Times New Roman" w:hAnsi="Times New Roman"/>
          <w:i/>
          <w:sz w:val="20"/>
        </w:rPr>
        <w:t xml:space="preserve">Book-Entry Format </w:t>
      </w:r>
    </w:p>
    <w:p>
      <w:pPr>
        <w:pStyle w:val="TextBody"/>
        <w:bidi w:val="0"/>
        <w:spacing w:before="120" w:after="0"/>
        <w:jc w:val="left"/>
        <w:rPr>
          <w:rFonts w:ascii="Times New Roman" w:hAnsi="Times New Roman"/>
          <w:sz w:val="20"/>
        </w:rPr>
      </w:pPr>
      <w:r>
        <w:rPr>
          <w:rFonts w:ascii="Times New Roman" w:hAnsi="Times New Roman"/>
          <w:sz w:val="20"/>
        </w:rPr>
        <w:t xml:space="preserve">Under the book-entry format, the trustee will pay interest or principal payments to Cede &amp; Co., as nominee of DTC. DTC will forward the payment to the direct participants, who will then forward the payment to the indirect participants (including Clearstream or Euroclear)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 </w:t>
      </w:r>
    </w:p>
    <w:p>
      <w:pPr>
        <w:pStyle w:val="TextBody"/>
        <w:bidi w:val="0"/>
        <w:spacing w:before="240" w:after="0"/>
        <w:jc w:val="left"/>
        <w:rPr>
          <w:rFonts w:ascii="Times New Roman" w:hAnsi="Times New Roman"/>
          <w:sz w:val="20"/>
        </w:rPr>
      </w:pPr>
      <w:r>
        <w:rPr>
          <w:rFonts w:ascii="Times New Roman" w:hAnsi="Times New Roman"/>
          <w:sz w:val="20"/>
        </w:rPr>
        <w:t xml:space="preserve">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and the trustee under the indenture have no responsibility for any aspect of the actions of DTC, Clearstream or Euroclear or any of their direct or indirect participants. In addition, we and the trustee under the indenture have no responsibility or liability for any aspect of the records kept by DTC, Clearstream, Euroclear or any of their direct or indirect participants relating to or payments made on account of beneficial ownership interests in the notes or for maintaining, supervising or reviewing any records relating to such beneficial ownership interests.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 Neither DTC nor Cede &amp; Co. (nor any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 Clearstream or Euroclear will credit payments to the cash accounts of Clearstream customers or Euroclear participants in accordance with the relevant system’s rules and procedures, to the extent received by its depositary. These payments will be subject to tax reporting in accordance with relevant United States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regulations. Clearstream or the Euroclear Operator, as the case may be, will take any other action permitted to be taken by a holder under the indenture on behalf of a Clearstream customer or Euroclear participant only in accordance with its relevant rules and procedures and subject to its depositary’s ability to effect those actions on its behalf through DTC. </w:t>
      </w:r>
    </w:p>
    <w:p>
      <w:pPr>
        <w:pStyle w:val="TextBody"/>
        <w:bidi w:val="0"/>
        <w:spacing w:before="360" w:after="0"/>
        <w:jc w:val="left"/>
        <w:rPr>
          <w:rFonts w:ascii="Times New Roman" w:hAnsi="Times New Roman"/>
          <w:i/>
          <w:sz w:val="20"/>
        </w:rPr>
      </w:pPr>
      <w:r>
        <w:rPr>
          <w:rFonts w:ascii="Times New Roman" w:hAnsi="Times New Roman"/>
          <w:i/>
          <w:sz w:val="20"/>
        </w:rPr>
        <w:t xml:space="preserve">Transfers Within and Among Book-Entry Systems </w:t>
      </w:r>
    </w:p>
    <w:p>
      <w:pPr>
        <w:pStyle w:val="TextBody"/>
        <w:bidi w:val="0"/>
        <w:spacing w:before="120" w:after="0"/>
        <w:jc w:val="left"/>
        <w:rPr>
          <w:rFonts w:ascii="Times New Roman" w:hAnsi="Times New Roman"/>
          <w:sz w:val="20"/>
        </w:rPr>
      </w:pPr>
      <w:r>
        <w:rPr>
          <w:rFonts w:ascii="Times New Roman" w:hAnsi="Times New Roman"/>
          <w:sz w:val="20"/>
        </w:rPr>
        <w:t xml:space="preserve">Transfers between DTC’s direct participants will occur in accordance with DTC rules. Transfers between Clearstream customers and Euroclear participants will occur in accordance with the applicable rules and operating procedures of Clearstream and Euroclear, respectively. </w:t>
      </w:r>
    </w:p>
    <w:p>
      <w:pPr>
        <w:pStyle w:val="TextBody"/>
        <w:bidi w:val="0"/>
        <w:spacing w:before="240" w:after="0"/>
        <w:jc w:val="left"/>
        <w:rPr>
          <w:rFonts w:ascii="Times New Roman" w:hAnsi="Times New Roman"/>
          <w:sz w:val="20"/>
        </w:rPr>
      </w:pPr>
      <w:r>
        <w:rPr>
          <w:rFonts w:ascii="Times New Roman" w:hAnsi="Times New Roman"/>
          <w:sz w:val="20"/>
        </w:rPr>
        <w:t xml:space="preserve">DTC will effect cross-market transfers between persons holding directly or indirectly through DTC, on the one hand, and directly or indirectly through Clearstream customers or Euroclear participants, on the other hand, in accordance with DTC rules on behalf of the relevant European international clearing system by its depositary. However, cross-market transactions will require delivery of instructions to the relevant European international clearing system by the counterparty in that system in accordance with its rules and procedures and within its established deadlines (European time). The relevant European international clearing system will, if the transaction meets its settlement requirements, instruct its depositary to effect final settlement on its behalf by delivering or receiving securities in DTC, and making or receiving payment in accordance with normal procedures for same-day funds settlement applicable to DTC. Clearstream customers and Euroclear participants may not deliver instructions directly to the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securities received in Clearstream or Euroclear resulting from a transaction with a DTC direct participant will be made during the subsequent securities settlement processing, dated the business day following the DTC settlement date. Those credits or any transactions in those securities settled during that processing will be reported to the relevant Clearstream customer or Euroclear participant on that business day. Cash received in Clearstream or Euroclear as a result of sales of securities by or through a Clearstream customer or a Euroclear participant to a DTC direct participant will be received with value on the DTC settlement date but will be available in the relevant Clearstream or Euroclear cash amount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in order to facilitate transfers of notes among their respective participants, they are under no obligation to perform or continue to perform such procedures and such procedures may be discontinued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Unless and until they are exchanged, in whole or in part, for notes in definitive form in accordance with the terms of the notes, the notes may not be transferred except (1) as a whole by DTC to a nominee of DTC; (2) by a nominee of DTC to DTC or another nominee of DTC; or (3) by DTC or any such nominee to a successor of DTC or a nominee of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We will issue notes to you or your nominees, in fully certificated registered form, rather than to DTC or its nominees,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unwilling or unable to continue as depositary for such global note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under the Exchange Act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decide to allow some or all book-entry notes to be exchangeable for certificated notes in registered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under the indenture, and a holder of the notes has requested certificated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of the four above events occurs, DTC is required to notify all direct participants that notes in fully certificated registered form are available through DTC. DTC will then surrender the global note representing the notes along with instructions for re-registration. The trustee will re-issue the notes in fully certificated registered form and will recognize the registered holders of the certificated notes as holders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we issue the notes in fully certificated, registered form, (1) you will not be entitled to receive a certificate representing your interest in the notes; (2) all references in this prospectus supplement to actions by holders will refer to actions taken by the depositary upon instructions from their direct participants; and (3) all references in this prospectus supplement to payments and notices to holders will refer to payments and notices to the depositary, as the registered holder of the notes, for distribution to you in accordance with its policies and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pPr>
      <w:r>
        <w:rPr/>
        <w:t>“</w:t>
      </w:r>
      <w:r>
        <w:rPr>
          <w:rFonts w:ascii="Times New Roman" w:hAnsi="Times New Roman"/>
          <w:i/>
          <w:sz w:val="20"/>
        </w:rPr>
        <w:t>Adjusted EBITDA</w:t>
      </w:r>
      <w:r>
        <w:rPr>
          <w:rFonts w:ascii="Times New Roman" w:hAnsi="Times New Roman"/>
          <w:sz w:val="20"/>
        </w:rPr>
        <w:t xml:space="preserve">” means, for the 12-month period preceding the calculation date, for us and our Subsidiaries on a consolidated basis in accordance with GAAP, the sum of (a) Net Income, plus (b) to the extent deducted in determining Net Income, the sum of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Commodity Agreements, Currency Agreements or Interest Rate Agreements, non-cash impairment charges, non-cash valuation charges for stock option grants or vesting of restricted stock awards or any other non-cash compensation charges, and losses from the early extinguishment of Indebtedness) and (vi) nonrecurring charges and expenses, restructuring charges, transaction expenses (including, without limitation, transaction expenses incurred in connection with any merger or acquisition) and underwriters’ fees or discounts,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hAnsi="Times New Roman"/>
          <w:i/>
          <w:sz w:val="20"/>
        </w:rPr>
        <w:t>provided, however</w:t>
      </w:r>
      <w:r>
        <w:rPr>
          <w:rFonts w:ascii="Times New Roman" w:hAnsi="Times New Roman"/>
          <w:sz w:val="20"/>
        </w:rPr>
        <w:t xml:space="preserve">, (I) with respect to any Person that became a Subsidiary, or was merged with or consolidated into us or any Subsidiary, during such period, or any acquisition by us or any Subsidiary of the assets of any Person during such period, “Adjusted EBITDA” shall, at our option in respect of any or all of the foregoing, also include the Adjusted EBITDA of such Person or attributable to such assets, as applicable, during such period as if such acquisition, merger or consolidation had occurred on the first day of such period and (II) with respect to any Person that has ceased to be a Subsidiary during such period, or any material assets of us or any Subsidiary sold or otherwise disposed of by us or any Subsidiary during such period, “Adjusted EBITDA”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240" w:after="0"/>
        <w:jc w:val="left"/>
        <w:rPr/>
      </w:pPr>
      <w:r>
        <w:rPr/>
        <w:t>“</w:t>
      </w:r>
      <w:r>
        <w:rPr>
          <w:rFonts w:ascii="Times New Roman" w:hAnsi="Times New Roman"/>
          <w:i/>
          <w:sz w:val="20"/>
        </w:rPr>
        <w:t>Beneficial Owner</w:t>
      </w:r>
      <w:r>
        <w:rPr>
          <w:rFonts w:ascii="Times New Roman" w:hAnsi="Times New Roman"/>
          <w:sz w:val="20"/>
        </w:rPr>
        <w:t xml:space="preserve">” has the meaning assigned to such term in Rule 13d-3 and Rule 13d-5 under the Exchange Act, except that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either our Board of Directors or any committee of such Board duly authorized to act on our behalf.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one or more resolutions duly adopted or consented to by the Board of Directors and in full force and effect.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except a Saturday, Sunday or other day on which commercial banks in the City of New York are authorized or obligated by law or executive order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Capital Lease Obligations</w:t>
      </w:r>
      <w:r>
        <w:rPr>
          <w:rFonts w:ascii="Times New Roman" w:hAnsi="Times New Roman"/>
          <w:sz w:val="20"/>
        </w:rPr>
        <w:t xml:space="preserve">” means, at the time any determination is to be made, the amount of the liability in respect of a capital lease that would at that time be required to be capitalized on a balance sheet in accordance with GAAP. </w:t>
      </w:r>
    </w:p>
    <w:p>
      <w:pPr>
        <w:pStyle w:val="TextBody"/>
        <w:bidi w:val="0"/>
        <w:spacing w:before="360" w:after="0"/>
        <w:jc w:val="left"/>
        <w:rPr/>
      </w:pPr>
      <w:r>
        <w:rPr/>
        <w:t>“</w:t>
      </w:r>
      <w:r>
        <w:rPr>
          <w:rFonts w:ascii="Times New Roman" w:hAnsi="Times New Roman"/>
          <w:i/>
          <w:sz w:val="20"/>
        </w:rPr>
        <w:t xml:space="preserve">Capital Stock”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losses of, or distributions of assets of, the issuing Person. </w:t>
            </w:r>
          </w:p>
        </w:tc>
      </w:tr>
    </w:tbl>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(1) the adoption of a plan relating to our liquidation or dissolution;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as such term is used in Section 13(d)(3) of the Exchange Act, becomes the Beneficial Owner, directly or indirectly, of more than 50% of the voting power of our Voting Stock; </w:t>
            </w:r>
            <w:r>
              <w:rPr>
                <w:rFonts w:ascii="Times New Roman" w:hAnsi="Times New Roman"/>
                <w:i/>
                <w:sz w:val="20"/>
              </w:rPr>
              <w:t xml:space="preserve">provided </w:t>
            </w:r>
            <w:r>
              <w:rPr>
                <w:rFonts w:ascii="Times New Roman" w:hAnsi="Times New Roman"/>
                <w:sz w:val="20"/>
              </w:rPr>
              <w:t xml:space="preserve">that a transaction in which we become a Subsidiary of another Person shall not constitute a Change of Control if (a) our stockholders immediately prior to such transaction Beneficially Own, directly or indirectly through one or more intermediaries, 50% or more of the voting power of the outstanding Voting Stock of such other Person of whom we are a Subsidiary immediately following such transaction and (b) immediately following such transaction no person (as defined above) other than such other Person, Beneficially Owns, directly or indirectly, more than 50% of the voting power of our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 majority of the members of our Board of Directors are not Continuing Directors. </w:t>
            </w:r>
          </w:p>
        </w:tc>
      </w:tr>
    </w:tbl>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xml:space="preserve">” means the occurrence of both a Change of Control and a Ratings Decline. </w:t>
      </w:r>
    </w:p>
    <w:p>
      <w:pPr>
        <w:pStyle w:val="TextBody"/>
        <w:bidi w:val="0"/>
        <w:spacing w:before="240" w:after="0"/>
        <w:jc w:val="left"/>
        <w:rPr/>
      </w:pPr>
      <w:r>
        <w:rPr/>
        <w:t>“</w:t>
      </w:r>
      <w:r>
        <w:rPr>
          <w:rFonts w:ascii="Times New Roman" w:hAnsi="Times New Roman"/>
          <w:i/>
          <w:sz w:val="20"/>
        </w:rPr>
        <w:t>Commodity Agreement</w:t>
      </w:r>
      <w:r>
        <w:rPr>
          <w:rFonts w:ascii="Times New Roman" w:hAnsi="Times New Roman"/>
          <w:sz w:val="20"/>
        </w:rPr>
        <w:t xml:space="preserve">” of any Person means any commodity forward contract, commodity swap agreement, commodity option agreement or other similar agreement or arrangement to which such Person is a party. </w:t>
      </w:r>
    </w:p>
    <w:p>
      <w:pPr>
        <w:pStyle w:val="TextBody"/>
        <w:bidi w:val="0"/>
        <w:spacing w:before="240" w:after="0"/>
        <w:jc w:val="left"/>
        <w:rPr/>
      </w:pPr>
      <w:r>
        <w:rPr/>
        <w:t>“</w:t>
      </w:r>
      <w:r>
        <w:rPr>
          <w:rFonts w:ascii="Times New Roman" w:hAnsi="Times New Roman"/>
          <w:i/>
          <w:sz w:val="20"/>
        </w:rPr>
        <w:t>Continuing Director</w:t>
      </w:r>
      <w:r>
        <w:rPr>
          <w:rFonts w:ascii="Times New Roman" w:hAnsi="Times New Roman"/>
          <w:sz w:val="20"/>
        </w:rPr>
        <w:t xml:space="preserve">” means, as of any date of determination, any member of our Board of Directors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a member of such Board of Directors on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nominated for election or elected to such Board of Directors with the approval of a majority of the Continuing Directors who were members of such Board at the time of such nomination or election. </w:t>
            </w:r>
          </w:p>
        </w:tc>
      </w:tr>
    </w:tbl>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Lunken Operations Center, 5065 Wooster Road, MA-DM-CMNB, Cincinnati, OH 45226, Attention: Ivy L. Wegener, Vice President, or such other address as the trustee may designate from time to time by notice to the holders of the notes and us, or the principal corporate trust office of any successor trustee (or such other address as such successor trustee may designate from time to time by notice to the holders of the notes and us). </w:t>
      </w:r>
    </w:p>
    <w:p>
      <w:pPr>
        <w:pStyle w:val="TextBody"/>
        <w:bidi w:val="0"/>
        <w:spacing w:before="240" w:after="0"/>
        <w:jc w:val="left"/>
        <w:rPr/>
      </w:pPr>
      <w:r>
        <w:rPr/>
        <w:t>“</w:t>
      </w:r>
      <w:r>
        <w:rPr>
          <w:rFonts w:ascii="Times New Roman" w:hAnsi="Times New Roman"/>
          <w:i/>
          <w:sz w:val="20"/>
        </w:rPr>
        <w:t>Currency Agreement</w:t>
      </w:r>
      <w:r>
        <w:rPr>
          <w:rFonts w:ascii="Times New Roman" w:hAnsi="Times New Roman"/>
          <w:sz w:val="20"/>
        </w:rPr>
        <w:t xml:space="preserve">” of any Person means any foreign exchange contract, currency swap agreement or other similar agreement or arrangement as to which such Person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Disqualified Stock</w:t>
      </w:r>
      <w:r>
        <w:rPr>
          <w:rFonts w:ascii="Times New Roman" w:hAnsi="Times New Roman"/>
          <w:sz w:val="20"/>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Stated Maturity of the notes. </w:t>
      </w:r>
    </w:p>
    <w:p>
      <w:pPr>
        <w:pStyle w:val="TextBody"/>
        <w:bidi w:val="0"/>
        <w:spacing w:before="240" w:after="0"/>
        <w:jc w:val="left"/>
        <w:rPr/>
      </w:pPr>
      <w:r>
        <w:rPr/>
        <w:t>“</w:t>
      </w:r>
      <w:r>
        <w:rPr>
          <w:rFonts w:ascii="Times New Roman" w:hAnsi="Times New Roman"/>
          <w:i/>
          <w:sz w:val="20"/>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i/>
          <w:sz w:val="20"/>
        </w:rPr>
        <w:t>Fair Market Value</w:t>
      </w:r>
      <w:r>
        <w:rPr>
          <w:rFonts w:ascii="Times New Roman" w:hAnsi="Times New Roman"/>
          <w:sz w:val="20"/>
        </w:rPr>
        <w:t xml:space="preserve">” means, with respect to any asset, the price that (after taking into account any liabilities relating to such asset)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 </w:t>
      </w:r>
    </w:p>
    <w:p>
      <w:pPr>
        <w:pStyle w:val="TextBody"/>
        <w:bidi w:val="0"/>
        <w:spacing w:before="240" w:after="0"/>
        <w:jc w:val="left"/>
        <w:rPr/>
      </w:pPr>
      <w:r>
        <w:rPr/>
        <w:t>“</w:t>
      </w:r>
      <w:r>
        <w:rPr>
          <w:rFonts w:ascii="Times New Roman" w:hAnsi="Times New Roman"/>
          <w:i/>
          <w:sz w:val="20"/>
        </w:rPr>
        <w:t>First Par Call Date</w:t>
      </w:r>
      <w:r>
        <w:rPr>
          <w:rFonts w:ascii="Times New Roman" w:hAnsi="Times New Roman"/>
          <w:sz w:val="20"/>
        </w:rPr>
        <w:t xml:space="preserve">” means, with respect to the 2031 notes, August 15, 2031, with respect to the 2033 notes, July 15, 2033 and, with respect to the 2036 notes, June 15, 2036.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Inc. or any successor to the rating agency business thereof.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with respect to any Person, (a) any Subsidiary of such Person that is not organized or existing under the laws of, and whose principal business is conducted outside of, the United States, any state thereof, the District of Columbia, or any territory thereof (for purposes of this definition only, the “United States”), or (b) any Subsidiary of such Person that is organized or existing under the laws of the United States whose only material assets are the Capital Stock of Foreign Subsidiaries meeting clause (a) of this definition.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set forth in the standards,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hAnsi="Times New Roman"/>
          <w:i/>
          <w:sz w:val="20"/>
        </w:rPr>
        <w:t>provided however</w:t>
      </w:r>
      <w:r>
        <w:rPr>
          <w:rFonts w:ascii="Times New Roman" w:hAnsi="Times New Roman"/>
          <w:sz w:val="20"/>
        </w:rPr>
        <w:t xml:space="preserve">, that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The term “Guarantee” used as a verb has a corresponding meaning.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any indebtedness of such Person, whether or not contingent: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borrowed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evidenced by bonds, notes, debentures or similar instruments or letters of credit (or reimbursement agreements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banker’s acceptances;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Capital Lease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the balance deferred and unpaid of the purchase price of any property, except any such balance that constitutes an accrued expense or trade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obligations under any Interest Rate Agreements, Commodity Agreements and Currency Agreements except for those entered into for the purpose of fixing, hedging or swapping interest rate, commodity price or foreign currency exchange risk;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Disqualified Stock issued by such Person with the amount of Indebtedness represented by such Disqualified Stock being equal to the greater of its voluntary or involuntary liquidation preference and its maximum fixed repurchase price, but excluding accrued dividends, if any; </w:t>
            </w:r>
            <w:r>
              <w:rPr>
                <w:rFonts w:ascii="Times New Roman" w:hAnsi="Times New Roman"/>
                <w:i/>
                <w:sz w:val="20"/>
              </w:rPr>
              <w:t xml:space="preserve">provided </w:t>
            </w:r>
            <w:r>
              <w:rPr>
                <w:rFonts w:ascii="Times New Roman" w:hAnsi="Times New Roman"/>
                <w:sz w:val="20"/>
              </w:rPr>
              <w:t xml:space="preserve">that (a) if the Disqualified Stock does not have a fixed repurchase price, such maximum fixed repurchase price shall be calculated in accordance with the terms of the Disqualified Stock as if the Disqualified Stock were purchased on any date on which Indebtedness shall be required to be determined pursuant to the indenture, and (b) if the maximum fixed repurchase price is based upon, or measured by, the fair market value of the Disqualified Stock, the fair market value shall be the Fair Market Value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to the extent any of the preceding items (other than letters of credit and obligations under Interest Rate Agreements, Commodity Agreements and Currency Agreements) would appear as a liability upon a balance sheet of such Person prepared in accordance with GAAP. In addition, the term “Indebtedness” includes all Indebtedness of others secured by a Lien on any asset of such Person whether or not such Indebtedness is assumed by such Person (the amount of such Indebtedness as of any date being deemed to be the lesser of the Fair Market Value of such property or assets as of such date or the principal amount of such Indebtedness of such other Person so secured) and, to the extent not otherwise included, the Guarantee by such Person of any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Indebtedness outstanding as of any date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accreted value of the Indebtedness, in the case of any Indebtedness issued with original issue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Indebtedness, together with any interest on the Indebtedness that is more than 30 days past due, in the case of any other Indebtedness. </w:t>
            </w:r>
          </w:p>
        </w:tc>
      </w:tr>
    </w:tbl>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for any period, all cash interest expense (including imputed interest with respect to Capital Lease Obligations and commitment fees) with respect to any of our Indebtedness and our Subsidiaries’ Indebtedness on a consolidated basis during such period pursuant to the terms of such Indebtedness. </w:t>
      </w:r>
    </w:p>
    <w:p>
      <w:pPr>
        <w:pStyle w:val="TextBody"/>
        <w:bidi w:val="0"/>
        <w:spacing w:before="240" w:after="0"/>
        <w:jc w:val="left"/>
        <w:rPr/>
      </w:pPr>
      <w:r>
        <w:rPr/>
        <w:t>“</w:t>
      </w:r>
      <w:r>
        <w:rPr>
          <w:rFonts w:ascii="Times New Roman" w:hAnsi="Times New Roman"/>
          <w:i/>
          <w:sz w:val="20"/>
        </w:rPr>
        <w:t>Interest Rate Agreement</w:t>
      </w:r>
      <w:r>
        <w:rPr>
          <w:rFonts w:ascii="Times New Roman" w:hAnsi="Times New Roman"/>
          <w:sz w:val="20"/>
        </w:rPr>
        <w:t xml:space="preserve">” of any Person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as to which such Person is a party.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greater than BBB- by S&amp;P and Fitch and Baa3 by Moody’s or the equivalent thereof under any new ratings system if the ratings system of any such agency shall be modified after the Issue Date, or the equivalent rating or any other Ratings Agency selected by us as provided in the definition of Ratings Agency.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 2026. </w:t>
      </w:r>
    </w:p>
    <w:p>
      <w:pPr>
        <w:pStyle w:val="TextBody"/>
        <w:bidi w:val="0"/>
        <w:spacing w:before="240" w:after="0"/>
        <w:jc w:val="left"/>
        <w:rPr/>
      </w:pPr>
      <w:r>
        <w:rPr/>
        <w:t>“</w:t>
      </w:r>
      <w:r>
        <w:rPr>
          <w:rFonts w:ascii="Times New Roman" w:hAnsi="Times New Roman"/>
          <w:i/>
          <w:sz w:val="20"/>
        </w:rPr>
        <w:t>Licenses</w:t>
      </w:r>
      <w:r>
        <w:rPr>
          <w:rFonts w:ascii="Times New Roman" w:hAnsi="Times New Roman"/>
          <w:sz w:val="20"/>
        </w:rPr>
        <w:t xml:space="preserve">” means, collectively, any telephone, microwave, radio transmissions, personal communications or other license, authorization, certificate of compliance, franchise, approval or permit, whether for the construction, ownership or operation of any communications tower facilities, granted or issued by the Federal Communications Commission (or other similar or successor agency of the federal government administering the Communications Act of 1934 or any similar or successor federal statute) and held by us or any of our Subsidiaries.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property or assets, including Capital Stock,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Moody’s</w:t>
      </w:r>
      <w:r>
        <w:rPr>
          <w:rFonts w:ascii="Times New Roman" w:hAnsi="Times New Roman"/>
          <w:sz w:val="20"/>
        </w:rPr>
        <w:t xml:space="preserve">” means Moody’s Investors Services, Inc. or any successor to the rating agency business thereof.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for any period of determination, net income (loss) of us and our Subsidiaries, on a consolidated basis, determined in accordance with GAAP. </w:t>
      </w:r>
    </w:p>
    <w:p>
      <w:pPr>
        <w:pStyle w:val="TextBody"/>
        <w:bidi w:val="0"/>
        <w:spacing w:before="240" w:after="0"/>
        <w:jc w:val="left"/>
        <w:rPr/>
      </w:pPr>
      <w:r>
        <w:rPr/>
        <w:t>“</w:t>
      </w:r>
      <w:r>
        <w:rPr>
          <w:rFonts w:ascii="Times New Roman" w:hAnsi="Times New Roman"/>
          <w:i/>
          <w:sz w:val="20"/>
        </w:rPr>
        <w:t>Newly Created Subsidiary</w:t>
      </w:r>
      <w:r>
        <w:rPr>
          <w:rFonts w:ascii="Times New Roman" w:hAnsi="Times New Roman"/>
          <w:sz w:val="20"/>
        </w:rPr>
        <w:t xml:space="preserve">” means a newly created direct or indirect Subsidiary of us that is formed or organized after the Issue Date; </w:t>
      </w:r>
      <w:r>
        <w:rPr>
          <w:rFonts w:ascii="Times New Roman" w:hAnsi="Times New Roman"/>
          <w:i/>
          <w:sz w:val="20"/>
        </w:rPr>
        <w:t xml:space="preserve">provided </w:t>
      </w:r>
      <w:r>
        <w:rPr>
          <w:rFonts w:ascii="Times New Roman" w:hAnsi="Times New Roman"/>
          <w:sz w:val="20"/>
        </w:rPr>
        <w:t xml:space="preserve">that neither we nor any of our Subsidiaries shall have transferred, or may in the future transfer, any assets (other than cash or cash equivalents) to such Newly Created Subsidiary for so long as such Newly Created Subsidiary remains designated as an Unrestricted Subsidiary.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Company’s chairman of the Board of Directors, chief executive officer, president, chief operating officer, chief financial officer, chief accounting officer, any vice president, treasurer, any assistant treasurer, controller, any assistant controller, secretary or any assistant secretary.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with respect to any Person, a certificate signed by two Officers in accordance with the applicable provisions of the indenture. </w:t>
      </w:r>
    </w:p>
    <w:p>
      <w:pPr>
        <w:pStyle w:val="TextBody"/>
        <w:bidi w:val="0"/>
        <w:spacing w:before="240" w:after="0"/>
        <w:jc w:val="left"/>
        <w:rPr/>
      </w:pPr>
      <w:r>
        <w:rPr/>
        <w:t>“</w:t>
      </w:r>
      <w:r>
        <w:rPr>
          <w:rFonts w:ascii="Times New Roman" w:hAnsi="Times New Roman"/>
          <w:i/>
          <w:sz w:val="20"/>
        </w:rPr>
        <w:t>Permitted Amount</w:t>
      </w:r>
      <w:r>
        <w:rPr>
          <w:rFonts w:ascii="Times New Roman" w:hAnsi="Times New Roman"/>
          <w:sz w:val="20"/>
        </w:rPr>
        <w:t xml:space="preserve">” means, on any date, an amount equal to 3.5 times Adjusted EBITDA as of the most recent fiscal quarter for which our financial statements are internally available immediately preceding such date.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us or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Issue Date (other than those securing the SpectraSite ABS Facility) and renewals and replacements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assessments or governmental charges or claims that are not yet delinquent or that are being contested in good faith by appropriate proceedings promptly instituted and diligently conducted; </w:t>
            </w:r>
            <w:r>
              <w:rPr>
                <w:rFonts w:ascii="Times New Roman" w:hAnsi="Times New Roman"/>
                <w:i/>
                <w:sz w:val="20"/>
              </w:rPr>
              <w:t xml:space="preserve">provided </w:t>
            </w:r>
            <w:r>
              <w:rPr>
                <w:rFonts w:ascii="Times New Roman" w:hAnsi="Times New Roman"/>
                <w:sz w:val="20"/>
              </w:rPr>
              <w:t xml:space="preserve">that any reserve or other appropriate provision as shall be required in conformity with GAAP shall have been made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of carriers, warehousemen, mechanics, vendors (solely to the extent arising by operation of law), laborers and materialmen incurred in the ordinary course of business for sums not yet due or being diligently contested in good faith, if reserves or appropriate provisions shall have been made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in the ordinary course of business in connection with worker’s compensation and unemployment insurance, social security obligations, assessments or government charges which are not overdue for more than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transfer of Licenses or assets of us or any of our Subsidiaries imposed by any of the Licenses as in effect on the Issue Date or imposed by the Communications Act of 1934, any similar or successor federal statute or the rules and regulations of the Federal Communications Commission (or other similar or successor agency of the federal government administering such Act or successor statute) thereunder, all as the same may be in effect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by operation of law in favor of purchasers in connection with the sale of an asset; </w:t>
            </w:r>
            <w:r>
              <w:rPr>
                <w:rFonts w:ascii="Times New Roman" w:hAnsi="Times New Roman"/>
                <w:i/>
                <w:sz w:val="20"/>
              </w:rPr>
              <w:t>provided, however</w:t>
            </w:r>
            <w:r>
              <w:rPr>
                <w:rFonts w:ascii="Times New Roman" w:hAnsi="Times New Roman"/>
                <w:sz w:val="20"/>
              </w:rPr>
              <w:t xml:space="preserve">, that such Lien only encumbers the property being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performance of statutory obligations, surety or appeal bonds, performance bonds, bids or tenders;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judgment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connection with escrow or security deposits made in connection with any acquisition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since the Issue Date represented by Capital Lease Obligations, mortgage financings or purchase money obligations, in each case incurred for the purpose of financing all or any part of the purchase price or cost of construction or improvement of property, plant or equipment used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in any business of us or any of our Subsidiaries in an aggregate principal amount, including all Indebtedness incurred to refund, refinance or replace any other Indebtedness of the type described under this clause (11), not to exceed $500.0 million at any time outstanding for us and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obligations under Interest Rate Agreements, Commodity Agreements and Currency Agreements not for speculative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zoning restrictions, licenses or restrictions on use and other similar encumbrances on the use of real property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incurred in connection with the borrowing of money or the obtaining of advances or credit (other than trade credit in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in the aggregate materially detract from the value of the property or materially impair the use thereof in the operation of business by us and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us or any of our Subsidiaries at the time we or such Subsidiary acquired the property, including acquisition by means of a merger or consolidation with or into us or any Subsidiary, or an acquisition of assets, and any replacement thereof, </w:t>
            </w:r>
            <w:r>
              <w:rPr>
                <w:rFonts w:ascii="Times New Roman" w:hAnsi="Times New Roman"/>
                <w:i/>
                <w:sz w:val="20"/>
              </w:rPr>
              <w:t>provided, however</w:t>
            </w:r>
            <w:r>
              <w:rPr>
                <w:rFonts w:ascii="Times New Roman" w:hAnsi="Times New Roman"/>
                <w:sz w:val="20"/>
              </w:rPr>
              <w:t xml:space="preserve">, that such Liens are not created, incurred or assumed in connection with or in contemplation of such acquisition, and </w:t>
            </w:r>
            <w:r>
              <w:rPr>
                <w:rFonts w:ascii="Times New Roman" w:hAnsi="Times New Roman"/>
                <w:i/>
                <w:sz w:val="20"/>
              </w:rPr>
              <w:t xml:space="preserve">provided further </w:t>
            </w:r>
            <w:r>
              <w:rPr>
                <w:rFonts w:ascii="Times New Roman" w:hAnsi="Times New Roman"/>
                <w:sz w:val="20"/>
              </w:rPr>
              <w:t xml:space="preserve">that such Liens may not extend to any other property owned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and subleases of real or personal property in the ordinary course of business (for the avoidance of doubt, excluding sale and lease-back transactions) which do not materially interfere with the ordinary conduct of the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banker’s Liens, rights of set-off or similar rights and remedies as to deposit accounts or other funds maintained with a depositary institution;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a dedicated cash collateral account and is not subject to restrictions against access in excess of those set forth by regulations promulgated by the Federal Reserve Board or other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intended to provide collateral to the depositary institution. </w:t>
            </w:r>
          </w:p>
        </w:tc>
      </w:tr>
    </w:tbl>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association, joint stock company, trust, estate, unincorporated organization or government or other agency or political subdivision thereof or any other entity. </w:t>
      </w:r>
    </w:p>
    <w:p>
      <w:pPr>
        <w:pStyle w:val="TextBody"/>
        <w:bidi w:val="0"/>
        <w:spacing w:before="240" w:after="0"/>
        <w:jc w:val="left"/>
        <w:rPr/>
      </w:pPr>
      <w:r>
        <w:rPr/>
        <w:t>“</w:t>
      </w:r>
      <w:r>
        <w:rPr>
          <w:rFonts w:ascii="Times New Roman" w:hAnsi="Times New Roman"/>
          <w:i/>
          <w:sz w:val="20"/>
        </w:rPr>
        <w:t>Ratings Agencies</w:t>
      </w:r>
      <w:r>
        <w:rPr>
          <w:rFonts w:ascii="Times New Roman" w:hAnsi="Times New Roman"/>
          <w:sz w:val="20"/>
        </w:rPr>
        <w:t xml:space="preserve">” means (1) S&amp;P, Moody’s and Fitch; and (2) if any of S&amp;P, Moody’s and Fitch ceases to rate the notes or ceases to make a rating on the notes publicly available, an entity registered as a “nationally recognized statistical rating organization” (registered as such pursuant to Rule 17g-1 of the Exchange Act) then making a rating on the notes publicly available selected by us (as certified by an Officers’ Certificate), which shall be substituted for S&amp;P, Moody’s or Fitch, as the case may be. </w:t>
      </w:r>
    </w:p>
    <w:p>
      <w:pPr>
        <w:pStyle w:val="TextBody"/>
        <w:bidi w:val="0"/>
        <w:spacing w:before="240" w:after="0"/>
        <w:jc w:val="left"/>
        <w:rPr/>
      </w:pPr>
      <w:r>
        <w:rPr/>
        <w:t>“</w:t>
      </w:r>
      <w:r>
        <w:rPr>
          <w:rFonts w:ascii="Times New Roman" w:hAnsi="Times New Roman"/>
          <w:i/>
          <w:sz w:val="20"/>
        </w:rPr>
        <w:t>Ratings Decline</w:t>
      </w:r>
      <w:r>
        <w:rPr>
          <w:rFonts w:ascii="Times New Roman" w:hAnsi="Times New Roman"/>
          <w:sz w:val="20"/>
        </w:rPr>
        <w:t xml:space="preserve">” means the occurrence of the following on, or within 90 days after, the date of the public notice of the occurrence of a Change of Control or of the intention by us or any third party to effect a Change of Control (which period shall be extended for so long as the rating of the notes is under publicly announced consideration for possible downgrade by any of the Ratings Agencies if such period exceeds 90 days): (1) in the event that the notes have an Investment Grade Rating by all three Ratings Agencies, the notes cease to have an Investment Grade Rating by two of the three Rating Agencies, (2) in the event that the notes have an Investment Grade Rating by only two Ratings Agencies, the notes cease to have an Investment Grade Rating by both such Rating Agencies, or (3) in the event that the notes do not have an Investment Grade Rating, the rating of the notes by two of the three Ratings Agencies (or, if there are less than three Rating Agencies rating the notes, the rating of each Rating Agency) decreases by one or more gradations (including gradations within ratings categories as well as between rating categories) or is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or any successor to the rating agency business thereof. </w:t>
      </w:r>
    </w:p>
    <w:p>
      <w:pPr>
        <w:pStyle w:val="TextBody"/>
        <w:bidi w:val="0"/>
        <w:spacing w:before="240" w:after="0"/>
        <w:jc w:val="left"/>
        <w:rPr/>
      </w:pPr>
      <w:r>
        <w:rPr/>
        <w:t>“</w:t>
      </w:r>
      <w:r>
        <w:rPr>
          <w:rFonts w:ascii="Times New Roman" w:hAnsi="Times New Roman"/>
          <w:i/>
          <w:sz w:val="20"/>
        </w:rPr>
        <w:t>SpectraSite ABS Facility</w:t>
      </w:r>
      <w:r>
        <w:rPr>
          <w:rFonts w:ascii="Times New Roman" w:hAnsi="Times New Roman"/>
          <w:sz w:val="20"/>
        </w:rPr>
        <w:t xml:space="preserve">” means those certain mortgage loans more fully described in the Offering Memorandum dated March 8, 2023 regarding the $1,800.0 million Secured Tower Revenue Securities, Series 2018-1A and 2023-1A.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means, (1) with respect to any debt security, the date specified in such debt security as the fixed date on which the final installment of principal of such debt security is due and payable and (2) with respect to any scheduled installment of principal of or interest on any debt security, the date specified in such debt security as the fixed date on which such installment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(1) any corporation, limited liability company, association or other business entity of which more than 50% of the voting power of the outstanding Voting Stock is owned, directly or indirectly, by such Person and one or more other Subsidiaries of such Person or (2) any partnership (A) the sole general partner or the managing general partner of which is such Person or a Subsidiary of such Person or (B) the only general partners of which are such Person or one or more Subsidiaries of such Person (or any combination thereof). The term “Subsidiary” with respect to us shall not include any Unrestricted Subsidiary.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First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the Company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(a) any Foreign Subsidiary or Newly Created Subsidiary of us that is designated by the Board of Directors as an Unrestricted Subsidiary until such time as the Board of Directors may designate it to be a Subsidiary, </w:t>
      </w:r>
      <w:r>
        <w:rPr>
          <w:rFonts w:ascii="Times New Roman" w:hAnsi="Times New Roman"/>
          <w:i/>
          <w:sz w:val="20"/>
        </w:rPr>
        <w:t xml:space="preserve">provided </w:t>
      </w:r>
      <w:r>
        <w:rPr>
          <w:rFonts w:ascii="Times New Roman" w:hAnsi="Times New Roman"/>
          <w:sz w:val="20"/>
        </w:rPr>
        <w:t xml:space="preserve">that no Default or Event of Default would occur or be existing following such designation, and (b) any subsidiary of an Unrestricted Subsidiary. Any such designation by the Board of Directors shall be evidenced to the trustee by filing a Board Resolution with the trustee giving effect to such designation. At the time of designation of an Unrestricted Subsidiary as a Subsidiary, such Subsidiary shall be deemed to incur outstanding Indebtedness and grant any existing Liens.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normally entitled to vote in the election of the board of directors, managers or trustees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116122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BofA Securities, Inc., Citigroup Global Markets Inc., Morgan Stanley &amp; Co. LLC and Scotia Capital (USA) Inc.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88"/>
        <w:gridCol w:w="353"/>
        <w:gridCol w:w="140"/>
        <w:gridCol w:w="1073"/>
        <w:gridCol w:w="60"/>
        <w:gridCol w:w="353"/>
        <w:gridCol w:w="140"/>
        <w:gridCol w:w="1073"/>
        <w:gridCol w:w="60"/>
        <w:gridCol w:w="353"/>
        <w:gridCol w:w="140"/>
        <w:gridCol w:w="1073"/>
        <w:gridCol w:w="66"/>
      </w:tblGrid>
      <w:tr>
        <w:trPr/>
        <w:tc>
          <w:tcPr>
            <w:tcW w:w="368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53"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2031 Notes</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2033 Notes</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2036 Notes</w:t>
            </w:r>
          </w:p>
        </w:tc>
        <w:tc>
          <w:tcPr>
            <w:tcW w:w="66"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68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7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68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included in this offering are subject to, among other things, approval of legal matters by counsel and other conditions. The underwriters are obligated to purchase all the notes if they purchase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initial public offering prices set forth on the cover of this prospectus supplement. Any 2031 notes sold by the underwriters to securities dealers may be sold at a selling concession from the initial public offering price not in excess of  % of the principal amount of the 2031 notes. Any 2033 notes sold by the underwriters to securities dealers may be sold at a selling concession from the initial public offering price not in excess of   % of the principal amount of the 2033 notes. Any 2036 notes sold by the underwriters to securities dealers may be sold at a selling concession from the initial public offering price not in excess of   % of the principal amount of the 2036 notes. Any such securities dealers may resell any 2031 notes purchased from the underwriters to certain other brokers or dealers at a discount from the initial public offering price not in excess of   % of the principal amount of the 2031 notes. Any such securities dealers may resell any 2033 notes purchased from the underwriters to certain other brokers or dealers at a discount from the initial public offering price not in excess of   % of the principal amount of the 2033 notes. Any such securities dealers may resell any 2036 notes purchased from the underwriters to certain other brokers or dealers at a discount from the initial public offering price not in excess of  % of the principal amount of the 2036 notes. If all the notes are not sold at the initial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delivery of the notes will be made against payment on     , 2026, which is the third business day following the date of this prospectus supplement (this settlement cycle being referred to as “T+3”). Under Rule 15c6-1 of the Exchange Act, trades in the secondary market generally are required to settle in one business day, unless the parties to the trade expressly agree otherwise. Accordingly, purchasers who wish to trade the notes on the date of this prospectus supplement or the following business day will be required, by virtue of the fact that the notes initially will settle in T+3, to specify an alternate settlement cycle at the time of any such trade to prevent a failed settlement and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and commissions that we are to pay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31"/>
        <w:gridCol w:w="697"/>
        <w:gridCol w:w="109"/>
        <w:gridCol w:w="918"/>
        <w:gridCol w:w="284"/>
      </w:tblGrid>
      <w:tr>
        <w:trPr/>
        <w:tc>
          <w:tcPr>
            <w:tcW w:w="4931" w:type="dxa"/>
            <w:tcBorders/>
            <w:vAlign w:val="center"/>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931"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American</w:t>
              <w:br/>
              <w:t>Tower</w:t>
            </w:r>
          </w:p>
        </w:tc>
        <w:tc>
          <w:tcPr>
            <w:tcW w:w="284"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2031 note</w:t>
            </w:r>
          </w:p>
        </w:tc>
        <w:tc>
          <w:tcPr>
            <w:tcW w:w="69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r>
      <w:tr>
        <w:trPr/>
        <w:tc>
          <w:tcPr>
            <w:tcW w:w="4931" w:type="dxa"/>
            <w:tcBorders/>
          </w:tcPr>
          <w:p>
            <w:pPr>
              <w:pStyle w:val="TableContents"/>
              <w:bidi w:val="0"/>
              <w:spacing w:before="0" w:after="0"/>
              <w:jc w:val="left"/>
              <w:rPr>
                <w:rFonts w:ascii="Times New Roman" w:hAnsi="Times New Roman"/>
                <w:sz w:val="20"/>
              </w:rPr>
            </w:pPr>
            <w:r>
              <w:rPr>
                <w:rFonts w:ascii="Times New Roman" w:hAnsi="Times New Roman"/>
                <w:sz w:val="20"/>
              </w:rPr>
              <w:t>Per 2033 note</w:t>
            </w:r>
          </w:p>
        </w:tc>
        <w:tc>
          <w:tcPr>
            <w:tcW w:w="697"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r>
      <w:tr>
        <w:trPr/>
        <w:tc>
          <w:tcPr>
            <w:tcW w:w="4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2036 note</w:t>
            </w:r>
          </w:p>
        </w:tc>
        <w:tc>
          <w:tcPr>
            <w:tcW w:w="697"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that our total expenses for this offering will be approximately $    million. We have entered into an agreement with the underwriters regarding a reimbursement of approximately $    million of our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(or persons acting on their behalf) may purchase and sell notes in the open market. Purchases and sales in the open market may include short sales, purchases to cover short positions, stabilizing purchases and penalty bids.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involve secondary market sales by the underwriters of a greater number of notes than they are required to purchase in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Covering transactions involve purchases of notes in the open market after the distribution has been completed in order to cover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Stabilizing transactions involve bids to purchase notes so long as the stabilizing bids do not exceed a specified maximum.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Penalty bids permit the representatives to reclaim a selling concession from an underwriter when the notes originally sold by the underwriter are purchased in a stabilizing transaction or a syndicate covering transaction to cover syndicate short positions.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However, there is no assurance that the underwriters (or persons acting on their behalf) will undertake stabilization action. Any stabilization action may begin on or after the date on which adequate public disclosure of the terms of the offer of the relevant notes is made and, if begun, may be ended at any time, but it must end no later than the earlier of 30 days after the issue date of the notes and 60 days after the date of allotment of the relevant notes. Any of these activities must be conducted by the relevant underwriters (or persons acting on their behalf) in accordance with all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performed commercial banking, investment banking and advisory services for us from time to time for which they have received customary fees and reimbursement of expenses. The underwriters may, from time to time, engage in transactions with and perform services for us in the ordinary course of their business for which they may receive customary fees and reimbursement of expenses. In addition, 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 xml:space="preserve">Prospectus Exemptions </w:t>
      </w:r>
      <w:r>
        <w:rPr>
          <w:rFonts w:ascii="Times New Roman" w:hAnsi="Times New Roman"/>
          <w:sz w:val="20"/>
        </w:rPr>
        <w:t xml:space="preserve">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 xml:space="preserve">Underwriting Conflicts </w:t>
      </w:r>
      <w:r>
        <w:rPr>
          <w:rFonts w:ascii="Times New Roman" w:hAnsi="Times New Roman"/>
          <w:sz w:val="20"/>
        </w:rPr>
        <w:t xml:space="preserve">(NI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i/>
          <w:sz w:val="20"/>
        </w:rPr>
      </w:pPr>
      <w:r>
        <w:rPr>
          <w:rFonts w:ascii="Times New Roman" w:hAnsi="Times New Roman"/>
          <w:i/>
          <w:sz w:val="20"/>
        </w:rPr>
        <w:t xml:space="preserve">Prohibition of Sales to EEA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sold or otherwise made available and will not offer, sell or otherwise make available any notes to any retail investor in any Member State of the European Economic Area (“EEA”) (in each case, a “Relevant State”).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one (or more)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Directive 2014/65/EU (as amended, “MiFID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Directive (EU) 2016/97 (as amended, the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Article 2 of the Regulation (EU) 2017/1129 (as amended,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State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notes is: (1) a “qualified investor” within the meaning of Article 2(e) of the Prospectus Regulation; and (2) not a “retail investor” (as defined above).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EEA. Consequently, no key information document required by Regulation (EU) No 1286/2014 (as amended, the “PRIIPs Regulation”) for offering or selling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warranted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any notes in circumstances in which Section 21(1) of the FSMA does not apply to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notes in, from or otherwise involving the United Kingdom (“UK”).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only being distributed to, and are only directed at: (i) persons who are outside the UK; (ii) investment professionals falling within Article 19(5) of the Financial Services and Markets Act 2000 (Financial Promotion) Order 2005 (as amended, the “Order”); or (iii) high net worth companies, and other persons to whom it may lawfully be communicated, falling within Article 49(2)(a) to (d) of the Order (all such persons together being referred to as “relevant persons”). 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bidi w:val="0"/>
        <w:spacing w:before="240" w:after="0"/>
        <w:jc w:val="left"/>
        <w:rPr>
          <w:rFonts w:ascii="Times New Roman" w:hAnsi="Times New Roman"/>
          <w:sz w:val="20"/>
        </w:rPr>
      </w:pPr>
      <w:r>
        <w:rPr>
          <w:rFonts w:ascii="Times New Roman" w:hAnsi="Times New Roman"/>
          <w:sz w:val="20"/>
        </w:rPr>
        <w:t>References in this section titled “</w:t>
      </w:r>
      <w:r>
        <w:rPr>
          <w:rFonts w:ascii="Times New Roman" w:hAnsi="Times New Roman"/>
          <w:i/>
          <w:sz w:val="20"/>
        </w:rPr>
        <w:t>Notice to Prospective Investors in the United Kingdom</w:t>
      </w:r>
      <w:r>
        <w:rPr>
          <w:rFonts w:ascii="Times New Roman" w:hAnsi="Times New Roman"/>
          <w:sz w:val="20"/>
        </w:rPr>
        <w:t xml:space="preserve">” to UK legislation include any successor legislation to that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Prohibition of Sales to UK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sold, distributed or otherwise made available and will not offer, sell, distribute or otherwise make available any notes to any retail investor in the UK.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either one (or both)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professional client, as defined in point (8) of Article 2(1) of Regulation (EU) No 600/2014 as it forms part of domestic law by virtue of the European Union (Withdrawal) Act 2018 (as amended, and together with any statutory instruments made in exercise of the powers conferred by such Act, the “EUWA”);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paragraph 15 of Schedule 1 to the Public Offers and Admissions to Trading Regulations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notes is: (1) a “qualified investor” as defined in paragraph 15 of Schedule 1 to the Public Offers and Admissions to Trading Regulations 2024; and (2) not a “retail investor” (as defined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or otherwise made available to any retail investor in the UK. Consequently no disclosure document required by the FCA Product Disclosure Sourcebook (“DISC”) for offering, selling or distributing the notes or otherwise making them available to retail investors in the UK has been prepared and therefore offering or selling the notes or otherwise making them available to any retail investor in the UK may be unlawful under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References in this section titled “</w:t>
      </w:r>
      <w:r>
        <w:rPr>
          <w:rFonts w:ascii="Times New Roman" w:hAnsi="Times New Roman"/>
          <w:i/>
          <w:sz w:val="20"/>
        </w:rPr>
        <w:t>Prohibition of Sales to UK Retail Investors</w:t>
      </w:r>
      <w:r>
        <w:rPr>
          <w:rFonts w:ascii="Times New Roman" w:hAnsi="Times New Roman"/>
          <w:sz w:val="20"/>
        </w:rPr>
        <w:t xml:space="preserve">” to UK legislation include any successor legislation to that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or sold and will not offer or sell in Hong Kong, by means of any document, any notes other than (i) to “professional investors” as defined in the Securities and Futures Ordinance (Cap. 571 of the Laws of Hong Kong) (the “SFO”) and any rules made thereunder, or (ii) in other circumstances which do not result in the document being a “prospectus” as defined in the Companies (Winding Up and Miscellaneous Provisions) Ordinance (Cap. 32 of the Laws of Hong Kong) or which do not constitute an offer to the public within the meaning thereof, and that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and each underwriter has represented and agreed that it has not offered or sold and will not offer or sell any notes,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Netherlands </w:t>
      </w:r>
    </w:p>
    <w:p>
      <w:pPr>
        <w:pStyle w:val="TextBody"/>
        <w:bidi w:val="0"/>
        <w:spacing w:before="120" w:after="0"/>
        <w:jc w:val="left"/>
        <w:rPr>
          <w:rFonts w:ascii="Times New Roman" w:hAnsi="Times New Roman"/>
          <w:sz w:val="20"/>
        </w:rPr>
      </w:pPr>
      <w:r>
        <w:rPr>
          <w:rFonts w:ascii="Times New Roman" w:hAnsi="Times New Roman"/>
          <w:sz w:val="20"/>
        </w:rPr>
        <w:t>Each underwriter, severally and not jointly, has agreed that it has not offered or sold, and will not offer or sell, the notes to the public in The Netherlands, other than exclusively to qualified investors (</w:t>
      </w:r>
      <w:r>
        <w:rPr>
          <w:rFonts w:ascii="Times New Roman" w:hAnsi="Times New Roman"/>
          <w:i/>
          <w:sz w:val="20"/>
        </w:rPr>
        <w:t>gekwalificeerde</w:t>
      </w:r>
      <w:r>
        <w:rPr>
          <w:rFonts w:ascii="Times New Roman" w:hAnsi="Times New Roman"/>
          <w:sz w:val="20"/>
        </w:rPr>
        <w:t xml:space="preserve"> </w:t>
      </w:r>
      <w:r>
        <w:rPr>
          <w:rFonts w:ascii="Times New Roman" w:hAnsi="Times New Roman"/>
          <w:i/>
          <w:sz w:val="20"/>
        </w:rPr>
        <w:t>beleggers</w:t>
      </w:r>
      <w:r>
        <w:rPr>
          <w:rFonts w:ascii="Times New Roman" w:hAnsi="Times New Roman"/>
          <w:sz w:val="20"/>
        </w:rPr>
        <w:t>) within the meaning of the Financial Supervision Act (</w:t>
      </w:r>
      <w:r>
        <w:rPr>
          <w:rFonts w:ascii="Times New Roman" w:hAnsi="Times New Roman"/>
          <w:i/>
          <w:sz w:val="20"/>
        </w:rPr>
        <w:t>Wet op het financieel toezicht</w:t>
      </w:r>
      <w:r>
        <w:rPr>
          <w:rFonts w:ascii="Times New Roman" w:hAnsi="Times New Roman"/>
          <w:sz w:val="20"/>
        </w:rPr>
        <w:t xml:space="preserve">).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this prospectus supplement and the accompanying prospectus have not been and will not be registered as a prospectus with the Monetary Authority of Singapore (“MAS”) under the SFA. Accordingly, each underwriter represents and agrees that it has not offered or sold any notes or caused such notes to be made the subject of an invitation for subscription or purchase and will not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sell any notes or cause such notes to be made the subject of an invitation for subscription or purchase, and has not circulated or distributed, nor will it circulate or distribute, this prospectus supplement, the accompanying prospectus and any other document or material in connection with the offer or sale, or invitation for subscription or purchase, of the notes, whether directly or indirectly, to any person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Any reference to the “SFA” is a reference to the Securities and Futures Act 2001 of Singapore, as modified or 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Company has determined, and hereby notifies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(the “FinSA”) and will not be admitted to trading on any trading venue (exchange or multilateral trading facility) in Switzerland. Neither this prospectus supplement and the accompanying prospectus (including any amendment thereto) nor any final terms nor any other offering or marketing material relating to the notes (x) constitutes a prospectus as such term is understood pursuant to the FinSA or (y) has been or will be filed with or approved by a Swiss review body pursuant to article 52 of the FinSA, and neither this prospectus supplement and the accompanying prospectus (including any amendment thereto) nor any final terms nor any other offering or marketing material relating to the notes may be publicly distributed or otherwise made publicly available in Switzerland. No key information document or basic information document pursuant to article 58 (1) of the FinSA (or any equivalent document under the FinSA) has been or will be prepared in relation to any notes and, therefore, any notes with a derivative character within the meaning of article 86 (2) of the Swiss Financial Services Ordinance may not be offered or recommended to private clients within the meaning of the FinSA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116122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validity of the notes for American Tower. Sullivan &amp; Worcester LLP, Boston, Massachusetts, has passed upon our qualification and taxation as a REIT in an opinion filed with the registration statement of which the accompanying prospectus is a part. Certain other legal matters will be passed upon for American Tower by Ruth T. Dowling, Esq., Executive Vice President and General Counsel of American Tower. Certain legal matters with respect to the offering of the notes will be passed upon for the underwriters by Gibson, Dunn &amp; Crutcher LLP, New York, New York. </w:t>
      </w:r>
    </w:p>
    <w:p>
      <w:pPr>
        <w:pStyle w:val="TextBody"/>
        <w:bidi w:val="0"/>
        <w:spacing w:before="480" w:after="0"/>
        <w:jc w:val="center"/>
        <w:rPr>
          <w:rFonts w:ascii="Times New Roman" w:hAnsi="Times New Roman"/>
          <w:b/>
          <w:sz w:val="20"/>
        </w:rPr>
      </w:pPr>
      <w:bookmarkStart w:id="13" w:name="supptoc116122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supplement by reference to our Annual Report on Form 10-K for the year ended December 31, 2025, and the effectiveness of our internal control over financial reporting as of December 31, 2025,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oc116122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Please note that the SEC’s website is included in this prospectus supplement and the accompanying prospectus as an inactive textual reference only. The information contained on the SEC’s website is not incorporated by reference into this prospectus supplement or the accompanying prospectus and should not be considered to be part of this prospectus supplement or the accompanying prospectus, except as described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certain information we file with the SEC, which means that we can disclose important information to you by referring you to those documents. The information incorporated by reference is an important part of this prospectus supplement and the accompanying prospectus. Certain information that we subsequently file with the SEC will automatically update and supersede information in this prospectus supplement, the accompanying prospectus and in our other filings with the SEC. We incorporate by reference the documents listed below, which we have already filed with the SEC, and any future filings we make with the SEC under Sections 13(a), 13(c), 14 or 15(d) of the Exchange Act, until all the notes offered by this prospectus supplement have been sold and all conditions to the consummation of such sales have been satisfied, except that we are not incorporating any information that has been or will be furnished (and not filed) with the SEC, unless such information is expressly incorporated herein or in the accompanying prospectus by a reference to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4">
              <w:r>
                <w:rPr>
                  <w:rStyle w:val="InternetLink"/>
                  <w:rFonts w:ascii="Times New Roman" w:hAnsi="Times New Roman"/>
                  <w:sz w:val="20"/>
                </w:rPr>
                <w:t>April  28, 2026</w:t>
              </w:r>
            </w:hyperlink>
            <w:r>
              <w:rPr>
                <w:rFonts w:ascii="Times New Roman" w:hAnsi="Times New Roman"/>
                <w:sz w:val="20"/>
              </w:rPr>
              <w:t xml:space="preserve"> and </w:t>
            </w:r>
            <w:hyperlink r:id="rId5">
              <w:r>
                <w:rPr>
                  <w:rStyle w:val="InternetLink"/>
                  <w:rFonts w:ascii="Times New Roman" w:hAnsi="Times New Roman"/>
                  <w:sz w:val="20"/>
                </w:rPr>
                <w:t>July 28,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w:t>
            </w:r>
            <w:hyperlink r:id="rId6">
              <w:r>
                <w:rPr>
                  <w:rStyle w:val="InternetLink"/>
                  <w:rFonts w:ascii="Times New Roman" w:hAnsi="Times New Roman"/>
                  <w:sz w:val="20"/>
                </w:rPr>
                <w:t>Definitive Proxy Statement</w:t>
              </w:r>
            </w:hyperlink>
            <w:r>
              <w:rPr>
                <w:rFonts w:ascii="Times New Roman" w:hAnsi="Times New Roman"/>
                <w:sz w:val="20"/>
              </w:rPr>
              <w:t xml:space="preserve"> filed with the SEC on April 8, 2026, as supplemented by the </w:t>
            </w:r>
            <w:hyperlink r:id="rId7">
              <w:r>
                <w:rPr>
                  <w:rStyle w:val="InternetLink"/>
                  <w:rFonts w:ascii="Times New Roman" w:hAnsi="Times New Roman"/>
                  <w:sz w:val="20"/>
                </w:rPr>
                <w:t>proxy supplement</w:t>
              </w:r>
            </w:hyperlink>
            <w:r>
              <w:rPr>
                <w:rFonts w:ascii="Times New Roman" w:hAnsi="Times New Roman"/>
                <w:sz w:val="20"/>
              </w:rPr>
              <w:t xml:space="preserve"> filed with the SEC on April 28, 2026, pursuant to Section 14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January  28, 2026</w:t>
              </w:r>
            </w:hyperlink>
            <w:r>
              <w:rPr>
                <w:rFonts w:ascii="Times New Roman" w:hAnsi="Times New Roman"/>
                <w:sz w:val="20"/>
              </w:rPr>
              <w:t xml:space="preserve">, </w:t>
            </w:r>
            <w:hyperlink r:id="rId9">
              <w:r>
                <w:rPr>
                  <w:rStyle w:val="InternetLink"/>
                  <w:rFonts w:ascii="Times New Roman" w:hAnsi="Times New Roman"/>
                  <w:sz w:val="20"/>
                </w:rPr>
                <w:t>January  29, 2026</w:t>
              </w:r>
            </w:hyperlink>
            <w:r>
              <w:rPr>
                <w:rFonts w:ascii="Times New Roman" w:hAnsi="Times New Roman"/>
                <w:sz w:val="20"/>
              </w:rPr>
              <w:t xml:space="preserve">, </w:t>
            </w:r>
            <w:hyperlink r:id="rId10">
              <w:r>
                <w:rPr>
                  <w:rStyle w:val="InternetLink"/>
                  <w:rFonts w:ascii="Times New Roman" w:hAnsi="Times New Roman"/>
                  <w:sz w:val="20"/>
                </w:rPr>
                <w:t>February  27, 2026</w:t>
              </w:r>
            </w:hyperlink>
            <w:r>
              <w:rPr>
                <w:rFonts w:ascii="Times New Roman" w:hAnsi="Times New Roman"/>
                <w:sz w:val="20"/>
              </w:rPr>
              <w:t xml:space="preserve">, </w:t>
            </w:r>
            <w:hyperlink r:id="rId11">
              <w:r>
                <w:rPr>
                  <w:rStyle w:val="InternetLink"/>
                  <w:rFonts w:ascii="Times New Roman" w:hAnsi="Times New Roman"/>
                  <w:sz w:val="20"/>
                </w:rPr>
                <w:t>March  5, 2026</w:t>
              </w:r>
            </w:hyperlink>
            <w:r>
              <w:rPr>
                <w:rFonts w:ascii="Times New Roman" w:hAnsi="Times New Roman"/>
                <w:sz w:val="20"/>
              </w:rPr>
              <w:t xml:space="preserve">, </w:t>
            </w:r>
            <w:hyperlink r:id="rId12">
              <w:r>
                <w:rPr>
                  <w:rStyle w:val="InternetLink"/>
                  <w:rFonts w:ascii="Times New Roman" w:hAnsi="Times New Roman"/>
                  <w:sz w:val="20"/>
                </w:rPr>
                <w:t>March  10, 2026</w:t>
              </w:r>
            </w:hyperlink>
            <w:r>
              <w:rPr>
                <w:rFonts w:ascii="Times New Roman" w:hAnsi="Times New Roman"/>
                <w:sz w:val="20"/>
              </w:rPr>
              <w:t xml:space="preserve">, </w:t>
            </w:r>
            <w:hyperlink r:id="rId13">
              <w:r>
                <w:rPr>
                  <w:rStyle w:val="InternetLink"/>
                  <w:rFonts w:ascii="Times New Roman" w:hAnsi="Times New Roman"/>
                  <w:sz w:val="20"/>
                </w:rPr>
                <w:t>May  7, 2026</w:t>
              </w:r>
            </w:hyperlink>
            <w:r>
              <w:rPr>
                <w:rFonts w:ascii="Times New Roman" w:hAnsi="Times New Roman"/>
                <w:sz w:val="20"/>
              </w:rPr>
              <w:t xml:space="preserve">, </w:t>
            </w:r>
            <w:hyperlink r:id="rId14">
              <w:r>
                <w:rPr>
                  <w:rStyle w:val="InternetLink"/>
                  <w:rFonts w:ascii="Times New Roman" w:hAnsi="Times New Roman"/>
                  <w:sz w:val="20"/>
                </w:rPr>
                <w:t>May  19, 2026</w:t>
              </w:r>
            </w:hyperlink>
            <w:r>
              <w:rPr>
                <w:rFonts w:ascii="Times New Roman" w:hAnsi="Times New Roman"/>
                <w:sz w:val="20"/>
              </w:rPr>
              <w:t xml:space="preserve">, </w:t>
            </w:r>
            <w:hyperlink r:id="rId15">
              <w:r>
                <w:rPr>
                  <w:rStyle w:val="InternetLink"/>
                  <w:rFonts w:ascii="Times New Roman" w:hAnsi="Times New Roman"/>
                  <w:sz w:val="20"/>
                </w:rPr>
                <w:t>May  21, 2026</w:t>
              </w:r>
            </w:hyperlink>
            <w:r>
              <w:rPr>
                <w:rFonts w:ascii="Times New Roman" w:hAnsi="Times New Roman"/>
                <w:sz w:val="20"/>
              </w:rPr>
              <w:t xml:space="preserve">, </w:t>
            </w:r>
            <w:hyperlink r:id="rId16">
              <w:r>
                <w:rPr>
                  <w:rStyle w:val="InternetLink"/>
                  <w:rFonts w:ascii="Times New Roman" w:hAnsi="Times New Roman"/>
                  <w:sz w:val="20"/>
                </w:rPr>
                <w:t>May  27, 2026</w:t>
              </w:r>
            </w:hyperlink>
            <w:r>
              <w:rPr>
                <w:rFonts w:ascii="Times New Roman" w:hAnsi="Times New Roman"/>
                <w:sz w:val="20"/>
              </w:rPr>
              <w:t xml:space="preserve">, </w:t>
            </w:r>
            <w:hyperlink r:id="rId17">
              <w:r>
                <w:rPr>
                  <w:rStyle w:val="InternetLink"/>
                  <w:rFonts w:ascii="Times New Roman" w:hAnsi="Times New Roman"/>
                  <w:sz w:val="20"/>
                </w:rPr>
                <w:t>June  2, 2026</w:t>
              </w:r>
            </w:hyperlink>
            <w:r>
              <w:rPr>
                <w:rFonts w:ascii="Times New Roman" w:hAnsi="Times New Roman"/>
                <w:sz w:val="20"/>
              </w:rPr>
              <w:t xml:space="preserve">, and </w:t>
            </w:r>
            <w:hyperlink r:id="rId18">
              <w:r>
                <w:rPr>
                  <w:rStyle w:val="InternetLink"/>
                  <w:rFonts w:ascii="Times New Roman" w:hAnsi="Times New Roman"/>
                  <w:sz w:val="20"/>
                </w:rPr>
                <w:t>June 4,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222 Berkeley Street, Boston, Massachusetts 02116, Tel: +1 (617) 375-7500,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666875" cy="831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666875" cy="8312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Guarantees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we may offer, issue and sell from time to time, or that may be sold by selling securityholders from time to time, together or separately: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debt or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securities may be offered together or separately and in one or more series, if any, in amounts, at prices and on other terms to be determined at the time of the offering and described in an accompanying prospectus supplement. You should read this prospectus and any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a prospectus supplement, none of these securities other than our common stock will be listed on any securities exchange. Our common stock is listed on the New York Stock Exchange under the symbol “AMT.”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through underwriting syndicates managed or co-managed by one or more underwriters, or directly to purchasers, on a continuous or delayed basis. The prospectus supplement for each offering of securities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selling securityholder resells any securities, the selling securityholder may be required to provide you with this prospectus and a prospectus supplement identifying and containing specific information about the selling securityholder and the terms of the securities being offered.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the offered securities involves risks. You should consider the risk factors described in any applicable prospectus supplement and </w:t>
      </w:r>
      <w:r>
        <w:rPr>
          <w:rFonts w:ascii="Times New Roman" w:hAnsi="Times New Roman"/>
          <w:b/>
          <w:sz w:val="24"/>
          <w:u w:val="single"/>
        </w:rPr>
        <w:t>in the documents w</w:t>
      </w:r>
      <w:r>
        <w:rPr>
          <w:rFonts w:ascii="Times New Roman" w:hAnsi="Times New Roman"/>
          <w:b/>
          <w:sz w:val="24"/>
        </w:rPr>
        <w:t xml:space="preserve">e incorporate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or any applicable prospectus supplement.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June 2,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116122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
              <w:r>
                <w:rPr>
                  <w:rStyle w:val="InternetLink"/>
                  <w:rFonts w:ascii="Times New Roman" w:hAnsi="Times New Roman"/>
                  <w:sz w:val="20"/>
                </w:rPr>
                <w:t>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3">
              <w:r>
                <w:rPr>
                  <w:rStyle w:val="InternetLink"/>
                  <w:rFonts w:ascii="Times New Roman" w:hAnsi="Times New Roman"/>
                  <w:sz w:val="20"/>
                </w:rPr>
                <w:t>American Tower Corporation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6">
              <w:r>
                <w:rPr>
                  <w:rStyle w:val="InternetLink"/>
                  <w:rFonts w:ascii="Times New Roman" w:hAnsi="Times New Roman"/>
                  <w:sz w:val="20"/>
                </w:rPr>
                <w:t>Description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7">
              <w:r>
                <w:rPr>
                  <w:rStyle w:val="InternetLink"/>
                  <w:rFonts w:ascii="Times New Roman" w:hAnsi="Times New Roman"/>
                  <w:sz w:val="20"/>
                </w:rPr>
                <w:t>Description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8">
              <w:r>
                <w:rPr>
                  <w:rStyle w:val="InternetLink"/>
                  <w:rFonts w:ascii="Times New Roman" w:hAnsi="Times New Roman"/>
                  <w:sz w:val="20"/>
                </w:rPr>
                <w:t>Description of Preferred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9">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0">
              <w:r>
                <w:rPr>
                  <w:rStyle w:val="InternetLink"/>
                  <w:rFonts w:ascii="Times New Roman" w:hAnsi="Times New Roman"/>
                  <w:sz w:val="20"/>
                </w:rPr>
                <w:t>Description of Guarantees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1">
              <w:r>
                <w:rPr>
                  <w:rStyle w:val="InternetLink"/>
                  <w:rFonts w:ascii="Times New Roman" w:hAnsi="Times New Roman"/>
                  <w:sz w:val="20"/>
                </w:rPr>
                <w:t>Description of Depositary Shares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2">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3">
              <w:r>
                <w:rPr>
                  <w:rStyle w:val="InternetLink"/>
                  <w:rFonts w:ascii="Times New Roman" w:hAnsi="Times New Roman"/>
                  <w:sz w:val="20"/>
                </w:rPr>
                <w:t>Description of Purchase Contracts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4">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5">
              <w:r>
                <w:rPr>
                  <w:rStyle w:val="InternetLink"/>
                  <w:rFonts w:ascii="Times New Roman" w:hAnsi="Times New Roman"/>
                  <w:sz w:val="20"/>
                </w:rPr>
                <w:t>Legal Ownership</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6">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7">
              <w:r>
                <w:rPr>
                  <w:rStyle w:val="InternetLink"/>
                  <w:rFonts w:ascii="Times New Roman" w:hAnsi="Times New Roman"/>
                  <w:sz w:val="20"/>
                </w:rPr>
                <w:t>Material U.S. Federal Income Tax Considerations Related to Our Qualification and Taxation as a REIT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8">
              <w:r>
                <w:rPr>
                  <w:rStyle w:val="InternetLink"/>
                  <w:rFonts w:ascii="Times New Roman" w:hAnsi="Times New Roman"/>
                  <w:sz w:val="20"/>
                </w:rPr>
                <w:t>Material U.S. Federal Income Tax Considerations Relevant to Holders of Our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19">
              <w:r>
                <w:rPr>
                  <w:rStyle w:val="InternetLink"/>
                  <w:rFonts w:ascii="Times New Roman" w:hAnsi="Times New Roman"/>
                  <w:sz w:val="20"/>
                </w:rPr>
                <w:t>Material U.S. Federal Income Tax Considerations Relevant to Holders of Our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0">
              <w:r>
                <w:rPr>
                  <w:rStyle w:val="InternetLink"/>
                  <w:rFonts w:ascii="Times New Roman" w:hAnsi="Times New Roman"/>
                  <w:sz w:val="20"/>
                </w:rPr>
                <w:t>Validity of the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1">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16122_22">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We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or any prospectus supplement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16122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utilizing an automatic shelf registration process. Under this shelf process, we may periodically sell the securities described in this prospectus in one or more offerings. This prospectus provides a general description of our common stock, preferred stock, debt securities, guarantees, depositary shares, warrants, purchase contracts and units that we may offer. Each time we offer securities, we will provide a prospectus supplement that will contain specific information about the terms of that offering. The prospectus supplement may also add,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which (1) explains the specific terms of the securities being offered and (2) updates and changes information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in this prospectus for information about us, including our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References to “we,” “us,” “our,” the “Company,” the “Registrant” and “American Tower” are references to American Tower Corporation and its consolidated subsidiaries, unless it is clear from the context that we mean only American Tower Corporation. References herein to our predecessor corporation are references to American Tower Corporation prior to December 31, 2011, the effective date of the merger of American Tower Corporation with and into its wholly owned subsidiary, American Tower REIT Inc. (the surviving company, which was renamed American Tower Corporation after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16122_2"/>
      <w:bookmarkEnd w:id="16"/>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documents incorporated by reference contain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the creditworthiness and financial strength of our customers, the effects of consolidation among companies in our industry and among our customers and other competitive and financial pressures, our ability to maintain or increase our market share, our plans to fund our future liquidity needs, the expected impacts of strategic partnerships on our business, our expectations for the closing of signed agreements and the expected impacts of such agreements on our business, our substantial leverage and debt service obligations, our future financing transactions, our future operating results, the level of future expenditures by companies in this industry and other trends in this industry,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natural disasters and similar events and technology failures, including cybersecurity and data privacy incidents. These statements are based on our management’s beliefs and assumptions, which in turn are based on currently available information. These assumptions could prove inaccurate.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we make in this prospectus, any prospectus supplement, the documents incorporated by reference or elsewhere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a prospectus supplement and the documents incorporated by reference, may cause actual results to differ materially from those indicated by our forward-looking statements. We have no duty, and do not intend, to update or revise the forward-looking statements we make in this prospectus, any prospectus supplement, the documents incorporated by reference or elsewhere, except as may be required by law. In light of these risks and uncertainties, you should keep in mind that the future events or circumstances described in any forward-looking statement we make in this prospectus, any prospectus supplement, the documents incorporated by reference or elsewhere might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16122_3"/>
      <w:bookmarkEnd w:id="17"/>
      <w:r>
        <w:rPr>
          <w:rFonts w:ascii="Times New Roman" w:hAnsi="Times New Roman"/>
          <w:b/>
          <w:sz w:val="20"/>
        </w:rPr>
        <w:t xml:space="preserve">AMERICAN TOWER CORPORATION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provide for the leasing of space primarily to enterprises, network operators, cloud providers and supporting service providers. American Tower operates as a REIT for U.S. federal income tax purposes. As of March 31, 2025, our portfolio included over 149,000 communications sites across the globe and 30 data center facilities across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Bangladesh, Brazil, Burkina Faso, Canada, Chile, Colombia, Costa Rica, France, Germany, Ghana, Kenya, Mexico, Niger, Nigeria, Paraguay, Peru, the Philippines, South Africa, Spain and Uganda.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116 Huntington Avenue, Boston, Massachusetts 02116. Our main telephone number at that address is +1 (617) 375-7500.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16122_4"/>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offered securities involves risks. Before deciding to invest in our securities, you should carefully consider the discussion of risks and uncertainties under the heading “Risk Factors” contained in any applicable prospectus supplement and in the documents that are incorporated by reference in this prospectus. See the section entitled “Where You Can Find More Information”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16122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the securities described in this prospectus for our general corporate purposes, which may include financing possible acquisitions, refinancing our indebtedness and/or repurchasing our common stock. The net proceeds may be invested temporarily in short-term marketable securities or applied to repay short-term debt until they are used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in the event that the securities are sold by a selling securityholder.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16122_6"/>
      <w:bookmarkEnd w:id="20"/>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common stock, preferred stock, debt securities, guarantees, depositary shares, warrants, purchase contracts and units that we or selling securityholders may sell from time to time. These summary descriptions are not meant to be complete descriptions of each security. The particular terms of any security will be described in a related prospectus supplement,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16122_7"/>
      <w:bookmarkEnd w:id="21"/>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The description below summarizes the general terms of our common stock. This section is a summary, and it does not describe every aspect of our common stock. This summary is subject to, and qualified in its entirety by, reference to the provisions of our Restated Certificate of Incorporation (“Certificate of Incorporation”) and our Amended and Restated By-Laws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up to one billion (1,000,000,000) shares of common stock with one cent ($0.01)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all matters upon which stockholders are entitled to vote, the holders of the outstanding shares of common stock are entitled to one (1) vote in person or by proxy for each share of common stock outstanding in the name of such stockholders on the record of stockholders. Generally, all matters to be voted on by stockholders must be approved by a majority (or by a plurality in the case of election of directors where the number of candidates nominated for election exceeds the number of directors to be elected) of the votes entitled to be cast by all shares of common stock present in person or by proxy.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rights, if any, of the holders of any outstanding series of preferred stock or any class or series of stock having a preference over the common stock with respect to the payment of dividends and other distributions, dividends and other distributions may be declared and paid on the common stock from time to time and in amounts as our board of directors may determine. We pay regular dividends and other distributions, but the amount, timing and frequency of any distribution are at the sole discretion of our board of directors. Dividends and other distributions are declared based upon various factors, including without limitation distributions required to maintain our qualification for taxation as a REIT. The loan agreements for our credit facilities contain covenants that restrict our ability to pay dividends and other distributions unless certain financial covenants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 up, whether voluntarily or involuntarily, the holders of common stock are entitled to share ratably in all assets available for distribution after payment in full to creditors and payment in full to holders of preferred stock then outstanding of any amount required to be paid to them. Neither the merger, consolidation or business combination of American Tower with or into any other entity in which our stockholders receive capital stock and/or other securities (including debt securities) of the surviving entity (or the direct or indirect parent entity thereof), nor the sale, lease or transfer by us of any part of our business and assets, nor the reduction of our capital stock, shall be deemed to be a voluntary or involuntary liquidation, dissolution or winding up.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have no preemptive, subscription or redemption rights and are not entitled to the benefit of any sinking fund. The shares of common stock presently outstanding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may not subdivide, combine, or pay or declare any stock dividend on, the outstanding shares of common stock unless all outstanding shares of common stock are subdivided or combined or the holders of common stock receive a proportionate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Restrictions on Ownership and Transfer </w:t>
      </w:r>
    </w:p>
    <w:p>
      <w:pPr>
        <w:pStyle w:val="TextBody"/>
        <w:bidi w:val="0"/>
        <w:spacing w:before="120" w:after="0"/>
        <w:jc w:val="left"/>
        <w:rPr>
          <w:rFonts w:ascii="Times New Roman" w:hAnsi="Times New Roman"/>
          <w:sz w:val="20"/>
        </w:rPr>
      </w:pPr>
      <w:r>
        <w:rPr>
          <w:rFonts w:ascii="Times New Roman" w:hAnsi="Times New Roman"/>
          <w:sz w:val="20"/>
        </w:rPr>
        <w:t xml:space="preserve">For us to comply with and have maximum business flexibility under the Federal Communications Laws (defined in our Certificate of Incorporation and including the Communications Act of 1934, as amended), and for us to qualify as a REIT under the Internal Revenue Code of 1986, as amended (the “Code”), our Certificate of Incorporation contains restrictions on stock ownership and stock transfers. These ownership and transfer restrictions could delay, defer or prevent a transaction or a change in control that might involve a premium price for our common stock or otherwise be in the best interests of the stockholders. </w:t>
      </w:r>
    </w:p>
    <w:p>
      <w:pPr>
        <w:pStyle w:val="TextBody"/>
        <w:bidi w:val="0"/>
        <w:spacing w:before="240" w:after="0"/>
        <w:jc w:val="left"/>
        <w:rPr>
          <w:rFonts w:ascii="Times New Roman" w:hAnsi="Times New Roman"/>
          <w:sz w:val="20"/>
        </w:rPr>
      </w:pPr>
      <w:r>
        <w:rPr>
          <w:rFonts w:ascii="Times New Roman" w:hAnsi="Times New Roman"/>
          <w:i/>
          <w:sz w:val="20"/>
        </w:rPr>
        <w:t>Federal Communications Laws Restrictions</w:t>
      </w:r>
      <w:r>
        <w:rPr>
          <w:rFonts w:ascii="Times New Roman" w:hAnsi="Times New Roman"/>
          <w:sz w:val="20"/>
        </w:rPr>
        <w:t xml:space="preserve">. Our Certificate of Incorporation permits us to restrict the ownership or proposed ownership of shares of our stock if that ownership or proposed ownership (i) is or could be inconsistent with, or in violation of, Federal Communications Laws (as defined in our Certificate of Incorporation); (ii) limits or impairs, or could limit or impair, our business activities or proposed business activities under the Federal Communications Laws; or (iii) subjects or could subject us to CFIUS Review (as defined in our Certificate of Incorporation) or to any provision of the Federal Communications Laws, including those requiring any review, authorization or approval, to which we would not be subject but for that ownership or proposed ownership, including, without limitation, Section 310 of the Communications Act and regulations relating to foreign ownership, multiple ownership or cross-ownership (clauses (i) through (iii) above are collectively referred to as “FCC Regulatory Limitations”). We reserve the right to require any person to whom a FCC Regulatory Limitation may apply to promptly furnish to us such information (including, without limitation, information with respect to the citizenship, other ownership interests and affiliations) as we may request. If such person fails to furnish all of the information we request, or we conclude that such person’s ownership or proposed ownership of our stock, or the exercise by such person of any rights of stock ownership in connection with our stock, may result in a FCC Regulatory Limitation, we reserve the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permit the transfer of shares of our common stock and/or preferred stock to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fullest extent permitted by law, suspend those rights of stock ownership the exercise of which may cause the FCC Regulatory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conversion of any or all shares of our preferred stock held by such person into a number of shares of our common stock of equivalent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the shares of our common stock and/or our preferred stock held by such person pursuant to the procedures set forth below;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and all appropriate remedies, at law or in equity, in any court of competent jurisdiction, against any such person, with a view toward obtaining the information or preventing or curing any situation that may cause a FCC Regulatory Limitation.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procedures apply to the redemption of such person’s shares of our common stock and/or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of any redeemed shares of our common stock or preferred stock shall be the fair market value (as defined in our Certificate of Incorporation) of those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may be paid in cash or any other of our debt or equity securities or any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in its sole discretion may decide to only redeem some (and not all) of such person’s shares, which may include the selection of the most recently purchased or acquired shares, selection by lot or selection by such other manner as the board of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provide at least 15 days’ prior written notice of the date on which we plan to effect the redemption (unless waived by such person); provided, that the redemption date may be the date on which written notice is given to such person if the cash (or any other of our debt or equity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necessary to effect the redemption has been deposited in trust for the benefit of such person and is subject to immediate withdrawal by such person upon surrender of the stock certificates for the redeemed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date of the redemption, any and all rights relating to the redeemed shares shall cease and terminate and such person shall only possess the right to obtain cash (or such other of our debt or equity securities) payable upon the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terms and conditions as the board of directors may determine. </w:t>
            </w:r>
          </w:p>
        </w:tc>
      </w:tr>
    </w:tbl>
    <w:p>
      <w:pPr>
        <w:pStyle w:val="TextBody"/>
        <w:bidi w:val="0"/>
        <w:spacing w:before="240" w:after="0"/>
        <w:jc w:val="left"/>
        <w:rPr>
          <w:rFonts w:ascii="Times New Roman" w:hAnsi="Times New Roman"/>
          <w:sz w:val="20"/>
        </w:rPr>
      </w:pPr>
      <w:r>
        <w:rPr>
          <w:rFonts w:ascii="Times New Roman" w:hAnsi="Times New Roman"/>
          <w:i/>
          <w:sz w:val="20"/>
        </w:rPr>
        <w:t>REIT Restrictions</w:t>
      </w:r>
      <w:r>
        <w:rPr>
          <w:rFonts w:ascii="Times New Roman" w:hAnsi="Times New Roman"/>
          <w:sz w:val="20"/>
        </w:rPr>
        <w:t xml:space="preserve">. For us to qualify as a REIT under the Code, our stock must be beneficially owned by 100 or more persons during at least 335 days of a taxable year of 12 months or during a proportionate part of a shorter taxable year. In addition, not more than 50% of the value of the outstanding shares of our stock may be owned, directly or indirectly, by five or fewer “individuals” (as defined in the Code to include specified tax-exempt entities) during the last half of a taxable year. To ensure that these ownership requirements and other requirements for continued qualification as a REIT are met and to otherwise protect us from the consequences of a concentration of ownership among our stockholders, our Certificate of Incorporation contains provisions restricting the ownership or transfer of shares 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relevant sections of our Certificate of Incorporation provide that, subject to the exceptions and the constructive ownership rules described below, no person (as defined in our Certificate of Incorporation) may beneficially or constructively own more than 9.8% in value of our aggregate outstanding stock, or more than 9.8% in value or number (whichever is more restrictive) of the outstanding shares of any class or series of our stock. We refer to these restrictions as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constructive ownership rules under the Code are complex and may cause stock owned, actually or constructively, by a group of related individuals or entities to be treated as owned by one individual or entity. As a result, the acquisition of less than 9.8% in value of our aggregate outstanding stock or less than 9.8% in value or number of our outstanding shares of any class or series of stock (including through the acquisition of an interest in an entity that owns, actually or constructively, any class or series of our stock) by an individual or entity could nevertheless cause that individual or entity, or another individual or entity, to own, constructively or beneficially, in excess of 9.8% in value of our aggregate outstanding stock or 9.8% in value or number of our outstanding shares of any class or series of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ownership limits, our Certificate of Incorporation prohibits any person from actually or constructively owning shares of our stock to the extent that such ownership would cause any of our income that would otherwise qualify as “rents from real property” for purposes of Section 856(d) of the Code to fail to qualify as such.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in its sole discretion, exempt a person from the ownership limits and certain other REIT limits on ownership and transfer of our stock described above, and may establish a different limit on ownership for that person. However, the board of directors may not exempt any person whose ownership of outstanding stock in violation of these limits would result in our failing to qualify as a REIT. In order to be considered by the board of directors for an exemption or a different limit on ownership, a person must make such representations and undertakings as are reasonably necessary to ascertain that the person’s beneficial or constructive ownership of our stock will not now or in the future jeopardize our ability to qualify as a REIT and must agree that any violation or attempted violation of those representations or undertakings (or other action that is contrary to the ownership limits and certain other REIT limits on ownership and transfer of our stock described above) will result in the shares of stock being automatically transferred to a trust as described below. As a condition of its waiver, the board of directors may require an opinion of counsel or United States Internal Revenue Service (“IRS”) ruling satisfactory to it with respect to our qualification as a REIT and may impose such other conditions as it deems appropriate in connection with the granting of the exemption or different limit on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waiver of the ownership limits or at any other time, the board of directors may from time to time increase the ownership limits for one or more persons and decrease the ownership limits for all other persons; provided that the new ownership limits may not, after giving effect to such increase and under certain assumptions stated in our Certificate of Incorporation, result in us being “closely held” within the meaning of Section 856(h) of the Code (without regard to whether the ownership interests are held during the last half of a taxable year). Reduced ownership limits will not apply to any person whose percentage ownership of our aggregate outstanding stock or of the shares of a class or series of our stock, as applicable, is in excess of such decreased ownership limits until such time as that person’s percentage of our aggregate outstanding stock or of the shares of a class or series of stock, as applicable, equals or falls below the decreased ownership limits, but any further acquisition of shares of our stock or of a class or series of our stock, as applicable, in excess of such percentage ownership of shares of stock or of a class or series of stock will be in violation of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further prohibits: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transferring shares of our stock if the transfer would result in our aggregate outstanding stock being beneficially owned by fewer than 100 persons (determined without reference to any rules of attribution);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beneficially or constructively owning shares of our stock if that ownership would result in our failing to qualify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on transferability and ownership will not apply if the board of directors determines that it is no longer in our best interests to attempt to qualify, or to continue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acquires, or attempts or intends to acquire, beneficial or constructive ownership of shares of our stock that will or may violate the ownership limits or any of the other foregoing restrictions on transferability and ownership will be required to give notice to us immediately (or, in the case of a proposed or attempted transaction, at least 15 days prior to the transaction) and provide us with such other information as we may request in order to determine the effect, if any, of the transfer on our qualification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if there is any purported transfer of our stock or other event or change of circumstances that, if effective or otherwise,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Any ordinary dividend paid to the purported transferee prior to our discovery that the shares had been automatically transferred to a trust as described above must be repaid to the trustee upon demand. Our Certificate of Incorporation also provides for adjustments to the entitlement to receive extraordinary dividends and other distributions as between the purported transferee and the trust. If the transfer to the trust as described above is not automatically effective for any reason, to prevent violation of the applicable restriction contained in our Certificate of Incorporation, the transfer of the excess shares will be automatically void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Shares of our stock transferred to the trustee are deemed to be offered for sale to us or our designee at a price per share equal to the lesser of (i) the price per share in the transaction that resulted in the transfer to the trust or, if the purported transferee did not give value for the shares in connection with the event causing the shares to be held in trust (e.g., in the case of a gift, devise or other similar transaction), the market price on the day of the event and (ii) the market price on the date we accept, or our designee accepts, the offer. We have the right to accept the offer until the trustee has sold the shares of our stock held in the trust pursuant to the clauses discussed below. Upon a sale to us, the interest of the charitable beneficiary in the shares sold terminates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trustee must distribute the net proceeds of the sale to the purported transferee, except that the trustee may reduce the amount payable to the purported transferee by the amount of any ordinary dividends that we paid to the purported transferee prior to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and any ordinary dividends held by the trustee with respect to the stock will be paid to the charitable beneficiary. </w:t>
      </w:r>
    </w:p>
    <w:p>
      <w:pPr>
        <w:pStyle w:val="TextBody"/>
        <w:bidi w:val="0"/>
        <w:spacing w:before="240" w:after="0"/>
        <w:jc w:val="left"/>
        <w:rPr>
          <w:rFonts w:ascii="Times New Roman" w:hAnsi="Times New Roman"/>
          <w:sz w:val="20"/>
        </w:rPr>
      </w:pPr>
      <w:r>
        <w:rPr>
          <w:rFonts w:ascii="Times New Roman" w:hAnsi="Times New Roman"/>
          <w:sz w:val="20"/>
        </w:rPr>
        <w:t xml:space="preserve">If we do not buy the shares, the trustee must, as soon as reasonably practicable (and, if the shares are listed on a national securities exchange,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ordinary dividends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ordinary dividends held by the trustee with respect to such stock. In addition, if prior to discovery by us that shares of stock have been transferred to a trust, the shares of stock are sold by a purported transferee, then the shares will be deemed to have been sold on behalf of the trust and, to the extent that the purported transferee received an amount for or in respect of the shares that exceeds the amount that the purported transferee was entitled to receive as described above, the excess amount will be paid to the trustee upon demand. The purported transferee has no rights in the shares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indemnified by us or from the proceeds of sales of stock in the trust for its costs and expenses reasonably incurred in connection with conducting its duties and satisfying its obligations under our Certificate of Incorporation. The trustee will also be entitled to reasonable compensation for services provided as determined by agreement between the trustee and the board of directors, which compensation may be funded by us or the trust. If we pay any such indemnification or compensation, we are entitled on a first priority basis (subject to the trustee’s indemnification and compensation rights) to be reimbursed from the trust. To the extent the trust funds any such indemnification and compensation, the amounts available for payment to a purported transferee (or the charitable beneficiary) would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by us and must be unaffiliated with us and with any purported transferee. Prior to the sale of any shares by the trust, the trustee will receive, in trust for the beneficiary, all distributions paid by us with respect to the shares, and may also exercise all voting rights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General Corporation Law of the State of Delaware (the “DGCL”), effective as of the date that the shares have been transferred to the trust, the trustee will have the authority, at the trustee’s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rescind as void any vote cast by a purported transferee prior to our discovery that the shares have been transferred to the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recast the vote in accordance with the desires of the trustee acting for the benefit of the charitable beneficiary of the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if we have already taken corporate action, then the trustee may not rescind and recast the vote.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our board of directors determines that a proposed or purported transfer would violate the restrictions on ownership and transfer of our stock set forth in our Certificate of Incorporation, our board of directors may take such action as it deems advisable to refuse to give effect to or to prevent the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causing us to repurchase shares of our stock, refusing to give effect to the transfer on our books or instituting proceedings to enjoin the transfer.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end of each REIT taxable year, every owner of 5% or more (or such lower percentage as required by the Code or the Treasury regulations promulgated thereunder) of the outstanding shares of any class or series of our stock, must, upon request, provide us written notice of the person’s name and address, the number of shares of each class and series of our stock that the person beneficially owns and a description of the manner in which the shares are held. Each such owner must also provide us with such additional information as we may request in order to determine the effect, if any, of such owner’s beneficial ownership on our qualification as a REIT and to ensure compliance with the ownership limits. In addition, each beneficial owner or constructive owner of our stock, and any person (including the stockholder of record) who is holding shares of our stock for a beneficial owner or constructive owner will, upon demand, be required to provide us with such information as we may request in good faith in order to determine our qualification as a REIT and to comply with the requirements of any taxing authority or governmental authority or to determine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the rights, preferences and privileges of the holders of our common stock may be affected by the rights, preferences and privileges granted to holders of preferred stock. Because our board of directors will have the power to establish the preferences and rights of each series of preferred stock, it may afford the stockholders of any series of preferred stock preferences, powers and rights senior to the rights of holders of shares of our common stock that could have the effect of delaying, deferring or preventing a change in control of American Tower. See “Description of Preferred Stock” for more information about our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Business Combination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Section 203 prohibits a publicly held Delaware corporation from engaging in a “business combination” with an “interested stockholder” for a period of three years after the person became an interested stockholder, unless the business combination or the transaction in which the stockholder became an interested stockholder is approved in a prescribed manner. A “business combination” includes mergers, asset sales and other transactions resulting in a financial benefit to the interested stockholder. Subject to certain exceptions, an “interested stockholder” is a person who, together with affiliates and associates, owns, or within the prior three years owned, 15% or more of the corporation’s voting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and the nomination of candidates for election of directors, other than nominations made by, or at the direction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proxy access provisions in our By-Laws permit a stockholder, or a group of up to 20 stockholders, who have owned at least 3% of the voting power of outstanding American Tower common stock continuously for at least three (3) years, to nominate and include in our proxy materials, qualifying director nominees constituting up to 25% of our board of directors. To be timely, any proxy access notice must be delivered in writing to our secretary not less than 120 days and not more than 150 days prior to the first anniversary of the preceding year’s annual meeting; provided that in the event that the date of the annual meeting is advanced by more than 30 days or delayed (other than as a result of adjournment) by more than 70 days from the one-year anniversary of the preceding year’s annual meeting, a stockholder’s notice must be received no later than the later of (a) the 120th day prior to such annual meeting and (b) the 10th day following the day on which notice of the date of such annual meeting was first publicly disclosed by us. The complete proxy access provisions for director nominations are set forth in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advance notice and proxy access procedures may impede stockholders’ ability to bring matters before a meeting of stockholders or make nominations for directors at a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includes provisions eliminating the personal liability of our directors to the fullest extent permitted by the DGCL and indemnifying our directors and officers to the fullest extent permitted by the DGCL. 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and officers, even though a derivative action, if successful, might otherwise benefit us and our stockholders. In addition, the value of investments in our securities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any or all of the directors may be removed at any time, either with or without cause, by a vote of a majority of the shares outstanding and entitled to vote. This provision may delay or prevent our stockholders from removing incumbent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ownership and transfer restrictions contained in our Certificate of Incorporation, and described above, may have the effect of inhibiting or impeding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our By-Laws provide that our By-Laws may be altered, amended, changed or repealed by (i) the approval or consent of not less than a majority of the total outstanding shares of stock entitled to vote generally in the election of directors or (ii) a majority of the entire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Change of control and merger, consolidation and asset sale provisions in our indentures for our outstanding notes and loan agreements for our credit facilities may discourage a takeover attempt. These provisions may make acquiring us more difficult.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traded on the New York Stock Exchange (the “NYSE”) under the symbol “AMT.”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Inc., P.O. Box 43006, Providence, RI 02940, (866) 201-5087.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16122_8"/>
      <w:bookmarkEnd w:id="22"/>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the board of directors is empowered, without any approval of our stockholders, to issue shares of preferred stock in one or more series, to establish the number of shares in each series, and to fix the relative rights, preferences, powers, qualifications, limitations and restrictions of each such series. The prospectus supplement relating to any series of preferred stock we may offer will contain the specific terms of that series,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redeemable, and if so, the prices at which, and the terms and conditions on which, the shares may be redeemed, including the date or dates upon or after which the shares will be redeemable and the amount per share payable in case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shares of the series will be entitled to receive dividends or other distributions and, if so, the distribution rate on the shares, any restriction, limitation or condition upon the payment of the dividends or other distributions, whether dividends or other distributions will be cumulative, and the dates on which dividends or other distributions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preferential amount payable upon shares of the series in the event of voluntary or involuntary liquidation, dissolution or winding up of American Tower;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the series will be guaranteed;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convertible, or exchangeable for, shares of any other class or classes of stock or of any other series of stock, or any other securities of American Tower, and if so, the terms and conditions of such conversion or exchange, including price or rates of conversion at which, and the terms and conditions on which, the shares of the series may be converted or exchanged into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and conditions of the purchase or sinking fund provisions, if any, for the purchase or redemption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each series and the number of shares that will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 if any, of shares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rights, preferences or limitations.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we are authorized to issue up to twenty million (20,000,000) shares of preferred stock, par value $0.01 per share. Some of the provisions described in the section “Description of Common Stock—Restrictions on Ownership and Transfer” may also apply to any shares of preferred stock we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16122_9"/>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that will apply to any debt securities that we may offer pursuant to this prospectus and an applicable prospectus supplement. The specific terms of any offered debt securities, and the extent to which the general terms described in this section apply to these debt securities, will be described in the applicable prospectus supplement at the time of the offering. The prospectus supplement, which we will file with the SEC, may or may not modify the general terms found in this prospectus. For a complete description of any series of debt securities, you should read both this prospectus and the prospectus supplement that applies to that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the terms “we,” “our,” “us” and “American Tower” refer solely to American Tower Corporation (and not to any of its affiliates, including subsidiaries). As used in this prospectus, “debt securities” means the debentures, notes, bonds and other evidences of indebtedness offered pursuant to this prospectus and an applicable prospectus supplement and authenticated by the relevant trustee and delivered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under an indenture dated as of June 2, 2025 between us and U.S. Bank Trust Company, National Association, as trustee (the “Senior Indenture”). The Senior Indenture is included as an exhibit to the registration statement of which this prospectus is a part. We may issue subordinated debt under a separate indenture to be entered into between us and U.S. Bank Trust Company, National Association, as trustee, as supplemented from time to time. This indenture, as supplemented, is referred to in this prospectus as the “Subordinated Indenture.” References to the “indenture” in this prospectus refer to the Senior Indenture or the Subordinated Indenture, as applicable. References to the “trustee” in this prospectus refer to U.S. Bank Trust Company, National Association. If a different trustee or a different indenture for a series of debt securities is used, those details will be provided in a prospectus supplement and the forms of any other indentures will be filed with the SEC at the time they are used.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 and the debt securities, and indicated which material provisions will be described in an applicable prospectus supplement. For further information, you should read the indenture. The following summary is qualified in its entirety by the provisions of the indenture, including the provisions made part thereof by reference to the Trust Indenture Act of 1939, as amended (the “Trust Indenture Act”).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that we may offer under the indenture are not limited in aggregate principal amount. We may issue debt securities at one or more times in one or more series. Each series of debt securities may have different terms. The terms of any series of debt securities will be described in, or determined by action taken pursuant to, a resolution of our board of directors or a committee appointed by our board of directors or in a supplement to the indenture relating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that series, except for the date of original issuance and the offering price, and will be consolidated with, and form a single series with, those outstanding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series of debt securities that we may offer will state the price or prices at which the debt securities will be offered and will contain the specific terms of that series. These terms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each of the principal of and premium, if any, on the securities of the series is payable and the method of determination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securities of the series will bear interest, if any, or the method of calculating such rate or rates of interest, the date or dates from which interest will accrue or the method by which the date or dates will be determined, the interest payment dates on which any interest will be payable and the record date,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premium, if any) and interest, if any, on securities of the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securities may be exchanged or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the currency or currencies (including currency unit or units) in which, and the other terms and conditions upon which, securities of the series may be redeemed, in whole or in part, at our option, if we are to have that option with respect to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securities of the series in whole or in part pursuant to any sinking fund or analogous provision or upon the happening of a specified event or at the option of a holder thereof and the period or periods within which, the price or prices at which, and the other terms and conditions upon which securities of the series will be redeemed or purchased, in whole or in part, pursuant to such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and multiples of $1,000 thereafter, the denominations in which securities of the series are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(including currency unit or units) in which payments of principal of (and premium, if any) and interest, if any, on the securities of the series will or may be payable, or in which the securities of the series will be denominated,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payments of principal of (and premium, if any), or interest, if any, on the securities of the series are to be made, at our or a holder’s election, in a currency or currencies (including currency unit or units) other than that in which the securities are denominated or designated to be payable, the currency or currencies (including currency unit or units) in which the payments are to be made, the terms and conditions of the payments and the manner in which the exchange rate with respect to the payments will be determined,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of (and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those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terms and conditions upon which, the securities of the series may or must be converted into our securities or exchanged for our securities or those of another enterprise;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securities of the series which will be payable upon declaration of acceleration of the maturity thereof pursuant to an event of default or the method by which that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modifications of or additions to the events of default or covenants with respect to securities of the series, or any modifications of or additions to subordination provisions with respect to the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will be subject to legal defeasance or covenant defeasance as provided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trustee, the identity of the registrar and any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of the series will be issued in whole or in part in global form, (i) the depositary for the global securities, (ii) the form of any legend that will be borne by the global securities, (iii) whether beneficial owners of interests in any securities of the series in global form may exchange those interests for certificated securities of that series and of like tenor of any authorized form and denomination and (iv) the circumstances under which any such exchange may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if any payment date with respect to debt securities falls on a day that is not a business day, we will make the payment on the next business day. The payment made on the next business day will be treated as though it had been made on the original payment date, and no interest will accrue on the payment for the additional period of time.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direct, unconditional, unsecured and unsubordinated obligations and will rank </w:t>
      </w:r>
      <w:r>
        <w:rPr>
          <w:rFonts w:ascii="Times New Roman" w:hAnsi="Times New Roman"/>
          <w:i/>
          <w:sz w:val="20"/>
        </w:rPr>
        <w:t xml:space="preserve">pari passu </w:t>
      </w:r>
      <w:r>
        <w:rPr>
          <w:rFonts w:ascii="Times New Roman" w:hAnsi="Times New Roman"/>
          <w:sz w:val="20"/>
        </w:rPr>
        <w:t xml:space="preserve">with all of our other unsecured senior obligations. However, the senior debt securities will be effectively junior to all of our secured obligations to the extent of the value of the assets securing those obligations. The debt securities will also be structurally subordinated to all liabilities, including trade payables and lease obligations, of our subsidiaries. The subordinated debt securities will be our direct, unconditional, unsecured and subordinated obligations and will be junior in right of payment to our existing and future senior obligations. The extent of subordination of the subordinated debt securities will be described below under “–Additional Provisions Applicable to Subordinated Debt Securities – Subordination of Subordinated Debt Securities,” or as described in an accompanying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or in the prospectus supplement with respect to any series of debt securities, neither we nor our subsidiaries are restricted by the indenture from paying dividends or making distributions on our or their capital stock or purchasing or redeeming our or their capital stock. The indenture does not require the maintenance of any financial ratios or specified levels of net worth or liquidity. In addition, with certain exceptions, the indenture does not contain any covenants or other provisions that would limit our or our subsidiaries’ right to incur additional indebtedness or limit the amount of additional indebtedness, including senior or secured indebtedness that we can create, incur, assume or guarantee.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covenants contained in the indenture will be applicable to the series of debt securities to which the prospectus supplement relates so long as any of the debt securities of that series are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Reporting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furnish to the trustee, within 30 days after we are required to file such annual and quarterly reports, information, documents and other reports with the SEC, copies of our annual report and of the information, documents and other reports that we are required to file with the SEC pursuant to Section 13 or 15(d) of the Securities Exchange Act of 1934, as amended (the “Exchange Act”). The filing of the reports specified in Section 13 or 15(d) of the Exchange Act shall satisfy these reporting requirements. We will also comply with the other provisions of Section 314(a)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may not consolidate or merge with or into, or sell or convey all or substantially all of our assets in any one transaction or series of related transactions to another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resulting, surviving or transferee corporation, or our successor is a corporation organized under the laws of the United States, any state or the District of Columbia and expressly assumes by supplemental indenture all of our obligations under the indenture and all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in the case of a lease of all or substantially all of our assets, the successor will be substituted for us in the indenture with the same effect as if it had been an original party to such indenture. Thereafter, the successor may exercise our rights and powers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In the indenture, the term “event of default” with respect to debt securities of any series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interest, if any, on the debt securities of that series when it becomes due and payable, and continuance of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principal of or premium, if any, on the debt securities of that series when due, at maturity, upon any redemption,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comply with other covenants in the indenture or the debt securities of that series (other than a covenant a failure in the performance of which is specifically dealt with elsewhere in the indenture or which has expressly been included in the indenture solely for the benefit of a series of securities other than that series), and continuance of such default for a period of 90 days after there has been given to us by the trustee or to us and the trustee by the holders of not less than 25% in principal amount of the outstanding securities of that series a written notice specifying such default or breach and requiring it to be remedied and stating that such notice is a “notice of default”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relating to certain events of bankruptcy or insolvency of us or breach of our reporting obligation) has occurred and is continuing, the trustee or the holders of not less than 25% in aggregate principal amount of the debt securities of that series may declare the entire principal of all the debt securities of the affected series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relating to certain events of bankruptcy or insolvency of us occurs and is continuing, then the principal amount of all of the outstanding debt securities and any accrued interest thereon will automatically become due and payable immediately, without any declaration or other act by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aggregate principal amount of the debt securities of any series may, after satisfying conditions, rescind and annul any of the above-described declarations and consequences involving the debt securities of that series, except a continuing default or event of default in the payment of principal of, or interest or premium, if any, on the debt securities of the affected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imposes limitations on suits brought by holders of debt securities of any series against us. Except for actions for payment of overdue principal or interest, no holder of a debt security of any series may institute any action against us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to the trustee written notice of an event of default and the continuance of that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or holders of at least 25% in aggregate principal amount of the outstanding debt securities of that series have requested that the trustee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have offered to the trustee security or indemnity reasonably satisfactory to the trustee against the costs, expenses and liabilities to be incurred in compliance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instituted the action within 60 days of the receipt of such notice, request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received inconsistent direction by the holders of a majority in principal amount of the outstanding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annually with the trustee a certificate, signed by two officers of our company, stating whether or not the officers know of any default by us in the performance, observance or fulfillment of any condition or covenant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sole remedy for any breach of our obligation under the indenture to file or furnish reports or other financial information pursuant to Section 314(a)(1) of the Trust Indenture Act (or as otherwise required by the indenture) shall be the payment of liquidated damages, and the holders will not have any right under the indenture to accelerate the maturity of the debt securities of the affected series as a result of any such breach. If any such breach continues for 90 days after notice thereof is given in accordance with the indenture, we will pay liquidated damages to all the holders of the debt securities of that series at a rate per annum equal to 0.25% per annum of the principal amount of the debt securities of that series from the 90th day following such notice to but not including the date on which the event of default relating to the reporting obligations referred to in this paragraph shall have been cured or waived. The provisions of the indenture described in this paragraph will not affect the rights of the holders of the debt securities of any series in the event of the occurrence of any other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in the two succeeding paragraphs, the indenture provides that we and the trustee thereunder may, with the consent of the holders of not less than a majority in aggregate principal amount of the debt securities of any series then outstanding (including, without limitation, consents obtained in connection with a purchase of, or tender offer or exchange offer for, debt securities of that series), voting as one class, add any provisions to, or change in any manner, eliminate or modify in any way the provisions of, the indenture or modify in any manner the rights of the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and the trustee may amend or supplement the indenture or the debt securities of any series without the consent of any holder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assumption by a successor corporation of our obligations under the indenture and the debt securities of any series in the case of a merger, amalgamation, consolidation or sale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or events of default(s) for the protection of the holders of all or any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provisions of the indenture that apply to one or more series of debt securities; provided that any addition, change, or elimination that materially adversely affects the holders of a series will only become effective when no securities of such series remain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correct any defect or inconsistency in the indenture or make any other provisions as we may deem necessary or desirable; provided, however, that no such provisions will materially adversely affect the interests of the holders of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in accordance with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debt securities in addition to, or in place of, certificated debt securities of any series in a manner that does not materially and adversely affect any holders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text of the indenture or the debt securities of any series to any provision of this “Description of Debt Securities” or “Description of Securities” in the prospectus supplement for that series to the extent that the provision in that description was intended to be a verbatim recitation of a provision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additional debt securities of any series in accordance with the limitations set forth in the indenture as of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all or any series of debt securities or that does not adversely affect the legal rights under the indenture of any such holder or any holder of a beneficial interest in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requirements of the SEC in order to effect or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our obligations in respect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subject to the provisions of the supplemental indenture for that series, to provide for conversion rights, exchange rights and/or repurchase rights of holders of that series in connection with any reclassification or change of our common stock or in the event of any amalgamation, consolidation, merger or sale of all or substantially all of the assets of us or our subsidiaries substantially as an entirety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reduce the conversion price or exchange price applicable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increase the conversion rate or exchange ratio in the manner described in the supplemental indenture for that series, provided that the increase will not adversely affect the interests of the holders of that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rules of any applicable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amend or supplement the indenture or the debt securities of any series as described in the prospectus supplement with respect to that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trustee may not,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final maturity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aggregate principal amount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amend or modify the calculation, or time of payment, of interest, including defaulted interest on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or alter the method of computation of any amount payable on any debt security upon redemption, prepayment or purchase of any debt security or otherwise alter or waive any of the provisions with respect to the redemption of any debt security, or waive a redemption payment with respect to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or interest or premium, if any, on any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any debt security when due, or otherwise make any change in the provisions of the indenture relating to waivers of past defaults or the rights of holders of any debt security to receive payments of principal of, or premium, if any,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of the indenture with respect to modification and waiver (including waiver of certain covenants, waiver of a default or event of default in respect of debt securities of any series), except to increase the percentage required for modification or waiver or to provide for the consent of each affected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principal amount of outstanding debt securities of any series whose holders must consent to an amendment, supplement or waiver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ranking provisions of the Subordinated Indenture in a manner adverse to the holders of debt securities issued thereunder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rights of holders of debt securities of any series that are exchangeable or convertible to receive payment or delivery of any consideration due upon the conversion or exchange of the debt securities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modify or amend the indenture or the debt securities of any series as may be described in the prospectus supplement with respect to that series of debt securities as requiring the consent of each holder affected thereby.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those debt securities),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that series on the stated maturity date thereof in accordance with the terms of the indenture and the debt securities of that series. Also, the establishment of such a trust will be conditioned on the delivery by us to the trustee of an opinion of counsel reasonably satisfactory to the trustee to the effect that, based upon applicable U.S. federal income tax law or a ruling published by the IRS, such a defeasance and discharge will not be deemed, or result in, a taxable event with respect to the holders. For the avoidance of doubt, such an opinion would require a change in current U.S. tax law. </w:t>
      </w:r>
    </w:p>
    <w:p>
      <w:pPr>
        <w:pStyle w:val="TextBody"/>
        <w:bidi w:val="0"/>
        <w:spacing w:before="240" w:after="0"/>
        <w:jc w:val="left"/>
        <w:rPr>
          <w:rFonts w:ascii="Times New Roman" w:hAnsi="Times New Roman"/>
          <w:sz w:val="20"/>
        </w:rPr>
      </w:pPr>
      <w:r>
        <w:rPr>
          <w:rFonts w:ascii="Times New Roman" w:hAnsi="Times New Roman"/>
          <w:sz w:val="20"/>
        </w:rPr>
        <w:t xml:space="preserve">We may also omit to comply with the restrictive covenants, if any, of any particular series of debt securities, other than our covenant to pay the amounts due and owing with respect to that series. Any such omission will not be an event of default with respect to the debt securities of that series,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series on the stated maturity date thereof in accordance with the terms of the indenture and the debt securities of that series. Our obligations under the indenture and the debt securities of that series other than with respect to those covenants will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At our option, we may satisfy and discharge the indenture with respect to the debt securities of any series (except for specified obligations of the trustee and ours, including, among others, the obligations to apply money held in trust)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all debt securities of that series previously authenticated under the indenture have been delivered to the trustee for cancellation or (b) we have irrevocably deposited or caused to be deposited with the trustee as trust funds in trust solely for the benefit of the holders an amount sufficient to pay and discharge the entire indebtedness on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with respect to debt securities of that series has occurred or is continuing on the date of the deposit or will occur as a result of the deposit and the deposit will not result in a breach or violation of any other instrument to which we are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and any applicable supplemental indenture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irrevocable instructions to the trustee to apply the deposited funds toward the payment of securities of that series at the stated maturity date or the redemption date,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relating to the satisfaction and discharge of the indenture as to that series have been satisfied.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Unclaimed Money </w:t>
      </w:r>
    </w:p>
    <w:p>
      <w:pPr>
        <w:pStyle w:val="TextBody"/>
        <w:bidi w:val="0"/>
        <w:spacing w:before="120" w:after="0"/>
        <w:jc w:val="left"/>
        <w:rPr>
          <w:rFonts w:ascii="Times New Roman" w:hAnsi="Times New Roman"/>
          <w:sz w:val="20"/>
        </w:rPr>
      </w:pPr>
      <w:r>
        <w:rPr>
          <w:rFonts w:ascii="Times New Roman" w:hAnsi="Times New Roman"/>
          <w:sz w:val="20"/>
        </w:rPr>
        <w:t xml:space="preserve">If money deposited with the trustee or paying agent for the payment of principal of, premium or accrued and unpaid interest, if any, on debt securities remains unclaimed for two years, the trustee and paying agent will pay the money back to us upon our request. However, the trustee and paying agent have the right to withhold paying the money back to us until they publish in a newspaper of general circulation in the City of New York, or mail to each holder, a notice stating that the money will be paid back to us if unclaimed after a date no less than 30 days from the publication or mailing. After the trustee or paying agent pays the money back to us, holders of debt securities entitled to the money must look to us for payment, subject to applicable law, and all liability of the trustee and the paying agent with respect to the money will cease.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and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registrar and paying agent will forward to the trustee any debt securities surrendered to them for transfer, exchange or payment, and the trustee will promptly cancel those debt securities in accordance with its customary procedures. We will not issue new debt securities to replace debt securities that we have paid or delivered to the trustee for cancellation or that any holder has converted. </w:t>
      </w:r>
    </w:p>
    <w:p>
      <w:pPr>
        <w:pStyle w:val="TextBody"/>
        <w:bidi w:val="0"/>
        <w:spacing w:before="240" w:after="0"/>
        <w:jc w:val="left"/>
        <w:rPr>
          <w:rFonts w:ascii="Times New Roman" w:hAnsi="Times New Roman"/>
          <w:sz w:val="20"/>
        </w:rPr>
      </w:pPr>
      <w:r>
        <w:rPr>
          <w:rFonts w:ascii="Times New Roman" w:hAnsi="Times New Roman"/>
          <w:sz w:val="20"/>
        </w:rPr>
        <w:t xml:space="preserve">We may, to the extent permitted by law, purchase debt securities in the open market or by tender offer at any price or by private agreement. We may, at our option and to the extent permitted by law, reissue, resell or surrender to the trustee for cancellation any debt securities we purchase in this manner; provided that we not reissue or resell those debt securities if upon reissuance or resale, they would constitute “restricted securities” within the meaning of Rule 144 under the Securities Act. Debt securities surrendered to the trustee for cancellation may not be reissued or resold and will be promptly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Replacement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replace mutilated, lost, destroyed or stolen debt securities at the holder’s expense upon delivery to the trustee of the mutilated debt securities or evidence of the loss, destruction or theft of the debt securities satisfactory to the trustee and us. In the case of a lost, destroyed or stolen debt security, we or the trustee may require, at the expense of the holder, indemnity satisfactory to us and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Issuance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our debt securities will be book-entry securities that are cleared and settled through the Depositary Trust Company (the “DTC”), a securities depositary. Upon issuance, unless otherwise specified in the applicable prospectus supplement, all book-entry securities of the same series will be represented by one or more fully registered global securities. Each global security will be deposited with, or on behalf of, DTC and will be registered in the name of DTC or a nominee of DTC. DTC will thus be the only registered holder of any such securities and will be considered the sole owner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Purchasers may only hold interests in the global securities through DTC if they are participants in the DTC system. Purchasers may also hold interests through a securities intermediary – a bank, brokerage house or other institution that maintains securities accounts for customers – that has an account with DTC or its nominee. DTC will maintain accounts showing the securities holdings of its participants, and these participants will in turn maintain accounts showing the securities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In most cases, a beneficial owner will also not be able to obtain a paper certificate evidencing the holder’s ownership of securities. The book-entry system for holding securities eliminates the need for physical movement of certificates. The laws of some jurisdictions require some purchasers of securities to take physical delivery of their securities in definitive form. These laws may impair the ability to transfer book-entry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with respect to a series of debt securities, the beneficial owner of book-entry securities represented by a global security may exchange the securities for definitive or paper securities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unwilling or unable to continue as depositary for such global security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under the Exchange Act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decide to allow some or all book-entry securities to be exchangeable for definitive securities in registered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under the indenture, and a holder of the securities has requested definitive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global security that is exchangeable will be exchangeable in whole for definitive securities in registered form with the same terms, and in the case of debt securities, in an equal aggregate principal amount in denominations of $2,000 and whole multiples of $1,000 (unless otherwise specified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Definitive securities will be registered in the name or names of the person or persons specified by DTC in a written instruction to the registrar of the securities. DTC may base its written instruction upon directions it receives from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the applicable prospectus supplement,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under the Exchange Act.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not have any responsibility or liability for any aspect of the records relating to, or payments made on account of, beneficial ownership interests in the book-entry securities or for maintaining, supervising or reviewing any records relating to the beneficial ownership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debt securities of any series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debt securities,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it would be required to eliminate such conflict within 90 days, apply to the SEC for permission to continue as trustee or resign. U.S. Bank Trust Company, National Association, including as successor in interest to U.S. Bank National Association, is also the trustee under the trust and servicing agreement, as amended, related to our securitization transactions completed in March 2018 and March 2023.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directors, officers, employees, incorporators, stockholders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none of our past, present or future directors, officers, employees, incorporators, stockholders or agents in their capacity as such will have any liability for any of our obligations under the debt securities of any series or the indenture. Each holder of debt securities of any series by accepting a debt security waives and releases all such liability. The waiver and release are part of the consideration for issuance of the debt securities. The waiver may not be effective to waive liabilities under the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debt securities of each series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Provisions Applicable to Subordinated Debt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our unsecured obligations under the Subordinated Indenture and will be subordinate in right of payment to certain other indebtedness as described below under “Subordination of Subordinated Debt Securities” or in the applicable prospectus supplement. The subordinated debt securities will be effectively subordinated to all of our secured debt, to the extent of the value of the assets securing that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Payments on the subordinated debt securities will, as described in the applicable prospectus supplement, be subordinated in right of payment to the prior payment in full, in cash or cash equivalents, of all of our existing and future senior debt. As a result, the subordinated debt securities will be contractually subordinated to all of our senior debt and effectively subordinated to all debt and other obligations of our subsidiaries. </w:t>
      </w:r>
    </w:p>
    <w:p>
      <w:pPr>
        <w:pStyle w:val="TextBody"/>
        <w:bidi w:val="0"/>
        <w:spacing w:before="240" w:after="0"/>
        <w:jc w:val="left"/>
        <w:rPr/>
      </w:pPr>
      <w:r>
        <w:rPr/>
        <w:t>“</w:t>
      </w:r>
      <w:r>
        <w:rPr>
          <w:rFonts w:ascii="Times New Roman" w:hAnsi="Times New Roman"/>
          <w:sz w:val="20"/>
        </w:rPr>
        <w:t xml:space="preserve">Senior debt” is defined in the Subordinated Indenture as, with respect to any “person” (as defined in the Subordinated Indenture), the principal of (and premium, if any) and interest on any indebtedness, whether outstanding at the date of the Subordinated Indenture or thereafter created or incurred, which is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notes, debentures, bonds or other similar instruments issued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such person evidencing the purchase price of property by such person or a subsidiary of such person, all conditional sale obligations of such person and all obligations of such person under any conditional sale or title retention agreement other than trade accounts payable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contingent or otherwise, of such person in respect of any letters of credit, bankers’ acceptance, security purchase facilities or similar credit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interest rate swap, cap or other agreements, interest rate future or option contracts, currency swap agreements, currency future or option contracts and other similar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any factoring, securitization, sale of receivables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or obligations described in the six preceding bullet points of others and assumed or guaranteed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under performance guarantees, support agreements and other agreements in the nature thereof relating to the obligations of any subsidiary of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refundings, amendments and modifications of any indebtedness of the kind described in the eight preceding bullet points or of the instruments creating or evidencing the indebtedness, unless, in each case, by the terms of the instrument creating or evidencing the indebtedness or the renewal, extension, refunding, amendment and modification, it is provided that the indebtedness is not senior in right of payment to the subordinated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the type referred to in the preceding bullet points of others secured by a lien on the property or asset of such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for a particular series of subordinated debt securities, in the event of any distribution of our assets upon dissolution, winding up, liquidation or reorganization, the holders of senior debt shall first be paid in full in respect of principal, premium (if any) and interest before any such payments are made on account of the subordinated debt securities. In addition, in the event that (1) the subordinated debt securities are declared due and payable because of an event of default (other than under the circumstances described in the preceding sentence) and (2) any default has occurred and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continuing in the payment of principal, premium (if any), sinking funds or interest on any senior debt, then no payment shall be made on account of principal, premium (if any), sinking funds or interest on the subordinated debt securities until all such payments due in respect of the senior debt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the subordination provisions described above, in the event of liquidation or insolvency, any of our creditors who are not holders of senior debt may recover less, ratably, than holders of senior debt and may recover more, ratably, than holders of the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Deferral of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upon which we may defer payments of interest on subordinated debt securities of any series will be set forth in the relevant prospectus supplement and, to the extent necessary, in the supplemental indenture relating to that series. If any such terms are provided for, an interest payment properly deferred will not constitute a default in the payment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16122_10"/>
      <w:bookmarkEnd w:id="24"/>
      <w:r>
        <w:rPr>
          <w:rFonts w:ascii="Times New Roman" w:hAnsi="Times New Roman"/>
          <w:b/>
          <w:sz w:val="20"/>
        </w:rPr>
        <w:t xml:space="preserve">DESCRIPTION OF GUARANTEES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guarantees of certain securities, including debt securities of our subsidiaries, for consideration that may include cash, consents or exchanges of existing securities. Such guarantees will be unsecured. Except as otherwise described in any applicable prospectus supplement, each guarantee will be a full and unconditional guarantee of the prompt payment, when due, of any amount owed to the holders of the guaranteed securities, and any other amounts due pursuant to any indenture, fiscal agency agreement or other contract governing such securities. We will describe the particular terms of any guarantee we offer in the applicable prospectus supplement, which may add, update or change the information on guarantees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accordingly its ability to make payments under its guarantees is subject to restrictions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guarantees we issue will not necessarily be complete and will be qualified in its entirety by reference to the applicable documents pursuant to which the guarantees will be issued, which will be filed with the SEC if we issue such guarantees. We urge you to read the applicable documents pursuant to which the guarantees will be issued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16122_11"/>
      <w:bookmarkEnd w:id="25"/>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fractional interests in shares of common or preferred stock, rather than shares of common or preferred stock, with those rights and subject to the terms and conditions that we may specify in a related prospectus supplement. If we do so, we will provide for a depositary (either a bank or trust company depositary that has its principal office in the United States) to issue receipts for depositary shares, each of which will represent a fractional interest in a share of common or preferred stock. The shares of common or preferred stock underlying the depositary shares will be deposited under a deposit agreement between us and the depositary. The prospectus supplement will include the name and address of the depositary. </w:t>
      </w:r>
    </w:p>
    <w:p>
      <w:pPr>
        <w:pStyle w:val="TextBody"/>
        <w:bidi w:val="0"/>
        <w:spacing w:before="480" w:after="0"/>
        <w:jc w:val="center"/>
        <w:rPr>
          <w:rFonts w:ascii="Times New Roman" w:hAnsi="Times New Roman"/>
          <w:b/>
          <w:sz w:val="20"/>
        </w:rPr>
      </w:pPr>
      <w:bookmarkStart w:id="26" w:name="tx116122_12"/>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debt or equity securities. Each warrant will entitle the holder to purchase for cash the amount of debt or equity securities at the exercise price stated or determinable in the prospectus supplement for the warrants. We may issue warrants independently or together with any offered securities. The warrants may be attached to or separate from those offered securities. We will issue the warrants under warrant agreements to be entered into between us and a bank or trust company, as warrant agent, all as described in a related prospectus supplement. The warrant agent will act solely as our agent in connection with the warrants and will not assume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that we may offer will contain the specific terms of the warrants.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for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other securities, if any, with which the warrants are to be issued and the number of warrants issued with each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of the number or amount of securities receivable upon exercise of the warrants or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securities purchasable upon exercise of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and after which the warrants and the securities purchasable upon exercise of the warrants will be separately transferable,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or minimum number of warrants that may be exercised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16122_13"/>
      <w:bookmarkEnd w:id="27"/>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us to sell to the holders, a specified number of shares of common stock, preferred stock or depositary shares at a future date or dates. Alternatively, the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purchase contracts are issued or may be determined by a specific reference to a formula set forth in the purchase contracts. The purchase contracts may provide for settlement by delivery by us or on our behalf of shares of the underlying security, or they may provide for settlement by reference or linkage to the value, performance or trading price of the underlying security. The purchase contracts may be issued separately or as part of purchase units consisting of a purchase contract and debt securities, preferred stock or debt obligations of third parties, including U.S. treasury securities, other purchase contracts or common stock, or other securities or property, securing the holders’ obligations to purchase or sell, as the case may be, the common stock, preferred stock, depository shares or other security or property under the purchase contracts. The purchase contracts may require us to make periodic payments to the holders thereof or vice versa, and these payments may be unsecured or prefunded on some basis and may be paid on a current or on a deferred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 </w:t>
      </w:r>
    </w:p>
    <w:p>
      <w:pPr>
        <w:pStyle w:val="TextBody"/>
        <w:bidi w:val="0"/>
        <w:spacing w:before="480" w:after="0"/>
        <w:jc w:val="center"/>
        <w:rPr>
          <w:rFonts w:ascii="Times New Roman" w:hAnsi="Times New Roman"/>
          <w:b/>
          <w:sz w:val="20"/>
        </w:rPr>
      </w:pPr>
      <w:bookmarkStart w:id="28" w:name="tx116122_14"/>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purchase contracts, warrants, debt securities, guarantees, shares of preferred stock, shares of common stock or any combination of such of our securities (but not securities of third parties), as specified in a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16122_15"/>
      <w:bookmarkEnd w:id="29"/>
      <w:r>
        <w:rPr>
          <w:rFonts w:ascii="Times New Roman" w:hAnsi="Times New Roman"/>
          <w:b/>
          <w:sz w:val="20"/>
        </w:rPr>
        <w:t xml:space="preserve">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any applicable prospectus supplement, when we refer to the “holders” of securities as being entitled to specified rights or payments, we mean only the actual legal holders of the securities. While you will be the holder if you hold a security registered in your name, more often than not the holder actually will be a broker, bank or other financial institution or, in the case of a global security, the depositary. Our obligations, as well as the obligations of the trustee, any transfer agent, any registrar and any third parties employed by us, the trustee, any transfer agent and any registrar, run only to persons who are registered as holders of our securities, except as may be specifically provided for in the contract governing the securities. For example, once we make payment to the registered holder, we have no further responsibility for the payment even if that holder is legally required to pass the payment along to you as a street name customer but does not do so. </w:t>
      </w:r>
    </w:p>
    <w:p>
      <w:pPr>
        <w:pStyle w:val="TextBody"/>
        <w:bidi w:val="0"/>
        <w:spacing w:before="240" w:after="0"/>
        <w:jc w:val="left"/>
        <w:rPr>
          <w:rFonts w:ascii="Times New Roman" w:hAnsi="Times New Roman"/>
          <w:sz w:val="20"/>
        </w:rPr>
      </w:pPr>
      <w:r>
        <w:rPr>
          <w:rFonts w:ascii="Times New Roman" w:hAnsi="Times New Roman"/>
          <w:sz w:val="20"/>
        </w:rPr>
        <w:t xml:space="preserve">Holding securities in accounts at banks, brokers or other financial institutions is called holding in “street name.” If you hold our securities in street name, we will recognize only the bank or broker, or the financial institution the bank or broker uses to hold the securities, as a holder. These intermediary banks, brokers, other financial institutions and depositaries pass along principal, interest, dividends and other payments, if any, on the securities, either because they agree to do so in their customer agreements or because they legally are required to do so. This means that if you are an indirect holder, you will need to coordinate with the institution through which you hold your interest in a security in order to determine how the provisions involving holders described in this prospectus and any applicable prospectus supplement actually will apply to you. For example, if the debt security in which you hold a beneficial interest in street name can be repaid at the option of the holder, you cannot redeem it yourself by following the procedures described in the prospectus supplement that applies to that security. Instead, you would need to cause the institution through which you hold your interest to take those actions on your behalf. Your institution may have procedures and deadlines different from or additional to those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our securities in street name or through other indirect means, you should check with the institution through which you hold your interest in a security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payments and notices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voting,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and when you should notify it to exercise on your behalf any rights or options that may exist under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direct holder as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pursue rights under the securities if there were a default or other event triggering the need for holders to act to protect their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16122_16"/>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by this prospectus from time to time, in one or more transactions,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terms of the offering of the securities covered by this prospectus,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and the amounts of securities underwritten or purchased by each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and the proceeds to us and any discounts, commissions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initial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we use underwriters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Generally, the underwriters’ obligations to purchase the securities will be subject to customary conditions.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contracts will be subject only to those conditions set forth in the applicable prospectus supplement, and the applicable prospectus supplement will set forth any commissions we pay for solicitation of these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persons participating in this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16122_17"/>
      <w:bookmarkEnd w:id="31"/>
      <w:r>
        <w:rPr>
          <w:rFonts w:ascii="Times New Roman" w:hAnsi="Times New Roman"/>
          <w:b/>
          <w:sz w:val="20"/>
        </w:rPr>
        <w:t xml:space="preserve">MATERIAL U.S. FEDERAL INCOME TAX CONSIDERATIONS RELATED TO OUR </w:t>
      </w:r>
    </w:p>
    <w:p>
      <w:pPr>
        <w:pStyle w:val="TextBody"/>
        <w:bidi w:val="0"/>
        <w:spacing w:before="0" w:after="0"/>
        <w:jc w:val="center"/>
        <w:rPr>
          <w:rFonts w:ascii="Times New Roman" w:hAnsi="Times New Roman"/>
          <w:b/>
          <w:sz w:val="20"/>
        </w:rPr>
      </w:pPr>
      <w:r>
        <w:rPr>
          <w:rFonts w:ascii="Times New Roman" w:hAnsi="Times New Roman"/>
          <w:b/>
          <w:sz w:val="20"/>
        </w:rPr>
        <w:t xml:space="preserve">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our qualification and taxation as a REIT. The opinion of our tax counsel, Sullivan &amp; Worcester LLP, attached hereto as Exhibit 8.1, addresses our qualification and taxation as a REIT since January 1, 2012, as set forth in this summary. For a discussion of U.S. federal income tax considerations that may be relevant to persons considering the purchase of our stock covered by this prospectus, please see the section entitled “Material U.S. Federal Income Tax Considerations Relevant to Holders of Our Stock” in this prospectus. For a discussion of U.S. federal income tax considerations that may be relevant to persons considering the purchase of our debt securities covered by this prospectus, please see the section entitled “Material U.S. Federal Income Tax Considerations Relevant to Holders of Our Debt Securities”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qualification and treatment of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We have received private letter rulings from the IRS with respect to some but not all of the matters described in this summary, but we cannot assure you that the IRS or a court will agree with all of the statements made in this summary. The IRS could, for example, take a different position from that described in this summary with respect to our assets, acquisitions, operations, valuations, restructurings or other matters, including with respect to matters similar to, but subsequent or unrelated to, those matters addressed in the IRS private letter rulings issued to us; furthermore, while private letter rulings from the IRS generally are binding on the IRS, we and our tax counsel cannot rely on the private letter rulings if applicable law has changed or if the factual representations, assumptions or undertakings made in our letter ruling requests to the IRS are untrue or incomplete in any material respect. If successful, IRS challenges could result in significant tax liabilities for applicable parties. In addition, this summary is not exhaustive of all possible tax consequences related to our qualification and taxation as a REIT, and does not discuss any estate, gift, state, local or foreign tax consequences. For all these reasons, we urge any holder of or prospective acquiror of our securities to consult their own tax advisor about the federal income tax and other tax consequences of our qualification and taxation as a REIT.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taxed as a REIT under Sections 856 through 860 of the Code, commencing with our 2012 taxable year. Our REIT election, assuming continuing compliance with the then applicable qualification tests, has continued and will continue in effect for subsequent taxable years. Although no assurance can be given, we believe that from and after our 2012 taxable year we have been organized and have operated, and will continue to be organized and to operate, in a manner that qualified us and will continue to qualify us to be taxed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subject to the discussion below, we have been organized and have qualified for taxation as a REIT under the Code for our 2012 through 2024 taxable years, and that our current and anticipated investments and plan of operation will enable us to continue to meet the requirements for qualification and taxation as a REIT under the Code. Our tax counsel’s opinions are conditioned (a) upon the assumption that our Certificate of Incorporation, communications site licenses, colocation agreements, and all other applicable legal documents to which we have been or are a party have been and will be complied with by all parties to those documents, (b) upon the accuracy and completeness of the factual matters described in this prospectus, (c) upon the accuracy and completeness of the factual matters provided to us and to our tax counsel by accountants and appraisers, (d) upon private letter rulings issued to us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as to certain federal income tax matters, (e) upon representations made by us to the IRS in connection with those rulings, and (f)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holders of our securities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w:t>
      </w:r>
    </w:p>
    <w:p>
      <w:pPr>
        <w:pStyle w:val="TextBody"/>
        <w:bidi w:val="0"/>
        <w:spacing w:before="240" w:after="0"/>
        <w:jc w:val="left"/>
        <w:rPr>
          <w:rFonts w:ascii="Times New Roman" w:hAnsi="Times New Roman"/>
          <w:sz w:val="20"/>
        </w:rPr>
      </w:pPr>
      <w:r>
        <w:rPr>
          <w:rFonts w:ascii="Times New Roman" w:hAnsi="Times New Roman"/>
          <w:sz w:val="20"/>
        </w:rPr>
        <w:t xml:space="preserve">Our continued qualification and taxation as a REIT will depend upon our compliance with various qualification tests imposed under the Code and summarized below. Our ability to satisfy the REIT asset tests will depend in part upon our board of directors’ good faith analysis of the fair market values of our assets, some of which are not susceptible to a precise determination. Our compliance with the REIT income and quarterly asset requirements also depends upon our ability to successfully manage the composition of our income and assets on an ongoing basis. In particular, we periodically explore and occasionally consummate merger and acquisition opportunities, and any consummated transaction would have to be structured to manage successfully the REIT income, asset and distribution tests given the particular size, timing and type of transaction. While we believe that we have satisfied and will satisfy these tests, our tax counsel does not review compliance with these tests on a continuing basis. If we fail to qualify for taxation as a REIT in any year or terminate or revoke our REIT election, then we will be subject to federal income taxation as if we were a corporation taxed under subchapter C of the Code (a “C corporation”), and our stockholders will be taxed like stockholders of a regular C corporation, meaning that federal income tax generally will be applied at both the corporate and stockholder levels. In this event, we could be subject to significant tax liabilities, and the amount of cash available for payment or distribution to our securityholders could be reduced or eliminated. </w:t>
      </w:r>
    </w:p>
    <w:p>
      <w:pPr>
        <w:pStyle w:val="TextBody"/>
        <w:bidi w:val="0"/>
        <w:spacing w:before="240" w:after="0"/>
        <w:jc w:val="left"/>
        <w:rPr>
          <w:rFonts w:ascii="Times New Roman" w:hAnsi="Times New Roman"/>
          <w:sz w:val="20"/>
        </w:rPr>
      </w:pPr>
      <w:r>
        <w:rPr>
          <w:rFonts w:ascii="Times New Roman" w:hAnsi="Times New Roman"/>
          <w:sz w:val="20"/>
        </w:rPr>
        <w:t xml:space="preserve">As a REIT, we generally are not subject to federal income tax on our net income distributed as dividends to our stockholders. Distributions to our stockholders generally are included in our stockholders’ income as dividends to the extent of our available current or accumulated earnings and profits. Our dividends generally are not entitled to the preferential tax rates on qualified dividend income, but a portion of our dividends may be treated as capital gain dividends or as qualified dividend income, all as explained below. In addition, for taxable years beginning before 2026 and pursuant to the deduction-without-outlay mechanism of Section 199A of the Code, our noncorporate U.S. stockholders that meet specified holding period requirements are generally eligible for preferential effective tax rates on our dividends that are not treated as capital gain dividends or as qualified dividend income. It is unclear if, when, and to what extent Section 199A of the Code may be extended to 2026 and later taxable years. No portion of any of our dividends is eligible for the dividends received deduction for corporate stockholders. Distributions in excess of our current or accumulated earnings and profits generally are treated for federal income tax purposes as returns of capital to the extent of a recipient stockholder’s basis in our stock, and will reduce this basis. Our current or accumulated earnings and profits generally are allocated first to distributions made on our outstanding preferred stock, if any, and thereafter to distributions made on our common stock. For all these purposes, our distributions include cash distributions, any in-kind distributions of property that we might make, and deemed or constructive distributions resulting from capital market activities (such as some redemptions),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our qualification for taxation as a REIT and the fact that we generally will not pay federal income tax on amounts we distribute to our stockholders, we may still be subject to federal tax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income tax rates on any undistributed “real estate investment trust taxable income,” determined by including our undistributed ordinary income and net capital gains, if any. We may elect to retain and pay income tax on our net capital gain. If we so elect by making a timely designation to our stockholders, a stockholder would be taxed on its proportionate share of our undistributed capital gain and would generally be expected to receive a credit or refund for its proportionate share of the federal corporate income tax we paid on our retained net capital gain;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disposition of “foreclosure property,” as described in Section 856(e) of the Code, that is held primarily for sale to customers in the ordinary course of a trade or business or other nonqualifying income from foreclosure property, we will be subject to tax on this income at the highest regular corporate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transactions”—that is, dispositions at a gain of inventory or property held primarily for sale to customers in the ordinary course of a trade or business other than dispositions of foreclosure property and other than dispositions excepted by statutory safe harbors—we will be subject to tax on this income at a 100%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the 75% gross income test or the 95% gross income test described below, due to reasonable cause and not due to willful neglect, but nonetheless maintain our qualification for taxation as a REIT because of specified cure provisions, we will be subject to tax at a 100% rate on the greater of the amount by which we fail the 75% gross income test or the 95% gross income test, with adjustments, multiplied by a fraction intended to reflect our profitability for the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described below (other than a de minimis failure of the 5% or 10% asset tests) due to reasonable cause and not due to willful neglect, but nonetheless maintain our qualification for taxation as a REIT because of specified cure provisions, we will be subject to a tax equal to the greater of $50,000 or the highest regular corporate income tax rate multiplied by the net income generated by the nonqualifying assets that caused us to fail the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for taxation as a REIT (other than violations of the REIT gross income tests or violations of the REIT asset tests described below) due to reasonable cause and not due to willful neglect, we may retain our qualification for taxation as a REIT but will be subject to a penalty of $50,000 for each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distribute for any calendar year at least the sum of 85% of our REIT ordinary income for that year, 95% of our REIT capital gain net income for that year and any undistributed taxable income from prior periods, we will be subject to a 4% nondeductible excise tax on the excess of the required distribution over the amounts actually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REIT asset where our adjusted tax basis in the asset is determined by reference to the adjusted tax basis of the asset in the hands of a C corporation (such as an asset that we hold in a QRS (as defined below) following the liquidation or other conversion of a former “taxable REIT subsidiary” as defined in Section 856(l) of the Code, or a TRS), under specified circumstances we may be subject to federal income taxation on all or part of the built-in gain (calculated as of the date the property ceased being owned by the C corporation) on such asset. If and when we sell assets that may have associated built-in gains tax exposure, then we make appropriate provision for the associated tax liabilities on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corporation in a transaction where we succeed to its tax attributes or if we liquidate a domestic TRS, then to preserve our qualification for taxation as a REIT we must generally distribute inherited C corporation earnings and profits, if any, by the end of our taxable year in which the acquisition or liquidation occurs. However, if we fail to do so, relief provisions would allow us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our qualification for taxation as a REIT provided we distribute any subsequently discovered C corporation earnings and profits and pay an interest charge in respect of the period of delayed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subsidiaries that are C corporations, including our TRSs, generally will be required to pay federal corporate income tax on their earnings, and a 100% tax may be imposed on any transaction between us and one of our TRSs that does not reflect arm’s length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countries may impose taxes on our and our subsidiaries’ and partnerships’ assets and operations within their jurisdictions. As a REIT, neither we nor our stockholders are expected to benefit from foreign tax credits arising from those taxes.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then we will be subject to federal income tax in the same manner as a regular C corporation. Further, as a regular C corporation, distributions to our stockholders will not be deductible by us, nor will distributions be required under the Code. Also, to the extent of our current and accumulated earnings and profits, all distributions to our stockholders will generally be taxable as ordinary dividends potentially eligible for the preferential tax rates described below under the heading “—Taxation of Taxable U.S. Stockholders” and, subject to limitations in the Code, will be potentially eligible for the dividends received deduction for corporate stockholders. Finally, we generally will be disqualified from taxation as a REIT for the four taxable years following the taxable year in which the termination of our REIT status is effective. Our failure to qualify for taxation as a REIT for even one year could result in us reducing or eliminating distributions to our stockholders or in us incurring substantial indebtedness or liquidating substantial investments in order to pay the resulting corporate-level income taxes. Relief provisions under the Code may allow us to continue to qualify for taxation as a REIT even if we fail to comply with various REIT requirements, all as described in more detail below. However, it is impossible to state whether in any particular circumstance we would be entitled to the benefit of these relief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REIT Qualification Requirements </w:t>
      </w:r>
    </w:p>
    <w:p>
      <w:pPr>
        <w:pStyle w:val="TextBody"/>
        <w:bidi w:val="0"/>
        <w:spacing w:before="120" w:after="0"/>
        <w:jc w:val="left"/>
        <w:rPr>
          <w:rFonts w:ascii="Times New Roman" w:hAnsi="Times New Roman"/>
          <w:sz w:val="20"/>
        </w:rPr>
      </w:pPr>
      <w:r>
        <w:rPr>
          <w:rFonts w:ascii="Times New Roman" w:hAnsi="Times New Roman"/>
          <w:i/>
          <w:sz w:val="20"/>
        </w:rPr>
        <w:t>General Requirements</w:t>
      </w:r>
      <w:r>
        <w:rPr>
          <w:rFonts w:ascii="Times New Roman" w:hAnsi="Times New Roman"/>
          <w:sz w:val="20"/>
        </w:rPr>
        <w:t xml:space="preserve">. Section 856(a) of 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would be taxable, but for Sections 856 through 859 of the Code, as a domestic 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a financial institution or an insurance company subject to special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“closely held,” meaning that during the last half of each taxable year, not more than 50% in value of the outstanding stock is owned, directly or indirectly, by five or fewer “individuals” (as defined in the Code to include specified tax-exempt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meets other tests regarding the nature of its income and assets and the amount of its distributions, all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856(b) of the Code provides that conditions (1) through (4) must be met during the entire taxable year and that condition (5) must be met during at least 335 days of a taxable year of 12 months, or during a proportionate part of a taxable year of less than 12 months. Although we cannot be sure, we believe that we have met conditions (1) through (7) during each of the requisite periods ending on or before the close of our most recently completed taxable year, and that we will continue to meet these conditions in our current and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To help comply with condition (6), our Certificate of Incorporation restricts transfers of our stock that would otherwise result in concentrated ownership positions. These restrictions, however, do not guarantee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previously satisfied, and cannot guarantee that we will in all cases be able to continue to satisfy, the stock ownership requirements described in condition (6). If we comply with applicable Treasury regulations to ascertain the ownership of our outstanding stock and do not know, or by exercising reasonable diligence would not have known, that we failed condition (6), then we will be treated as having met condition (6). Accordingly, we have complied and will continue to comply with these regulations, including by requesting annually from record holders of significant percentages of our stock information regarding the ownership of our stock. Under our Certificate of Incorporation, our stockholders are required to respond to these requests for information. A stockholder that fails or refuses to comply with the request is required by Treasury regulations to submit a statement with its federal income tax return disclosing its actual ownership of our stock and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Code provides that we will not automatically fail to qualify for taxation as a REIT if we do not meet conditions (1) through (6), provided we can establish that such failure was due to reasonable cause and not due to willful neglect. Each such excused failure will result in the imposition of a $50,000 penalty instead of REIT disqualification. This relief provision may apply to a failure of the applicable conditions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i/>
          <w:sz w:val="20"/>
        </w:rPr>
        <w:t>Our Wholly Owned Subsidiaries and Our Investments Through Partnerships</w:t>
      </w:r>
      <w:r>
        <w:rPr>
          <w:rFonts w:ascii="Times New Roman" w:hAnsi="Times New Roman"/>
          <w:sz w:val="20"/>
        </w:rPr>
        <w:t xml:space="preserve">. Except in respect of TRSs as described below, Section 856(i) of the Code provides that any corporation, 100% of whose stock is held by a REIT and its disregarded subsidiaries, is a qualified REIT subsidiary and shall not be treated as a separate corporation for federal income tax purposes. The assets, liabilities and items of income, deduction and credit of a qualified REIT subsidiary are treated as the REIT’s. We believe that each of our direct and indirect wholly owned subsidiaries, other than the TRSs described below (and entities whose equity is owned in whole or in part by such TRSs), will be either a qualified REIT subsidiary within the meaning of Section 856(i)(2) of the Code or a noncorporate entity that for federal income tax purposes is not treated as separate from its owner under Treasury regulations issued under Section 7701 of the Code (each such entity referred to as a “QRS”). Thus, in applying all of the REIT qualification requirements described in this summary, all assets, liabilities and items of income, deduction and credit of our QRSs are treated as ours, and our investment in the stock and other securities of such QRSs will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and may in the future invest in real estate through one or more entities that are treated as partnerships for federal income tax purposes, including limited or general partnerships, limited liability companies or foreign entities. In the case of a REIT that is a partner in a partnership, Treasury regulations under the Code provide that, for purposes of the REIT qualification requirements regarding income and assets described below, the REIT is generally deemed to own its proportionate share, based on respective capital interests (including any preferred equity interest in the partnership), of the income and assets of the partnership (except that for purposes of the 10% value test, described below, the REIT’s proportionate share of the partnership’s assets is based on its proportionate interest in the equity and specified debt securities issued by the partnership). In addition, for these purposes, the character of the assets and items of gross income of the partnership generally remains the same in the hands of the REIT. In contrast, for purposes of the distribution requirements described below, a REIT must take into account as a partner its share of the partnership’s income as determined under the general federal income tax rules governing partners and partnerships under Subchapter K of the Code. </w:t>
      </w:r>
    </w:p>
    <w:p>
      <w:pPr>
        <w:pStyle w:val="TextBody"/>
        <w:bidi w:val="0"/>
        <w:spacing w:before="240" w:after="0"/>
        <w:jc w:val="left"/>
        <w:rPr>
          <w:rFonts w:ascii="Times New Roman" w:hAnsi="Times New Roman"/>
          <w:sz w:val="20"/>
        </w:rPr>
      </w:pPr>
      <w:r>
        <w:rPr>
          <w:rFonts w:ascii="Times New Roman" w:hAnsi="Times New Roman"/>
          <w:i/>
          <w:sz w:val="20"/>
        </w:rPr>
        <w:t>Subsidiary REITs</w:t>
      </w:r>
      <w:r>
        <w:rPr>
          <w:rFonts w:ascii="Times New Roman" w:hAnsi="Times New Roman"/>
          <w:sz w:val="20"/>
        </w:rPr>
        <w:t xml:space="preserve">. We indirectly own real estate through subsidiaries that we believe have qualified and will remain qualified for taxation as a REIT under the Code, and we may in the future invest in real estate through one or more other subsidiary entities that are intended to qualify for taxation as REITs. When a subsidiary qualifies for taxation as a REIT separate and apart from its REIT parent, the subsidiary’s shares are qualifying real estate assets for purposes of the REIT parent’s 75% asset test described below. However, failure of the subsidiary to separately satisfy the various REIT qualification requirements described in this summary or that are otherwise applicable (and failure to qualify for the applicable relief provisions) would generally result in (a) the subsidiary being subject to regular United States corporate income tax, as described above, and (b) the REIT parent’s ownership in the subsidiary (i) ceasing to be qualifying real estate assets for purposes of the 75%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test and (ii) becoming subject to the 5% asset test, the 10% vote test and the 10% value test, each as described below, generally applicable to a REIT’s ownership in corporations other than REITs and TRSs. In such a situation, the REIT parent’s own qualification and taxation as a REIT could be jeopardized on account of the subsidiary’s failure cascading up to the REIT parent, all as described below under the heading “—Asset Tests.” </w:t>
      </w:r>
    </w:p>
    <w:p>
      <w:pPr>
        <w:pStyle w:val="TextBody"/>
        <w:bidi w:val="0"/>
        <w:spacing w:before="240" w:after="0"/>
        <w:jc w:val="left"/>
        <w:rPr>
          <w:rFonts w:ascii="Times New Roman" w:hAnsi="Times New Roman"/>
          <w:sz w:val="20"/>
        </w:rPr>
      </w:pPr>
      <w:r>
        <w:rPr>
          <w:rFonts w:ascii="Times New Roman" w:hAnsi="Times New Roman"/>
          <w:sz w:val="20"/>
        </w:rPr>
        <w:t xml:space="preserve">We have joined with our subsidiary REITs in filing protective TRS elections, and we may continue to annually make such elections unless and until our ownership of these subsidiaries falls below 10%. Pursuant to these protective TRS elections, we believe that if one of these subsidiaries is not a REIT for some reason, then that subsidiary would instead be considered one of our TRSs, and as such its value would fit within our REIT gross asset tests described below. We expect to make similar protective TRS elections with respect to any other subsidiary REIT that we form or acquire and may implement other protective arrangements intended to avoid a cascading REIT failure if any of our intended subsidiary REITs were not to qualify for taxation as a REIT, but we cannot be sure that such protective elections or other arrangements will be effective to avoid or mitigate the resulting adverse consequences to us. We do not expect protective TRS elections to impact our compliance with the 75% and 95% gross income tests described below, because we do not expect our gains and dividends from a subsidiary REIT’s shares to jeopardize compliance with these tests even if for some reason the subsidiary is not a REIT. </w:t>
      </w:r>
    </w:p>
    <w:p>
      <w:pPr>
        <w:pStyle w:val="TextBody"/>
        <w:bidi w:val="0"/>
        <w:spacing w:before="240" w:after="0"/>
        <w:jc w:val="left"/>
        <w:rPr>
          <w:rFonts w:ascii="Times New Roman" w:hAnsi="Times New Roman"/>
          <w:sz w:val="20"/>
        </w:rPr>
      </w:pPr>
      <w:r>
        <w:rPr>
          <w:rFonts w:ascii="Times New Roman" w:hAnsi="Times New Roman"/>
          <w:i/>
          <w:sz w:val="20"/>
        </w:rPr>
        <w:t>Taxable REIT Subsidiaries</w:t>
      </w:r>
      <w:r>
        <w:rPr>
          <w:rFonts w:ascii="Times New Roman" w:hAnsi="Times New Roman"/>
          <w:sz w:val="20"/>
        </w:rPr>
        <w:t xml:space="preserve">. As a REIT, we are permitted to own any or all of the securities of a TRS, provided that no more than 20% of the total value of our assets, at the close of each quarter, is comprised of our investments in the stock or other securities of our TRSs. Very generally, a TRS is a subsidiary corporation other than a REIT in which a REIT directly or indirectly holds stock and that has made a joint election with such REIT to be treated as a TRS. A TRS is taxed as a regular C corporation, separate and apart from any affiliated REIT. We have made significant loans to our TRSs secured by towers, tower sites, or other interests in real property and have received a private letter ruling from the IRS that such loans will not be treated as a security for purposes of this TRS ownership limitation. Our ownership of stock and other securities in our TRSs is exempt from the 5% asset test, the 10% vote test and the 10% value test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corporation (other than a REIT and other than a QRS) in which a TRS directly or indirectly owns more than 35% of the voting power or value of the outstanding securities (excluding, for this purpose, certain “straight debt” securities) is automatically a TRS. Subject to the discussion below, we believe that we and each of our TRSs have complied with, and will continue to comply with, the requirements for TRS status at all times during which the subsidiary’s TRS election is intended to be in effect, and we believe that the same will be true for any TRS that we later form or acquire. </w:t>
      </w:r>
    </w:p>
    <w:p>
      <w:pPr>
        <w:pStyle w:val="TextBody"/>
        <w:bidi w:val="0"/>
        <w:spacing w:before="240" w:after="0"/>
        <w:jc w:val="left"/>
        <w:rPr>
          <w:rFonts w:ascii="Times New Roman" w:hAnsi="Times New Roman"/>
          <w:sz w:val="20"/>
        </w:rPr>
      </w:pPr>
      <w:r>
        <w:rPr>
          <w:rFonts w:ascii="Times New Roman" w:hAnsi="Times New Roman"/>
          <w:sz w:val="20"/>
        </w:rPr>
        <w:t xml:space="preserve">As described below, TRSs can perform services for our tenants without disqualifying the rents and service fees that we receive from those tenants under the 75% gross income test or the 95% gross income test described below. Moreover, because our TRSs are taxed as C corporations that are separate from us, their assets, liabilities and items of income, deduction and credit generally are not imputed to us for purposes of the REIT qualification requirements described in this summary. Therefore, our TRSs may generally conduct activities that would be treated as prohibited transactions or would give rise to nonqualified income if conducted by us directly. </w:t>
      </w:r>
    </w:p>
    <w:p>
      <w:pPr>
        <w:pStyle w:val="TextBody"/>
        <w:bidi w:val="0"/>
        <w:spacing w:before="240" w:after="0"/>
        <w:jc w:val="left"/>
        <w:rPr>
          <w:rFonts w:ascii="Times New Roman" w:hAnsi="Times New Roman"/>
          <w:sz w:val="20"/>
        </w:rPr>
      </w:pPr>
      <w:r>
        <w:rPr>
          <w:rFonts w:ascii="Times New Roman" w:hAnsi="Times New Roman"/>
          <w:sz w:val="20"/>
        </w:rPr>
        <w:t xml:space="preserve">Restrictions and sanctions are imposed on TRSs and their affiliated REITs to ensure that the TRSs will be subject to an appropriate level of federal income taxation. For example, if a TRS pays interest, rent or other amounts to its affiliated REIT in an amount that exceeds what an unrelated third party would have paid in an arm’s length transaction, then the REIT generally will be subject to an excise tax equal to 100% of the excessive portion of the payment. Further, if in comparison to an arm’s length transaction a third-party tenant has overpaid rent to the REIT in exchange for underpaying the TRS for services rendered, and if the REIT has not adequately compensated the TRS for services provided to or on behalf of the third-party tenant, then the REIT may be subject to an excise tax equal to 100% of the undercompensation to the TRS. A safe harbor exception to this excise tax applies if the TRS has been compensated at a rate at least equal to 150% of its direct cost in furnishing or rendering the service. Finally, the 100% excise tax also applies to the underpricing of services provided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TRS to its affiliated REIT in contexts where the services are unrelated to services for REIT tenants. Based on our transfer pricing analyses and policies, we believe that our TRSs have received and will continue to receive at least arm’s length compensation from our tenants or from us for the services they provide to our tenants or us. There can be no assurance that arrangements involving our TRSs will not result in the imposition of one or more of these restrictions or sanctions, but we do not believe that we or our TRSs are or will be subject to these impositions. </w:t>
      </w:r>
    </w:p>
    <w:p>
      <w:pPr>
        <w:pStyle w:val="TextBody"/>
        <w:bidi w:val="0"/>
        <w:spacing w:before="240" w:after="0"/>
        <w:jc w:val="left"/>
        <w:rPr>
          <w:rFonts w:ascii="Times New Roman" w:hAnsi="Times New Roman"/>
          <w:sz w:val="20"/>
        </w:rPr>
      </w:pPr>
      <w:r>
        <w:rPr>
          <w:rFonts w:ascii="Times New Roman" w:hAnsi="Times New Roman"/>
          <w:i/>
          <w:sz w:val="20"/>
        </w:rPr>
        <w:t>Our Assets as Real Property</w:t>
      </w:r>
      <w:r>
        <w:rPr>
          <w:rFonts w:ascii="Times New Roman" w:hAnsi="Times New Roman"/>
          <w:sz w:val="20"/>
        </w:rPr>
        <w:t xml:space="preserve">. Treasury regulations define “real property” for purposes of Section 856 of the Code to mean land or improvements thereon, such as buildings or other inherently permanent structures, including items which are structural components of such buildings or structures, and including interests in real property. Pursuant to these regulations, we believe that all or substantially all of our towers and the sites on which they are located (including any fencing, shelters and permanently installed backup generators) and our data centers (including their integrated core systems) are and will remain “real property” or “interests in real property” for purposes of Section 856 of the Code. We further believe that the portions of our intangible assets determined by our board of directors to be derived from and inseparable from our tower rental, colocation, and other real property rental businesses are and will remain “interests in real property” or “real property” for purposes of Section 856 of the Code. </w:t>
      </w:r>
    </w:p>
    <w:p>
      <w:pPr>
        <w:pStyle w:val="TextBody"/>
        <w:bidi w:val="0"/>
        <w:spacing w:before="240" w:after="0"/>
        <w:jc w:val="left"/>
        <w:rPr>
          <w:rFonts w:ascii="Times New Roman" w:hAnsi="Times New Roman"/>
          <w:sz w:val="20"/>
        </w:rPr>
      </w:pPr>
      <w:r>
        <w:rPr>
          <w:rFonts w:ascii="Times New Roman" w:hAnsi="Times New Roman"/>
          <w:sz w:val="20"/>
        </w:rPr>
        <w:t xml:space="preserve">Further, although there can be no assurance in this regard, we believe that our loans that are intended to be mortgages on real property for purposes of the REIT income and asset tests described below have in fact so qualified and will continue to qualify, to the extent that those loans are directly secured by real property or are indirectly and ultimately secured by real property pursuant to IRS guidance articulated in Revenue Ruling 80-280. </w:t>
      </w:r>
    </w:p>
    <w:p>
      <w:pPr>
        <w:pStyle w:val="TextBody"/>
        <w:bidi w:val="0"/>
        <w:spacing w:before="240" w:after="0"/>
        <w:jc w:val="left"/>
        <w:rPr>
          <w:rFonts w:ascii="Times New Roman" w:hAnsi="Times New Roman"/>
          <w:sz w:val="20"/>
        </w:rPr>
      </w:pPr>
      <w:r>
        <w:rPr>
          <w:rFonts w:ascii="Times New Roman" w:hAnsi="Times New Roman"/>
          <w:i/>
          <w:sz w:val="20"/>
        </w:rPr>
        <w:t>Income Tests</w:t>
      </w:r>
      <w:r>
        <w:rPr>
          <w:rFonts w:ascii="Times New Roman" w:hAnsi="Times New Roman"/>
          <w:sz w:val="20"/>
        </w:rPr>
        <w:t xml:space="preserve">. We must satisfy two gross income tests annually to maintain our qualification for taxation as a REIT. First, at least 75% of our gross income for each taxable year must be derived from investments relating to real property, including “rents from real property” within the meaning of Section 856(d) of the Code, interest and gain from mortgages on real property or on interests in real property, income and gain from foreclosure property, gain from the sale or other disposition of real property (including specified ancillary personal property treated as real property under the Code), or dividends on and gain from the sale or disposition of shares in other REITs (but excluding in all cases any gains subject to the 100% tax on prohibited transactions). When we receive new capital in exchange for our stock or in a public offering of our five-year or longer debt instruments, income attributable to the temporary investment of this new capital in stock or a debt instrument, if received or accrued within one year of our receipt of the new capital, is generally also qualifying income under the 75% gross income test. Second, at least 95% of our gross income for each taxable year must consist of income that is qualifying income for purposes of the 75% gross income test, other types of interest and dividends, gain from the sale or disposition of stock or securities, amounts described under Section 856(c)(5)(J)(ii) of the Code as producing income described in Section 856(c)(2) of the Code on account of either an IRS private letter ruling issued to us or administrative guidance, or any combination of these. Gross income from our sale of property that we hold primarily for sale to customers in the ordinary course of business, income and gain from specified “hedging transactions” that are clearly and timely identified as such, and income from the repurchase or discharge of indebtedness is excluded from both the numerator and the denominator in both gross income tests. In addition, specified foreign currency gains will be excluded from gross income for purposes of one or both of the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Although we will use our best efforts to ensure that the income generated by our investments will be of a type that satisfies both the 75% and 95% gross income tests, there can be no assurance that we will be successful in this regard.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qualify as “rents from real property” within the meaning of Section 856(d) of the Code, several requirements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rent received generally must not be based on the income or profits of any person, but may be based on a fixed percentage or percentages of receipts or sales. With respect to various obligations of ours that we pass through to our tenants, such as ground rents and property taxes, the passed-through amounts paid by our tenants are generally considered additional rental income received by us. We have received a private letter ruling from the IRS to the effect that, so long as the passed-through amounts are actually paid over to our own obligees, otherwise qualifying amounts we receive from our tenants that include passed-through amounts will be treated in full as qualifying under the 75% and 95% gross income tests, even if the passed-through amounts are based on income or profits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Rents generally do not qualify if the REIT owns 10% or more by vote or value of stock of the tenant (or 10% or more of the interests in the assets or net profits of the tenant, if the tenant is not a corporation), whether directly or after application of attribution rules. We generally do not intend to lease or license property to any party if rents from that property would not qualify as “rents from real property,” but application of the 10% ownership rule is dependent upon complex attribution rules and circumstances that may be beyond our control. Our Certificate of Incorporation generally disallows transfers or purported acquisitions, directly or by attribution, of our stock to the extent necessary to maintain our qualification for taxation as a REIT under the Code, but there can be no assurance that these restrictions will be effective to prevent our qualification for taxation as a REIT from being jeopardized under the 10% affiliated tenant rule. Furthermore, there can be no assurance that we will be able to monitor and enforce these restrictions, nor will our stockholders necessarily be aware of ownership of our stock attributed to them under the Code’s attribution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limited exception to the above prohibition on earning “rents from real property” from a 10% affiliated tenant where the tenant is a TRS. If at least 90% of the leased/licensed space of a property is leased/licensed to tenants other than TRSs and 10% affiliated tenants, and if the TRS’s rent to us for space at that property is substantially comparable to the rents paid by nonaffiliated tenants for comparable space at the property, then otherwise qualifying rents paid by the TRS to us will not be disqualified on account of the rule prohibiting 10% affiliated tenants. At some of our tower sites, data centers and other facilities, we may license space to a TRS so that, for example, the TRS can operate a backhaul antenna or other asset. In any such instance, we expect the total rents we receive from leasing/licensing space to our TRSs will qualify for the limited rental exception to a TRS. Whether rents paid by a TRS are substantially comparable to rents paid by other tenants is generally determined at the time the lease with the TRS is entered into, extended, and modified, if the modification increases the rents due under the lease. However, if a lease with a “controlled TRS” is modified and the modification results in an increase in the rents payable by the TRS, any increase will not qualify as “rents from real property”. For purposes of this rule, a “controlled TRS” is a TRS in which we own stock possessing more than 50% of the voting power or more than 50% of the total value of the outstanding stock, and we believe that most or all of our TRSs have been and will remain controlled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for rents to qualify, a REIT generally must not manage the property or furnish or render services to the tenants of the property, except through an independent contractor from whom it derives no income or through one of its TRSs. There is an exception to this rule permitting a REIT to perform customary management and tenant services of the sort that a tax-exempt organization could perform without being considered in receipt of “unrelated business taxable income” as defined in Section 512(b)(3) of the Code (“UBTI”). In addition, a de minimis amount of noncustomary services provided to tenants will not disqualify income as “rents from real property” as long as the value of the impermissible tenant services does not exceed 1% of the gross income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rent attributable to personal property leased in connection with a lease of real property is 15% or less of the total rent received under the lease, then the rent attributable to personal property will qualify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rents from real property”; if this 15% threshold is exceeded, then the rent attributable to personal property will not so qualify. The portion of rental income treated as attributable to personal property is determined according to the ratio of the fair market value of the personal property to the total fair market value of the real and personal property that is rented. While this 15% test generally is applied separately to each lease of real property, Treasury regulations provide that the test may be applied on an aggregate basis at a multi-tenanted facility with substantially similar leases, such that the aggregate rents received or accrued at the facility under substantially similar leases are tested by reference to the ratio of the fair market value of all rented personal property under such leases to the total fair market value of all rented real and personal property under such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“rents from real property” includes both charges we receive for services customarily rendered in connection with the rental of comparable real property in the same geographic area, as well as, in the opinion of our tax counsel Sullivan &amp; Worcester LLP and although the matter is not free from doubt, charges we receive for services provided by our TRSs that are not geographically customary whether or not the charges are separately stated. We believe that our revenues from TRS-provided services qualify as “rents from real property” for one or both of these reasons.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many of the services we render at our tower sites, data centers and other facilities, we believe that these services have been and are of the type that are usually or customarily performed in connection with the rental of tower space, colocation space and other real property in the relevant geographic areas and that can be performed by a tax-exempt organization without generating UBTI, and that these services thus satisfy both of the above customary standards above so that we may provide them without utilizing a TRS. Therefore, we believe that our provision of these customary services has not and will not cause rents and customary services revenues received with respect to our properties to fail to qualify as “rents from real property.” Impermissible tenant services at tower sites, data centers and other facilities generally have been and are expected to be provided by one or more independent contractors or TRSs under appropriate arrangements in order to avoid jeopardizing the qualification of our rental and related services revenues as “rents from real property.” We may provide de minimis levels of impermissible tenant services directly where the consideration we receive or accrue from such services does not materially adversely affect our ability to satisfy both the 75% and 95% gross income tests. If, contrary to our expectation, the IRS or a court were to determine that one or more services we provide to our tenants directly (and not through an independent contractor or a TRS) constitute impermissible tenant services, and that the amount of gross receipts we receive that is attributable to the provision of such services during a taxable year at a site or facility exceeds 1% of all gross receipts we received or accrued during such taxable year with respect to that site or facility, then all of the rents from that site or facility for such taxable year will be nonqualifying income for purposes of the 75% and 95% gross income tests. Although rents at any one site or facility are generally immaterial to our compliance with the 75% and 95% gross income tests, a finding by the IRS or a court of sufficient impermissible tenant services at a large number of sites or facilities could possibly jeopardize our ability to comply with the 95% gross income test, and, in an extreme case, possibly even jeopardize our ability to comply with the 75% gross income test. Under those circumstances, however, we expect that we would qualify for the gross income tests’ relief provision described below, and thereby would preserve our qualification for taxation as a REIT; however, the penalty taxes associated with this relief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In applying the above criteria, each lease or license of space is evaluated separately from each other lease or license, except that the 1% threshold for impermissible tenant services is applied on a site-by-site basis, as described above. For purposes of Section 856 of the Code, we believe that each site license under our master license agreements may be tested separately from each other site license under the above criteria, and we have received a private letter ruling from the IRS to that effect.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foreign properties, we have maintained, and will continue to maintain, appropriate books and records for our foreign properties in applicable local currencies. Accordingly, for federal income tax purposes, including presumably the 75% and 95% gross income tests summarized above, our income, gains and losses from our foreign operations that are not held in TRSs will generally be calculated first in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local currency, and then translated into U.S. dollars at appropriate exchange rates as necessary. On the periodic repatriation of monies from such foreign operations to the United States, we will be required to recognize foreign exchange gains or losses; however, we believe that the foreign exchange gains we recognize from repatriation generally will constitute “real estate foreign exchange gains” under Section 856(n)(2) of the Code, and will thus be excluded from the 75% and 95% gross income tests summarized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own interests in entities that are “controlled foreign corporations” for federal income tax purposes (“CFCs”), we are deemed to receive our allocable share of certain income (referred to as “Subpart F Income”) earned by such CFCs whether or not that income is actually distributed to us. Numerous exceptions apply in determining whether an item of income is Subpart F Income, including exceptions for rent received from an unrelated person and derived in the active conduct of a trade or business. Rents from real property are generally treated as earned in an active trade or business if the landlord/licensor regularly performs active and substantial management and operational functions with respect to the property while it is leased or licensed, but only if such activities are performed through the landlord/licensor’s own officers or staff of employees. We believe that our CFCs generally satisfy this active rental exception, and accordingly we have not recognized and do not expect to recognize material amounts of Subpart F Income. Further, we must also include in gross income the “global intangible low-taxed income” in respect of our CFCs. Pursuant to administrative guidance from the IRS, our “global intangible low-taxed income” and any Subpart F Income that we recognize qualifies under the 95% gross income test. However, we do not believe that our “global intangible low-taxed income” or our Subpart F Income qualifies under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Other than sales of foreclosure property, any gain that we realize on the sale of property held as inventory or other property held primarily for sale to customers in the ordinary course of a trade or business, together known as dealer gains, may be treated as income from a prohibited transaction that is subject to a penalty tax at a 100% rate. The 100% tax does not apply to gains from the sale of property that is held through a TRS, although such income will be subject to tax in the hands of the TRS at regular corporate income tax rates; we may therefore utilize our TRSs in transactions in which we might otherwise recognize dealer gains. Whether property is held as inventory or primarily for sale to customers in the ordinary course of a trade or business is a question of fact that depends on all the facts and circumstances surrounding each particular transaction. Sections 857(b)(6)(C) and (E) of the Code provide safe harbors pursuant to which limited sales of real property held for at least two years and meeting specified additional requirements will not be treated as prohibited transactions. However, compliance with the safe harbors is not always achievable in practice. We attempt to structure our activities to avoid transactions that are prohibited transactions, or otherwise conduct such activities through TRSs; but, there can be no assurance as to whether the IRS might successfully assert that one or more of our dispositions is subject to the 100% penalty tax. Gains subject to the 100% penalty tax are excluded from the 75% and 95% gross income tests, whereas real property gains that are not dealer gains or that are exempted from the 100% penalty tax on account of the safe harbors are considered qualifying gross income for purposes of the 75% and 95%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gain from dispositions of assets that we have recognized, or will recognize, in connection with our disposition of assets or other transactions, including through any partnerships, will generally qualify as income that satisfies the 75% and 95% gross income tests, and will not be dealer gains or subject to the 100% penalty tax. This is because our general intent has been and is to: (a) own and use our assets with a view to long-term income production and capital appreciation; (b) engage in the business of developing, owning, leasing and managing our existing towers and other properties and acquiring, developing, owning, leasing and managing new towers and properties; and (c) make occasional dispositions of our assets consistent with our long-term ownership objectives.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gross income test or the 95% gross income test in any taxable year, we may nevertheless qualify for taxation as a REIT for that year if we satisfy the following requirements: (a) our failure to meet the test is due to reasonable cause and not due to willful neglect; and (b) after we identify the failure, we file a schedule describing each item of our gross income included in the 75% gross income test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95% gross income test for that taxable year. Even if this relief provision does apply, a 100% tax is imposed upon the greater of the amount by which we failed the 75% gross income test or the amount by which we failed the 95% gross income test, with adjustments, multiplied by a fraction intended to reflect our profitability for the taxable year. This relief provision may apply to a failure of the applicable income tests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75% and 95% gross income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Asset Tests</w:t>
      </w:r>
      <w:r>
        <w:rPr>
          <w:rFonts w:ascii="Times New Roman" w:hAnsi="Times New Roman"/>
          <w:sz w:val="20"/>
        </w:rPr>
        <w:t xml:space="preserve">. At the close of each calendar quarter of each taxable year, we must also satisfy the following asset percentage tests in order to qualify for taxation as a REIT for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defined as real property (including interests in real property and interests in mortgages on real property or on interests in real property), ancillary personal property to the extent that rents attributable to such personal property are treated as rents from real property in accordance with the rules described above, cash and cash items, shares in other REITs, debt instruments issued by “publicly offered REITs” as defined in Section 562(c)(2) of the Code, government securities and temporary investments of new capital (that is, any stock or debt instrument that we hold that is attributable to any amount received by us (a) in exchange for our stock or (b) in a public offering of our five-year or longer debt instruments, but in each case only for the one-year period commencing with our receipt of the new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securities other than those securities that count favorably toward the preceding 75% asset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investments included in the preceding 25% asset class, the value of any one non-REIT issuer’s securities that we own may not exceed 5% of the value of our total assets. In addition, we may not own more than 10% of the vote or value of any one non-REIT issuer’s outstanding securities, unless the securities are “straight debt” securities or otherwise excepted as described below. Our stock and other securities in a TRS are exempted from these 5% and 10% asset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20% of the value of our total assets may be represented by stock or other securities of our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“nonqualified publicly offered REIT debt instruments” as defined in Section 856(c)(5)(L)(ii)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although the matter is not free from doubt, our investments in the equity or debt of a TRS of ours, to the extent that and during the period in which they qualify as temporary investments of new capital, will be treated as real estate assets, and not as securities, for purposes of the above REIT asset tests.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 private letter ruling we have received from the IRS and subsequently finalized Treasury regulations, we have developed, and our board of directors has adopted and utilized, a valuation model that determines the portions of our intangible assets that are derived from and inseparable from our real property and our rental businesses. For purposes of the above REIT asset tests, the fair market values of our assets are as determined by our board of directors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above REIT asset tests must be satisfied at the close of each calendar quarter of each taxable year as a REIT. After a REIT meets the asset tests at the close of any quarter, it will not lose its qualification for taxation as a REIT in any subsequent quarter solely because of fluctuations in the values of its assets, including if the fluctuations are caused by changes in the foreign currency exchange rate used to value any foreign assets. This grandfathering rule may be of limited benefit to a REIT such as us that makes periodic acquisitions of both qualifying and nonqualifying REIT assets. When a failure to satisfy the above asset tests results from an acquisition of securities or other property during a quarter, the failure can be cured by disposition of sufficient nonqualifying assets within 30 days after the close of that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we fail the 5% asset test, the 10% vote test or the 10% value test at the close of any quarter and we do not cure such failure within 30 days after the close of that quarter, that failure will nevertheless be excused if (a) the failure is de minimis and (b) within 6 months after the last day of the quarter in which we identify the failure, we either dispose of the assets causing the failure or otherwise satisfy the 5% asset test, the 10% vote test and the 10% value test. For purposes of this relief provision, the failure will be de minimis if the value of the assets causing the failure does not exceed $10,000,000. If our failure is not de minimis, or if any of the other REIT asset tests have been violated, we may nevertheless qualify for taxation as a REIT if (a) we provide the IRS with a description of each asset causing the failure, (b) the failure was due to reasonable cause and not willful neglect, (c) we pay a tax equal to the greater of (1) $50,000 or (2) the highest regular corporate income tax rate imposed on the net income generated by the assets causing the failure during the period of the failure, and (d) within 6 months after the last day of the quarter in which we identify the failure, we either dispose of the assets causing the failure or otherwise satisfy all of the REIT asset tests. These relief provisions may apply to a failure of the applicable asset tests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The Code also provides an excepted securities safe harbor to the 10% value test that includes among other items (a) “straight debt” securities, (b) specified rental agreements in which payment is to be made in subsequent years, (c) any obligation to pay “rents from real property,” (d) securities issued by governmental entities that are not dependent in whole or in part on the profits of or payments from a nongovernmental entity, and (e) any security issued by another REIT. In addition, any debt instrument issued by an entity classified as a partnership for federal income tax purposes, and not otherwise excepted from the definition of a security for purposes of the above safe harbor, will not be treated as a security for purposes of the 10% value test if at least 75% of the partnership’s gross income, excluding income from prohibited transactions, is qualifying income for purposes of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We have maintained and will continue to maintain records of the value of our assets to document our compliance with the above asset tests, and we intend to take actions as may be required to cure any failure to satisfy the tests within 30 days after the close of any quarter or within the six month periods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REIT asset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Annual Distribution Requirements</w:t>
      </w:r>
      <w:r>
        <w:rPr>
          <w:rFonts w:ascii="Times New Roman" w:hAnsi="Times New Roman"/>
          <w:sz w:val="20"/>
        </w:rPr>
        <w:t xml:space="preserve">. In order to qualify for taxation as a REIT under the Code, we are required to make annual distributions other than capital gain dividends to our stockholders in an amount at least equal to the excess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90% of our “real estate investment trust taxable income” and 90% of our net income after tax, if any, from property received in foreclosure, over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our noncash income (e.g., imputed rental income or income from transactions inadvertently failing to qualify as like-kind exchanges) exceeds 5% of our “real estate investment trust taxable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our “real estate investment trust taxable income” is as defined under Section 857 of the Code and is computed without regard to the dividends paid deduction and our net capital gain and will generally be reduced by specified corporate-level income taxes that we pay (e.g., taxes on built-in gains or depreciation recapture income). </w:t>
      </w:r>
    </w:p>
    <w:p>
      <w:pPr>
        <w:pStyle w:val="TextBody"/>
        <w:bidi w:val="0"/>
        <w:spacing w:before="240" w:after="0"/>
        <w:jc w:val="left"/>
        <w:rPr>
          <w:rFonts w:ascii="Times New Roman" w:hAnsi="Times New Roman"/>
          <w:sz w:val="20"/>
        </w:rPr>
      </w:pPr>
      <w:r>
        <w:rPr>
          <w:rFonts w:ascii="Times New Roman" w:hAnsi="Times New Roman"/>
          <w:sz w:val="20"/>
        </w:rPr>
        <w:t xml:space="preserve">The Code generally limits the deductibility of net interest expense paid or accrued on debt properly allocable to a trade or business to 30% of “adjusted taxable income,” subject to specified exceptions. Any deduction in excess of the limitation is carried forward and may be used in a subsequent year, subject to that year’s 30% limitation. Provided a taxpayer makes an election (which is irrevocable), the limitation on the deductibility of net interest expense does not apply to a trade or business involving real property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redevelopment, construction, reconstruction, acquisition, conversion, rental, operation, management, leasing or brokerage, within the meaning of Section 469(c)(7)(C) of the Code. When this election is made, specified depreciable real property (including specified improvements) held by the electing real property trade or business must be depreciated under the alternative depreciation system under the Code, which generally imposes longer class lives. Treasury regulations provide that a real property trade or business includes a trade or business conducted by a REIT. We have made an election to be treated as a real property trade or business and accordingly do not expect the foregoing interest deduction limitations to apply to us or to the calculation of our “real estate investment trust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must be paid in the taxable year to which they relate, or in the following taxable year if declared before we timely file our federal income tax return for the earlier taxable year and if paid on or before the first regular distribution payment after that declaration. If a dividend is declared in October, November or December to stockholders of record during one of those months and is paid during the following January, then for federal income tax purposes such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90% distribution requirements may be waived by the IRS if a REIT establishes that it failed to meet them by reason of distributions previously made to meet the requirements of the 4% excise tax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all of our net capital gain and all of our “real estate investment trust taxable income,” as adjusted, we will be subject to federal income tax at regular corporate income tax rates on undistributed amounts. In addition, we will be subject to a 4% nondeductible excise tax to the extent we fail within a calendar year to make required distributions to our stockholders of 85% of our ordinary income and 95% of our capital gain net income plus the excess, if any, of the “grossed up required distribution” for the preceding calendar year over the amount treated as distributed for that preceding calendar year. For this purpose, the term “grossed up required distribution” for any calendar year is the sum of our taxable income for the calendar year without regard to the deduction for dividends paid and all amounts from earlier years that are not treated as having been distributed under the provision. We will be treated as having sufficient earnings and profits to treat as a dividend any distribution by us up to the amount required to be distributed in order to avoid imposition of the 4% excise tax. </w:t>
      </w:r>
    </w:p>
    <w:p>
      <w:pPr>
        <w:pStyle w:val="TextBody"/>
        <w:bidi w:val="0"/>
        <w:spacing w:before="240" w:after="0"/>
        <w:jc w:val="left"/>
        <w:rPr>
          <w:rFonts w:ascii="Times New Roman" w:hAnsi="Times New Roman"/>
          <w:sz w:val="20"/>
        </w:rPr>
      </w:pPr>
      <w:r>
        <w:rPr>
          <w:rFonts w:ascii="Times New Roman" w:hAnsi="Times New Roman"/>
          <w:sz w:val="20"/>
        </w:rPr>
        <w:t xml:space="preserve">We may be able to rectify a failure to pay sufficient dividends for any year by paying “deficiency dividends” to stockholders in a later year. These deficiency dividends may be included in our deduction for dividends paid for the earlier year, but an interest charge would be imposed upon us for the delay in distribution. While the payment of a deficiency dividend will apply to a prior year for purposes of our REIT distribution requirements and our dividends paid deduction, it will be treated as an additional distribution to the stockholders receiving it in the year such dividend is paid.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distribution requirements above, to preserve our qualification for taxation as a REIT we are required to timely distribute all C corporation earnings and profits that we inherit from acquired corporations,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rather than distribute, some or all of our net capital gain and pay income tax on such gain. If we so elect by making a timely designation to our stockholders, our stockholders would include their proportionate share of such undistributed capital gain in their taxable income, and they would receive a corresponding credit for their share of the federal corporate income tax that we pay thereon. Our stockholders would then increase the adjusted tax basis of their stock by the difference between (a) the amount of capital gain dividends that we designated and that they included in their taxable income, and (b) the tax that we paid on their behalf with respect to that capital gain. </w:t>
      </w:r>
    </w:p>
    <w:p>
      <w:pPr>
        <w:pStyle w:val="TextBody"/>
        <w:bidi w:val="0"/>
        <w:spacing w:before="240" w:after="0"/>
        <w:jc w:val="left"/>
        <w:rPr>
          <w:rFonts w:ascii="Times New Roman" w:hAnsi="Times New Roman"/>
          <w:sz w:val="20"/>
        </w:rPr>
      </w:pPr>
      <w:r>
        <w:rPr>
          <w:rFonts w:ascii="Times New Roman" w:hAnsi="Times New Roman"/>
          <w:i/>
          <w:sz w:val="20"/>
        </w:rPr>
        <w:t xml:space="preserve">Acquisitions of C Corporations. </w:t>
      </w:r>
      <w:r>
        <w:rPr>
          <w:rFonts w:ascii="Times New Roman" w:hAnsi="Times New Roman"/>
          <w:sz w:val="20"/>
        </w:rPr>
        <w:t xml:space="preserve">From and after our first taxable year as a REIT, we have engaged in and may in the future engage in transactions where we acquire all of the outstanding stock of a C corporation.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after our first taxable year as a REIT, except to the extent we have made or do make an applicable TRS election, each of our acquired entities and their various wholly-owned corporate and noncorporate subsidiaries generally became or will become our QRSs. Thus, after such acquisitions, all assets, liabilities and items of income, deduction and credit of the acquired and then disregarded entities have been and will be treated as ours for purposes of the various REIT qualification tests described above. In addition, we generally have been and will be treated as the successor to the acquired (and then disregarded) entities’ federal income tax attributes, such as those entities’ (a) adjusted tax bases in their assets and their depreciation schedules; and (b) earnings and profits for federal income tax purposes, if any. The carryover of these attributes creates REIT implications such as built-in gains tax exposure and additional distribution requirements, as described below. However, when we make an election under Section 338(g) of the Code with respect to corporations that we acquire, we generally will not be subject to such attribute carryovers in respect of attributes existing prior to such election.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liquidate a TRS, convert a TRS to a QRS, or combine a TRS with an existing QRS, this generally constitutes a tax-free liquidation of the TRS into us, and we generally succeed to the former TRS’s tax attributes such as adjusted tax bases, depreciation schedules, and earnings and profits. The carryover of these attributes creates REIT implications such as built-in gains tax exposure and additional distribution requirements, as described below. </w:t>
      </w:r>
    </w:p>
    <w:p>
      <w:pPr>
        <w:pStyle w:val="TextBody"/>
        <w:bidi w:val="0"/>
        <w:spacing w:before="240" w:after="0"/>
        <w:jc w:val="left"/>
        <w:rPr>
          <w:rFonts w:ascii="Times New Roman" w:hAnsi="Times New Roman"/>
          <w:sz w:val="20"/>
        </w:rPr>
      </w:pPr>
      <w:r>
        <w:rPr>
          <w:rFonts w:ascii="Times New Roman" w:hAnsi="Times New Roman"/>
          <w:i/>
          <w:sz w:val="20"/>
        </w:rPr>
        <w:t>Built-in Gains from C Corporation</w:t>
      </w:r>
      <w:r>
        <w:rPr>
          <w:rFonts w:ascii="Times New Roman" w:hAnsi="Times New Roman"/>
          <w:sz w:val="20"/>
        </w:rPr>
        <w:t xml:space="preserve">s. Notwithstanding our qualification and taxation as a REIT, under specified circumstances we may be subject to corporate income taxation if we acquire a REIT asset where our adjusted tax basis in the asset is determined by reference to the adjusted tax basis of the asset as owned by a C corporation (such as an asset that we hold in a QRS following the liquidation or other conversion of a former TRS). For instance, we have engaged in transactions (and may in the future engage in transactions) where we may be subject to federal income taxation on all or part of the built-in gain that was present on the last date an asset was owned by a C corporation, if we succeeded to a carryover tax basis in that asset directly or indirectly from such C corporation and if we sold the asset during the five-year period beginning on the day the asset ceased being owned by such C corporation. In addition, if any assets so acquired are depreciated as personal property rather than real property, we may file appropriate accounting method changes in order that applicable assets will be depreciated in a fashion more commensurate with their status as real property under Section 856 of the Code. The depreciation recapture resulting under Section 481(a) of the Code from these accounting method changes will be subject to applicable federal corporate income tax liability, including under Sections 337(d) and 1374 of the Code. We generally do not expect our occasional sale of assets to have resulted in (or in the future result in) the imposition of a material built-in gains tax liability. If and when we do sell assets that may have associated built-in gains tax exposure, then we intend to make appropriate provision for the associated tax liabilities on our financial statements. </w:t>
      </w:r>
    </w:p>
    <w:p>
      <w:pPr>
        <w:pStyle w:val="TextBody"/>
        <w:bidi w:val="0"/>
        <w:spacing w:before="240" w:after="0"/>
        <w:jc w:val="left"/>
        <w:rPr>
          <w:rFonts w:ascii="Times New Roman" w:hAnsi="Times New Roman"/>
          <w:sz w:val="20"/>
        </w:rPr>
      </w:pPr>
      <w:r>
        <w:rPr>
          <w:rFonts w:ascii="Times New Roman" w:hAnsi="Times New Roman"/>
          <w:i/>
          <w:sz w:val="20"/>
        </w:rPr>
        <w:t>Earnings and Profits</w:t>
      </w:r>
      <w:r>
        <w:rPr>
          <w:rFonts w:ascii="Times New Roman" w:hAnsi="Times New Roman"/>
          <w:sz w:val="20"/>
        </w:rPr>
        <w:t xml:space="preserve">. Following a liquidation of a TRS or other corporate acquisition, we must generally distribute all of the C corporation earnings and profits inherited in that transaction, if any, no later than the end of our taxable year in which the transaction occurs, in order to preserve our qualification for taxation as a REIT. However, if we fail to do so, relief provisions would allow us to maintain our qualification for taxation as a REIT provided we distribute any subsequently discovered C corporation earnings and profits and pay an interest charge in respect of the period of delayed distribution. C corporation earnings and profits that we inherit are, in general, specially allocated under a priority rule to the earliest possible distributions following the event causing the inheritance, and only then is the balance of our earnings and profits for the taxable year allocated among our distributions to the extent not already treated as a distribution of C corporation earnings and profits under the priority rule. Special rules apply if we liquidate a foreign TRS, including as to the federal income tax bases in the assets that carry over to us, and as to the foreign earnings and profits which we must generally include as additional, recognized dividend income that counts favorably toward the 95% gross income test but not the 75% gross income test. In general, we will be required to distribute to our stockholders as additional dividend income, by the end of our taxable year in which the liquidation or conversion occurs, the accumulated earnings and profits of the liquidated foreign TRS.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116122_18"/>
      <w:bookmarkEnd w:id="32"/>
      <w:r>
        <w:rPr>
          <w:rFonts w:ascii="Times New Roman" w:hAnsi="Times New Roman"/>
          <w:b/>
          <w:sz w:val="20"/>
        </w:rPr>
        <w:t xml:space="preserve">MATERIAL U.S. FEDERAL INCOME TAX CONSIDERATIONS RELEVANT TO 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acquisition, ownership and disposition of our stock. The opinion of our tax counsel, Sullivan &amp; Worcester LLP, attached hereto as Exhibit 8.1, addresses these considerations, as set forth in this summary. Our tax counsel’s opinions are conditioned (a) upon the assumption that our Certificate of Incorporation, communications site licenses, and all other applicable legal documents to which we have been or are a party have been and will be complied with by all parties to those documents, (b) upon the accuracy and completeness of the factual matters described in this prospectus, (c) upon private letter rulings issued to us by the IRS as to certain federal income tax matters, (d) upon representations made by us to the IRS in connection with those rulings and (e)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and their stockholders,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our stockholders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A discussion of the specific U.S. federal income tax considerations that may be relevant to persons considering the purchase of common stock, preferred stock, warrants, purchase contracts, units or depositary shares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consequences of acquiring, owning and disposing of stock in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In addition, this summary is not exhaustive of all possible tax consequences, and does not discuss any estate, gift, state, local or foreign tax consequences or the Medicare tax on net investment income. For all these reasons, we urge any holder of or prospective acquiror of our stock to consult their own tax advisor about the federal income tax and other tax consequences of the acquisition, ownership and disposition of our stock.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based on existing law, and is limited to investors who acquire and own shares of our stock as investment assets rather than as inventory or as property used in a trade or business.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marks-to-market our stock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stockholder (as defined below) that has a functional currency other than the U.S. dollar;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owns 10% or more (by vote or value, directly or constructively under the Code) of any class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stockholder (as defined below) whose investment in our stock is effectively connected with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shareholder” (as defined in Section 897(k)(3)(A)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foreign pension fund” (as defined in Section 897(l)(2) of the Code) or any entity wholly owned by one or more qualified foreign pension funds;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subject to special tax accounting rules under Section 451(b) of the Code may be subject to special rules not discussed below, and such investors are encouraged to consult with their own tax advisors regarding the application and federal income tax consequences of these rules. Further, all investors considering purchasing our stock are urged to consult their own tax advisors concerning the application of U.S. federal income tax laws to their particular situation as well as any consequences of the purchase, ownership and disposition of our stock arising under the laws of any state, local or non-U.S.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stockholder.” For purposes of this summary, a “U.S. stockholder” is a beneficial owner of our stock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stockholder is not overridden by an applicable tax treaty. Conversely, a “non-U.S. stockholder” is a beneficial owner of our stock that is not an entity (or other arrangement) treated as a partnership for federal income tax purposes and is not a U.S.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stock, the tax treatment of a partner in the partnership generally will depend upon the tax status of the partner and the activities of the partnership. Any entity (or other arrangement) treated as a partnership for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that is a holder of our stock and the partners in such a partnership (as determined for federal income tax purposes) are urged to consult their own tax advisors about the federal income tax consequences and other tax consequences of the acquisition, ownership and disposition of our stock.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our stockholders will be subject to tax in the same manner as stockholders of a regular C corporation. In that event, to the extent of our current and accumulated earnings and profits, all distributions to our stockholders will generally be taxable as ordinary dividends potentially eligible for preferential tax rates described below and, for our corporate stockholders and subject to limitations in the Code, will be eligible for the dividends received deduction.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we expect to make distributions to our stockholders from time to time. These distributions may include cash distributions, in-kind distributions of property, and deemed or constructive distributions resulting from capital market activities. The U.S. federal income tax treatment of our distributions will vary based on the status of the recipient stockholder as more fully described below under the headings “—Taxation of Taxable U.S. Stockholders,” “—Taxation of Tax-Exempt U.S. Stockholders,” and “—Taxation of Non-U.S.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302 of the Code treats a redemption of our stock for cash only as a distribution under Section 301 of the Code, taxable as a dividend to the extent of our available current or accumulated earnings and profits, unless the redemption satisfies one of the tests set forth in Section 302(b) of the Code enabling the redemption to be treated as a sale or exchange of the shares of our stock. The redemption for cash only will be treated as a sale or exchange if it (a) is “substantially disproportionate” with respect to the surrendering stockholder’s ownership in us, (b) results in a “complete termination” of the surrendering stockholder’s entire share interest in us, or (c) is “not essentially equivalent to a dividend” with respect to the surrendering stockholder, all within the meaning of Section 302(b) of the Code. In determining whether any of these tests have been met, a stockholder must generally take into account shares of our stock considered to be owned by such stockholder by reason of constructive ownership rules set forth in the Code, as well as shares of our stock actually owned by such stockholder. In addition, if a redemption is treated as a distribution under the preceding tests, then a stockholder’s tax basis in the redeemed shares of our stock generally will be transferred to the stockholder’s remaining shares of our stock, if any, and if such stockholder owns no other shares of our stock, such basis generally may be transferred to a related person or may be lost entirely. Because the determination as to whether a stockholder will satisfy any of the tests of Section 302(b) of the Code depends upon the facts and circumstances at the time that shares of our stock are redeemed, we urge you to consult your own tax advisor to determine your particular tax treatment of any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noncorporate U.S. stockholders, to the extent that their total adjusted income does not exceed applicable thresholds, the maximum federal income tax rate for long-term capital gains and most corporate dividends is generally 15%. For those noncorporate U.S. stockholders whose total adjusted income exceeds the applicable thresholds, the maximum federal income tax rate for long-term capital gains and most corporate dividends is generally 20%. However, because we are not generally subject to federal income tax on the portion of our “real estate investment trust taxable income” distributed to our stockholders, dividends on our stock generally are not eligible for these preferential tax rates, except that any distribution of C corporation earnings and profits, taxed built-in gain items and recognized dividend income in respect of foreign earnings and profits from qualifying TRSs will potentially be eligible for these preferential tax rates for qualified dividend income. As a result, our ordinary dividends are generally taxed at the higher federal income tax rates applicable to ordinary income (subject to the lower effective tax rates applicable to qualified REIT dividends via the deduction-without-outlay mechanism of Section 199A of the Code, which is generally available for taxable years before 2026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noncorporate U.S. stockholders that meet specified holding period requirements, and which may or may not be extended by legislation to 2026 or later taxable years). To summarize, the preferential federal income tax rates for long-term capital gains and for qualified dividends generally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capital gains, if any, recognized on the disposition of shares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distributions designated as long-term capital gain dividends (except to the extent attributable to real estate depreciation recapture, in which case the distributions are subject to a maximum 25% federal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dividend income, if any, received by us from C corporations such as domestic TRSs and qualifying foreign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earnings and profits that we inherit from C corporations;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to the extent attributable to income upon which we have paid federal corporate income tax (such as sale gains subject to taxes on built-in gains), net of the corporate income taxes thereon.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long as we qualify for taxation as a REIT, a distribution to our U.S. stockholders that we do not designate as a capital gain dividend generally will be treated as an ordinary income dividend to the extent of our available current or accumulated earnings and profits (subject to the lower effective tax rates applicable to qualified REIT dividends via the deduction-without-outlay mechanism of Section 199A of the Code, which is generally available for taxable years before 2026 to our noncorporate U.S. stockholders that meet specified holding period requirements). Distributions made out of our current or accumulated earnings and profits that we properly designate as capital gain dividends generally will be taxed as long-term capital gains, as described below, to the extent they do not exceed our actual net capital gain for the taxable year. However, corporate U.S. stockholders may be required to treat up to 20% of any capital gain dividend as ordinary income under Section 291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retain net capital gain income and treat it as constructively distributed. In that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capital gains tax rates on retained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be taxed on its designated proportionate share of our retained net capital gains as though that amount was distributed and designated as a capital gain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receive a credit or refund for its designated proportionate share of the tax that we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increase its adjusted basis in our stock by the excess of the amount of its proportionate share of these retained net capital gains over the U.S. stockholder’s proportionate share of the tax that we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we and our corporate stockholders will make commensurate adjustments in our respective earnings and profits for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elect to retain our net capital gains in this fashion, we will notify our U.S. stockholders of the relevant tax information within 60 days after the close of the affected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for any taxable year we designate capital gain dividends for our U.S. stockholders, then a portion of the capital gain dividends we designate will be allocated to the holders of a particular class of stock on a percentage basis equal to the ratio of the amount of the total dividends paid or made available for the year to the holders of that class of stock to the total dividends paid or made available for the year to holders of all outstanding classes of our stock. We will similarly designate the portion of any dividend that is to be taxed to noncorporate U.S. stockholders at preferential maximum rates (including any qualified dividend income and any capital gains attributable to real estate depreciation recapture that are subject to a maximum 25% federal income tax rate) so that the designations will be proportionate among all outstanding classes of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Distributions in excess of our current or accumulated earnings and profits will not be taxable to a U.S. stockholder to the extent that they do not exceed the U.S. stockholder’s adjusted tax basis in our stock, but will reduce the U.S. stockholder’s basis in such stock. To the extent that these excess distributions exceed a U.S. stockholder’s adjusted basis in such stock, they will be included in income as capital gain, with long-term gain generally taxed to noncorporate U.S. stockholders at preferential maximum rates. No U.S. stockholder may include on its federal income tax return any of our net operating losses or any of our capital losses. In addition, no portion of any of our dividends is eligible for the dividends received deduction for corporate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 dividend is declared in October, November or December to stockholders of record during one of those months and is paid during the following January, then for federal income tax purposes the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preferential tax rates available to noncorporate U.S. stockholders for qualified dividend income are not available unless the stock on which an otherwise qualifying dividend is paid has been held for 61 days or more during the 121-day period beginning 60 days before the date on which the stock becomes ex-dividend. For purposes of calculating this 61-day holding period, any period in which the stockholder has an option to sell, is under a contractual obligation to sell or has made and not closed a short sale of our stock, has granted certain options to buy substantially identical stock or securities, or holds one or more other positions in substantially similar or related property that diminishes the risk of loss from holding our stock, will not be counted toward the required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generally recognize gain or loss equal to the difference between the amount realized and the U.S. stockholder’s adjusted basis in our stock that is sold or exchanged. This gain or loss will be capital gain or loss, and will be long-term capital gain or loss if the U.S. stockholder’s holding period in the stock exceeds one year. In addition, any loss upon a sale or exchange of our stock held for six months or less will generally be treated as a long-term capital loss to the extent of any long-term capital gain dividends we paid on such stock during the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disposition of our stock in an amount that exceeds certain thresholds beginning as low as $2,000,000 (and currently described in more detail in the instructions to IRS Form 8886), it is possible that the provisions of Treasury regulations involving “reportable transactions” could apply, with a resulting requirement to separately disclose the loss-generating transaction to the IRS. Failure to comply with these requirements could result in significant penalties. </w:t>
      </w:r>
    </w:p>
    <w:p>
      <w:pPr>
        <w:pStyle w:val="TextBody"/>
        <w:bidi w:val="0"/>
        <w:spacing w:before="240" w:after="0"/>
        <w:jc w:val="left"/>
        <w:rPr>
          <w:rFonts w:ascii="Times New Roman" w:hAnsi="Times New Roman"/>
          <w:sz w:val="20"/>
        </w:rPr>
      </w:pPr>
      <w:r>
        <w:rPr>
          <w:rFonts w:ascii="Times New Roman" w:hAnsi="Times New Roman"/>
          <w:sz w:val="20"/>
        </w:rPr>
        <w:t xml:space="preserve">Noncorporate U.S. stockholders who borrow funds to finance their acquisition of our stock could be limited in the amount of deductions allowed for the interest paid on the indebtedness incurred. Under Section 163(d) of the Code, interest paid or accrued on indebtedness incurred or continued to purchase or carry property held for investment is generally deductible only to the extent of the investor’s net investment income. A U.S. stockholder’s net investment income will include ordinary income dividend distributions received from us and, only if an appropriate election is made by the U.S. stockholder, capital gain dividend distributions and qualified dividends received from us; however, distributions treated as a nontaxable return of the stockholder’s basis will not enter into the computation of net investment income.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federal income taxation of tax-exempt entities are complex, and the following discussion is intended only as a summary of material considerations of an investment in our stock relevant to such investors. If you are a tax-exempt stockholder, we urge you to consult your own tax advisor to determine the impact of federal, state, local and foreign tax laws, including any tax return filing and other reporting requirements, with respect to your acquisition of or investment in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stockholders that are tax-exempt pension plans, individual retirement accounts or other qualifying tax-exempt entities, and that receive (a) distributions from us, or (b) proceeds from the sale of our stock, should not have such amounts treated as UBTI, provided in each case (x) that the stockholder has not financed its acquisition of our stock with “acquisition indebtedness” within the meaning of the Code, (y) that the stock is not otherwise used in an unrelated trade or business of the tax-exempt entity, and (z) that, consistent with our present intent, we do not hold a residual interest in a real estate mortgage investment conduit or otherwise hold mortgage assets or conduct mortgage securitization activities that generate “excess inclusion” income.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non-U.S. stockholders are complex, and the following discussion is intended only as a summary of material considerations of an investment in our stock relevant to such investors. If you are a non-U.S. stockholder, we urge you to consult your own tax advisor to determine the impact of U.S. federal, state, local and foreign tax laws, including any tax return filing and other reporting requirements, with respect to your acquisition of or investment in our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a non-U.S. stockholder’s receipt of (a) distributions from us, and (b) proceeds from the sale of our stock, will not be treated as income effectively connected with a U.S. trade or business and a non-U.S. stockholder will therefore not be subject to the often higher federal tax and withholding rates, branch profits taxes and increased reporting and filing requirements that apply to income effectively connected with a U.S. trade or business. This expectation and a number of the determinations below are predicated on our stock (including our common stock) being listed on a U.S. national securities exchange, such as the NYSE. Each class of our stock has been listed on a U.S. national securities exchange; however, we can provide no assurance that our common stock will continue to be so listed in future taxable years or that any class of our stock that we may issue in the future will be so listed. </w:t>
      </w:r>
    </w:p>
    <w:p>
      <w:pPr>
        <w:pStyle w:val="TextBody"/>
        <w:bidi w:val="0"/>
        <w:spacing w:before="240" w:after="0"/>
        <w:jc w:val="left"/>
        <w:rPr>
          <w:rFonts w:ascii="Times New Roman" w:hAnsi="Times New Roman"/>
          <w:sz w:val="20"/>
        </w:rPr>
      </w:pPr>
      <w:r>
        <w:rPr>
          <w:rFonts w:ascii="Times New Roman" w:hAnsi="Times New Roman"/>
          <w:i/>
          <w:sz w:val="20"/>
        </w:rPr>
        <w:t xml:space="preserve">Distributions. </w:t>
      </w:r>
      <w:r>
        <w:rPr>
          <w:rFonts w:ascii="Times New Roman" w:hAnsi="Times New Roman"/>
          <w:sz w:val="20"/>
        </w:rPr>
        <w:t xml:space="preserve">A distribution by us to a non-U.S. stockholder that is not designated as a capital gain dividend will be treated as an ordinary income dividend to the extent that it is made out of our current or accumulated earnings and profits. A distribution of this type will generally be subject to U.S. federal income tax and withholding at the rate of 30%, or at a lower rate if the non-U.S. stockholder has in the manner prescribed by the IRS demonstrated to the applicable withholding agent its entitlement to benefits under a tax treaty. Because we cannot determine our current and accumulated earnings and profits until the end of the taxable year, withholding at the statutory rate of 30% or applicable lower treaty rate will generally be imposed on the gross amount of any distribution to a non-U.S. stockholder that we make and do not designate as a capital gain dividend. Notwithstanding this potential withholding on distributions in excess of our current and accumulated earnings and profits, these excess portions of distributions are a nontaxable return of capital to the extent that they do not exceed the non-U.S. stockholder’s adjusted basis in our stock, and the nontaxable return of capital will reduce the adjusted basis in such stock. To the extent that distributions in excess of our current and accumulated earnings and profits exceed the non-U.S. stockholder’s adjusted basis in our stock, the distributions will give rise to federal income tax liability only in the unlikely event that the non-U.S. stockholder would otherwise be subject to tax on any gain from the sale or exchange of such stock, as described below under the heading “—Dispositions of Our Stock.” A non-U.S. stockholder may seek a refund from the IRS of amounts withheld on distributions to it in excess of such stockholder’s allocable share of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a class of our stock is listed on a U.S. national securities exchange, capital gain dividends that we declare and pay to a non-U.S. stockholder on shares of that class of stock, as well as dividends to a non-U.S. stockholder on shares of that class of stock attributable to our sale or exchange of “United States real property interests” within the meaning of Section 897 of the Code (“USRPIs”) will not be subject to withholding as though those amounts were effectively connected with a U.S. trade or business, and non-U.S. stockholders will not be required to file U.S. federal income tax returns or pay branch profits tax in respect of these dividends. Instead, these dividends will generally be treated as ordinary dividends and subject to withholding in the manner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treaties may reduce the withholding obligations on our distributions. Under some treaties, however, rates below 30% that are applicable to ordinary income dividends from U.S. corporations may not apply to ordinary income dividends from a REIT or may apply only if the REIT meets specified additional conditions. A non-U.S. stockholder must generally use an applicable IRS Form W-8, or substantially similar form, to claim tax treaty benefits. If the amount of tax withheld with respect to a distribution to a non-U.S. stockholder exceeds the stockholder’s U.S. federal income tax liability with respect to the distribution, the non-U.S. stockholder may file for a refund of the excess from the IRS. Treasury regulations also provide special rules to determine whether, for purposes of determining the applicability of a tax treaty, our distributions to a non-U.S. stockholder that is an entity should be treated as paid to the entity or to those owning an interest in that entity, and whether the entity or its owners are entitled to benefits under the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class of our stock was not listed on a U.S. national securities exchange and we made a distribution on that stock that was attributable to gain from the sale or exchange of a USRPI, then a non-U.S. stockholder holding that stock would be taxed as if the distribution was gain effectively connected with a trade or business in the United States conducted by the non-U.S. stockholder. In addition, the applicable withholding agent would be required to withhold from a distribution to such a non-U.S. stockholder, and remit to the IRS, up to 21% of the maximum amount of any distribution that was or could have been designated as a capital gain dividend. The non-U.S. stockholder also would generally be subject to the same treatment as a U.S. stockholder with respect to the distribution (subject to any applicable alternative minimum tax and a special alternative minimum tax in the case of a nonresident alien individual), would be subject to fulsome U.S. federal income tax return reporting requirements, and, in the case of a corporate non-U.S. stockholder, may owe the up to 30% branch profits tax under Section 884 of the Code (or lower applicable tax treaty rate) in respect of these amounts.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is not entirely clear on the matter, it appears that amounts designated by us as undistributed capital gain in respect of our shares that are held by non-U.S. stockholders generally should be treated in the same manner as actual distributions by us of capital gain dividends. Under this approach, the non-U.S. stockholder would be able to offset as a credit against its resulting U.S. federal income tax liability its proportionate share of the tax paid by us on the undistributed capital gain treated as distributed to the non-U.S. stockholder, and receive from the IRS a refund to the extent its proportionate share of the tax paid by us were to exceed the non-U.S. stockholder’s actual U.S. federal income tax liability on such deemed distribution. If we were to designate any portion of our net capital gain as undistributed capital gain, a non-U.S. stockholder should consult its tax advisors regarding taxation of such undistributed capital gain. </w:t>
      </w:r>
    </w:p>
    <w:p>
      <w:pPr>
        <w:pStyle w:val="TextBody"/>
        <w:bidi w:val="0"/>
        <w:spacing w:before="240" w:after="0"/>
        <w:jc w:val="left"/>
        <w:rPr>
          <w:rFonts w:ascii="Times New Roman" w:hAnsi="Times New Roman"/>
          <w:sz w:val="20"/>
        </w:rPr>
      </w:pPr>
      <w:r>
        <w:rPr>
          <w:rFonts w:ascii="Times New Roman" w:hAnsi="Times New Roman"/>
          <w:i/>
          <w:sz w:val="20"/>
        </w:rPr>
        <w:t xml:space="preserve">Dispositions of Our Stock. </w:t>
      </w:r>
      <w:r>
        <w:rPr>
          <w:rFonts w:ascii="Times New Roman" w:hAnsi="Times New Roman"/>
          <w:sz w:val="20"/>
        </w:rPr>
        <w:t xml:space="preserve">If, as expected, our stock is not a USRPI, then a non-U.S. stockholder’s gain on the sale of our stock generally will not be subject to U.S. federal income taxation or withholding. We expect that our stock will not be a USRPI because one or both of the following exemptions will be available at all times. </w:t>
      </w:r>
    </w:p>
    <w:p>
      <w:pPr>
        <w:pStyle w:val="TextBody"/>
        <w:bidi w:val="0"/>
        <w:spacing w:before="240" w:after="0"/>
        <w:jc w:val="left"/>
        <w:rPr>
          <w:rFonts w:ascii="Times New Roman" w:hAnsi="Times New Roman"/>
          <w:sz w:val="20"/>
        </w:rPr>
      </w:pPr>
      <w:r>
        <w:rPr>
          <w:rFonts w:ascii="Times New Roman" w:hAnsi="Times New Roman"/>
          <w:sz w:val="20"/>
        </w:rPr>
        <w:t xml:space="preserve">First, for so long as a class of our stock is listed on a U.S. national securities exchange, a non-U.S. stockholder’s gain on the sale of that stock will not be subject to U.S. federal income taxation as a sale of a USRPI. Second, shares of our stock will not constitute USRPIs if we are a “domestically controlled” REIT. We will be a “domestically controlled” REIT if less than 50% of the value of our stock (including any future class of stock that we may issue) is held, directly or indirectly, by non-U.S. stockholders at all times during the preceding five years, after applying specified presumptions regarding the ownership of shares of our stock as described in Section 897(h)(4)(E) of the Code. For these purposes, we believe that the statutory ownership presumptions apply to validate our status as a “domestically controlled” REIT. Accordingly, we believe that we are and will remain a “domestically controlled” REIT.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gain on the sale of our stock is subject to U.S. federal income taxation (for example, because neither of the above exemptions were then available, i.e., that class of our stock was not then listed on a U.S. national securities exchange and we were not a “domestically controlled” REIT), then (a) a non-U.S. stockholder would generally be subject to the same treatment as a U.S. stockholder with respect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 (subject to any applicable alternative minimum tax and a special alternative minimum tax in the case of nonresident alien individuals), (b) the non-U.S. stockholder would also be subject to fulsome U.S. federal income tax return reporting requirements, and (c) a purchaser of that class of our stock from the non-U.S. stockholder may be required to withhold 15% of the purchase price paid to the non-U.S. stockholder and to remit the withheld amount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backup withholding and foreign account withholding may apply to distributions or proceeds paid to our stockholders. Information returns will be filed with the IRS in connection with distributions on our stock made to, and proceeds of dispositions of our stock effected by, certain stockholders. In addition, certain U.S. stockholders may be subject to backup withholding in respect of such amounts if they do not provide their taxpayer identification numbers to the person from whom they receive payments. Non-U.S. stockholders may be required to comply with applicable certification procedures to establish that they are not U.S. stockholders in order to obtain exemption from backup withholding and any available exemption from information reporting requirements. The amount of any backup withholding from a payment to a U.S. or non-U.S. stockholder will be allowed as a credit against the stockholder’s U.S. federal income tax liability and may entitle the stockholder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any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dividends on our stock. In general, to avoid withholding, any non-U.S. intermediary through which a stockholder owns our stock must establish its compliance with the foregoing regime, and a non-U.S. stockholder must provide specified documentation (usually an applicable IRS Form W-8) containing information about its identity, its status, and if required its direct and indirect U.S. owners. Non-U.S. stockholders and stockholders who hold our stock through a non-U.S. intermediary are urged to consult their own tax advisor regarding foreign account tax compliance. </w:t>
      </w:r>
    </w:p>
    <w:p>
      <w:pPr>
        <w:pStyle w:val="TextBody"/>
        <w:bidi w:val="0"/>
        <w:spacing w:before="240" w:after="0"/>
        <w:jc w:val="left"/>
        <w:rPr>
          <w:rFonts w:ascii="Times New Roman" w:hAnsi="Times New Roman"/>
          <w:sz w:val="20"/>
        </w:rPr>
      </w:pPr>
      <w:r>
        <w:rPr>
          <w:rFonts w:ascii="Times New Roman" w:hAnsi="Times New Roman"/>
          <w:sz w:val="20"/>
        </w:rPr>
        <w:t xml:space="preserve">To satisfy withholding obligations, the applicable withholding agent may collect the amount of U.S. federal tax required to be withheld by reducing to cash for remittance to the IRS a sufficient portion of the property that the stockholder would otherwise receive or own, and the stockholder may bear brokerage or other costs for this withholding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116122_19"/>
      <w:bookmarkEnd w:id="33"/>
      <w:r>
        <w:rPr>
          <w:rFonts w:ascii="Times New Roman" w:hAnsi="Times New Roman"/>
          <w:b/>
          <w:sz w:val="20"/>
        </w:rPr>
        <w:t xml:space="preserve">MATERIAL U.S. FEDERAL INCOME TAX CONSIDERATIONS RELEVANT TO HOLDERS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purchase of fixed rate debt securities covered by this prospectus. The opinion of our tax counsel, Sullivan &amp; Worcester LLP, attached hereto as Exhibit 8.1, addresses these considerations, as set forth in this summary. Any opinion of Sullivan &amp; Worcester LLP will be expressed as of the date issued. Our tax counsel will have no obligation to advise us or holders of our securities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A discussion of the specific U.S. federal income tax considerations that may be relevant to persons considering the purchase of convertible debt securities, short-term debt securities (generally, debt securities having maturities of not more than one year), floating rate debt securities or foreign currency debt securities,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which does not represent tax advice, is based on laws, regulations, rulings and decisions now in effect, all of which are subject to change (potentially with retroactive effect) or possible differing interpretations. This summary deals only with debt securities that will be held as capital assets and, except where otherwise specifically stated, is addressed only to persons who purchase debt securities in the initial offering.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classified as a partnership for U.S. federal income tax purposes (and investors in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debt securities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debt securities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purchasers of debt securities that are holders of any obligations that may be paid using the proceeds from the issuance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discuss any state, local, foreign or other tax considerations not specifically addressed below or the Medicare tax on net investment income. In addition, prospective purchasers of debt securities who are subject to special tax accounting rules under Section 451(b) of the Code may be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special rules not discussed below, and such prospective purchasers are encouraged to consult with their own tax advisors regarding the application and federal income tax consequences of these rules. Further, all prospective purchasers of debt securities should review the accompanying prospectus supplements for summaries of special federal income tax considerations that may be relevant to a particular issue of debt securities, and are urged to consult their own tax advisors concerning the application of U.S. federal income tax laws and other tax consequences to their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Holder.” For purposes of this summary, a “U.S. Holder” is a beneficial owner of a debt security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Holder is not overridden by an applicable tax treaty. Conversely, a “Non-U.S. Holder” is a beneficial owner of a debt security that is not an entity (or other arrangement) treated as a partnership for U.S. federal income tax purposes and is not a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debt securities, the tax treatment of a partner in the partnership generally will depend upon the tax status of the partner and the activities of the partnership. Any entity (or other arrangement) treated as a partnership for federal income tax purposes that is a holder of our debt securities and the partners in such a partnership (as determined for federal income tax purposes) are urged to consult their own tax advisors about the federal income tax consequences and other tax consequences of the acquisition, ownership and disposition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we may choose or be obligated to pay amounts in excess of the stated interest or principal on our debt securities or redeem debt securities (including with any applicable premium) prior to their stated maturity. Notwithstanding the possibility of such payments, under applicable Treasury regulations, payments on debt securities that are subject to either a remote or incidental contingency may be ignored. For this reason, unless we give notice in the accompanying prospectus supplement to the contrary, we intend to take the position that our debt securities will not be treated as contingent payment debt instruments under the applicable Treasury regulations. Our determination that our debt securities are not contingent payment debt instruments is not binding on the IRS. Our determination that our debt securities are not contingent payment debt instruments is binding on you unless you disclose your contrary position to the IRS in the manner prescribed by applicable Treasury regulations. If the IRS were to challenge successfully this determination and our debt securities were treated as contingent payment debt instruments, you might be required, among other things, to accrue interest income (regardless of your method of accounting for federal income tax purposes) at a rate higher than the stated interest rate on our debt securities, and treat as ordinary income, rather than as capital gain, any gain recognized on a sale, exchange or redemption of a debt security. Prospective purchasers of our debt securities are urged to consult their tax advisors regarding the tax consequences of debt securities being treated as contingent payment debt instruments. The remainder of this discussion assumes that our debt securities will not be treated as contingent payment debt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i/>
          <w:sz w:val="20"/>
        </w:rPr>
        <w:t>Payments of Interest</w:t>
      </w:r>
      <w:r>
        <w:rPr>
          <w:rFonts w:ascii="Times New Roman" w:hAnsi="Times New Roman"/>
          <w:sz w:val="20"/>
        </w:rPr>
        <w:t xml:space="preserve">. Payments of qualified stated interest (as defined below under “—Original Issue Discount”) on a debt security will be taxable to a U.S. Holder as ordinary interest income at the time that such payments are accrued or are received (in accordance with the U.S. Holder’s method of tax accounting). </w:t>
      </w:r>
    </w:p>
    <w:p>
      <w:pPr>
        <w:pStyle w:val="TextBody"/>
        <w:bidi w:val="0"/>
        <w:spacing w:before="240" w:after="0"/>
        <w:jc w:val="left"/>
        <w:rPr>
          <w:rFonts w:ascii="Times New Roman" w:hAnsi="Times New Roman"/>
          <w:sz w:val="20"/>
        </w:rPr>
      </w:pPr>
      <w:r>
        <w:rPr>
          <w:rFonts w:ascii="Times New Roman" w:hAnsi="Times New Roman"/>
          <w:i/>
          <w:sz w:val="20"/>
        </w:rPr>
        <w:t>Purchase, Sale, Exchange, Retirement or other Disposition of Debt Securities</w:t>
      </w:r>
      <w:r>
        <w:rPr>
          <w:rFonts w:ascii="Times New Roman" w:hAnsi="Times New Roman"/>
          <w:sz w:val="20"/>
        </w:rPr>
        <w:t xml:space="preserve">. A U.S. Holder’s tax basis in a debt security generally will equal the cost of such debt security to such U.S. Holder, increased by (as described below) any amounts includible in income by the U.S. Holder as original issue discount (“OID”) and market discount, and reduced by (as described below) any amortized premium and any payments other than payments of qualified stated interest made on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sale, exchange, retirement or other disposition of a debt security, a U.S. Holder generally will recognize gain or loss equal to the difference between the amount realized on the sale, exchange or retirement (less any accrued qualified stated interest (as defined below under “—Original Issue Discount”), which will be taxable as such) and the U.S. Holder’s adjusted tax basis in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with respect to market discount, gain or loss recognized by a U.S. Holder generally will be long-term capital gain or loss if the U.S. Holder has held the debt security for more than one year at the time of disposition. Long-term capital gains recognized by a noncorporate U.S. Holder, including an individual, generally are subject to tax at a lower rate than short-term capital gains or ordinary income.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Original Issue Discount</w:t>
      </w:r>
      <w:r>
        <w:rPr>
          <w:rFonts w:ascii="Times New Roman" w:hAnsi="Times New Roman"/>
          <w:sz w:val="20"/>
        </w:rPr>
        <w:t xml:space="preserve">. In addition to, or as an alternative to, bearing qualified stated interest (as defined below), a debt security may be issued with OID. U.S. Holders of debt securities with OID generally will be subject to the special tax accounting rules for obligations issued with OID provided by the Code and certain regulations promulgated thereunder. Debt securities issued with OID will be referred to as “original issue discount debt securities.” Notice will be given in the accompanying prospectus supplement when we determine that a particular debt security is an original issue discount debt security. U.S. Holders of such original issue discount debt securities should be aware that, as described in greater detail below, they generally must include OID in ordinary gross income for federal income tax purposes as it accrues, in advance of the receipt of cash attributable to that income.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will generally be considered to be issued with OID if its stated redemption price at maturity (as defined below) exceeds its issue price (as defined below) by an amount equal to or greater than the product of 0.25% of such stated redemption price multiplied by the number of complete years to maturity. The “stated redemption price at maturity” of a debt security is generally the sum of all payments to be made on the debt security other than qualified stated interest (as defined below). “Qualified stated interest” is generally stated interest that is unconditionally payable in cash or in property (other than our debt instruments) at least annually during the entire term of a debt security at a single fixed rate or, subject to certain conditions, based on one or more interest indices. The “issue price” of each debt security in a particular offering will generally be the first price at which a substantial amount of that particular offering is sold to the public (ignoring sales to underwriters, placement agents or wholesalers). </w:t>
      </w:r>
    </w:p>
    <w:p>
      <w:pPr>
        <w:pStyle w:val="TextBody"/>
        <w:bidi w:val="0"/>
        <w:spacing w:before="240" w:after="0"/>
        <w:jc w:val="left"/>
        <w:rPr>
          <w:rFonts w:ascii="Times New Roman" w:hAnsi="Times New Roman"/>
          <w:sz w:val="20"/>
        </w:rPr>
      </w:pPr>
      <w:r>
        <w:rPr>
          <w:rFonts w:ascii="Times New Roman" w:hAnsi="Times New Roman"/>
          <w:sz w:val="20"/>
        </w:rPr>
        <w:t xml:space="preserve">In general, each U.S. Holder of an original issue discount debt security, whether such U.S. Holder uses the cash or the accrual method of tax accounting, will be required to include in ordinary gross income the sum of the “daily portions” of OID on the debt security for all days during the taxable year that the U.S. Holder owns the debt security. The daily portions of OID on an original issue discount debt security are determined by allocating to each day in any accrual period a ratable portion of the OID allocable to that accrual period. Accrual periods may be any length and may vary in length over the term of an original issue discount debt security, provided that no accrual period is longer than one year and each scheduled payment of principal or interest occurs on either the final day or the first day of an accrual period. In the case of an initial U.S. Holder, the amount of OID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original issue discount debt security allocable to each accrual period is determined by (a) multiplying the adjusted issue price (as defined below) of the original issue discount debt security at the beginning of the accrual period by the yield to maturity (as defined below) of such original issue discount debt security (appropriately adjusted to reflect the length of the accrual period) and (b) subtracting from that product the amount (if any) of qualified stated interest allocable to that accrual period. The “yield to maturity” of a debt security is the discount rate that causes the present value of all payments on the debt security as of its original issue date to equal the issue price of such debt security. The “adjusted issue price” of an original issue discount debt security at the beginning of any accrual period will generally be the sum of its issue price (generally including accrued interest, if any) and the amount of OID allocable to all prior accrual periods, reduced by the amount of all payments other than payments of qualified stated interest (if any) made with respect to such debt security in all prior accrual periods. As a result of this “constant-yield” method of including OID in income, the amounts includible in income by a U.S. Holder in respect of an original issue discount debt security denominated in U.S. dollars generally are lesser in the early years and greater in the later years than the amounts that would be includible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A U.S. Holder generally may make an irrevocable election to include in its income its entire return on a debt security (i.e., the excess of all remaining payments to be received on the debt security, including payments of qualified stated interest, over the amount paid by such U.S. Holder for such debt security) under the constant-yield method described above. For debt securities purchased at a premium or bearing market discount in the hands of the U.S. Holder, the U.S. Holder making such election will also be deemed to have made the election (described below under “—Premium and Market Discount”) to amortize premium or to accrue market discount in income currently on a constant-yield basis. </w:t>
      </w:r>
    </w:p>
    <w:p>
      <w:pPr>
        <w:pStyle w:val="TextBody"/>
        <w:bidi w:val="0"/>
        <w:spacing w:before="240" w:after="0"/>
        <w:jc w:val="left"/>
        <w:rPr>
          <w:rFonts w:ascii="Times New Roman" w:hAnsi="Times New Roman"/>
          <w:sz w:val="20"/>
        </w:rPr>
      </w:pPr>
      <w:r>
        <w:rPr>
          <w:rFonts w:ascii="Times New Roman" w:hAnsi="Times New Roman"/>
          <w:sz w:val="20"/>
        </w:rPr>
        <w:t xml:space="preserve">A subsequent U.S. Holder of an original issue discount debt security that purchases the debt security at a cost less than the sum of the remaining payments to be made on the debt security (other than payments of qualified stated interest), or an initial U.S. Holder that purchases an original issue discount debt security at a price other than the debt security’s issue price, also generally will be required to include in gross income the daily portions of OID, calculated as described above. However, if such U.S. Holder acquires the original issue discount debt security with “acquisition premium” (i.e., at a price greater than its adjusted issue price, which in the case of an initial U.S. Holder would be the issue price), the U.S. Holder is required to reduce its periodic inclusions of OID income by a portion of the acquisition premium equal to the ratio of the OID that would otherwise be includable in such U.S. Holder’s income with respect to the debt security during the current taxable year, over the total remaining OID on the debt security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debt securities may be subject to special redemption, repayment or interest rate reset features, as indicated in the applicable prospectus supplement. Debt securities containing such features, in particular original issue discount debt securities, may be subject to special rules that differ from the general rules described above. Purchasers of debt securities with such features should carefully examine the accompanying prospectus supplement and are urged to consult their own tax advisors with respect to such debt securities because the tax consequences with respect to such features, and especially with respect to OID, will depend, in part, on the particular terms of the purchased debt securities. </w:t>
      </w:r>
    </w:p>
    <w:p>
      <w:pPr>
        <w:pStyle w:val="TextBody"/>
        <w:bidi w:val="0"/>
        <w:spacing w:before="240" w:after="0"/>
        <w:jc w:val="left"/>
        <w:rPr>
          <w:rFonts w:ascii="Times New Roman" w:hAnsi="Times New Roman"/>
          <w:sz w:val="20"/>
        </w:rPr>
      </w:pPr>
      <w:r>
        <w:rPr>
          <w:rFonts w:ascii="Times New Roman" w:hAnsi="Times New Roman"/>
          <w:i/>
          <w:sz w:val="20"/>
        </w:rPr>
        <w:t>Premium and Market Discount</w:t>
      </w:r>
      <w:r>
        <w:rPr>
          <w:rFonts w:ascii="Times New Roman" w:hAnsi="Times New Roman"/>
          <w:sz w:val="20"/>
        </w:rPr>
        <w:t xml:space="preserve">. A U.S. Holder of a debt security that purchases the debt security at a cost greater than the sum of the remaining payments to be made on the debt security (other than payments of qualified stated interest) will be considered to have purchased the debt security at a premium, and may elect to amortize such premium (as an offset to interest income), using a constant-yield method, over the remaining term of the debt security. Such election, once made, generally applies to all debt securities held or subsequently acquired by the U.S. Holder on or after the first taxable year to which the election applies and may not be revoked without the consent of the IRS. A U.S. Holder that elects to amortize such premium must reduce its tax basis in a debt security by the amount of the premium amortized during its holding period. Original issue discount debt securities purchased at a premium will not be subject to the OID rules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a U.S. Holder that does not elect to amortize bond premium, the amount of bond premium will be included in the U.S. Holder’s tax basis when the debt security matures or is disposed of by the U.S. Holder. Therefore, a U.S. Holder that does not elect to amortize such premium and that holds the debt security to maturity generally will be required to treat the premium as a capital loss when the debt security matures. If the non-electing U.S. Holder disposes of the debt security prior to maturity, the premium will decrease the gain or increase the loss that the U.S. Holder would otherwise recognize on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of a debt security purchases the debt security at a price that is lower than the sum of the remaining payments to be made on the debt security (other than payments of qualified stated interest) or, in the case of an original issue discount debt security, its adjusted issue price, by at least 0.25% of the sum of the remaining payments to be made on the debt security (other than payments of qualified stated interest) multiplied by the number of remaining whole years to maturity, the debt security will be considered to have “market discount” in the hands of such U.S. Holder. In such case, gain realized by the U.S. Holder on the disposition of the debt security generally will be treated as ordinary income to the extent of the market discount that accrued on the debt security while held by such U.S. Holder. In addition, the U.S. Holder could be required to defer the deduction of the interest paid on any indebtedness incurred or maintained to purchase or carry the debt security. In general terms, market discount on a debt security will be treated as accruing ratably over the term of such debt security or, at the election of the U.S. Holder, under a constant-yield method. </w:t>
      </w:r>
    </w:p>
    <w:p>
      <w:pPr>
        <w:pStyle w:val="TextBody"/>
        <w:bidi w:val="0"/>
        <w:spacing w:before="240" w:after="0"/>
        <w:jc w:val="left"/>
        <w:rPr>
          <w:rFonts w:ascii="Times New Roman" w:hAnsi="Times New Roman"/>
          <w:sz w:val="20"/>
        </w:rPr>
      </w:pPr>
      <w:r>
        <w:rPr>
          <w:rFonts w:ascii="Times New Roman" w:hAnsi="Times New Roman"/>
          <w:sz w:val="20"/>
        </w:rPr>
        <w:t xml:space="preserve">A U.S. Holder may elect to include market discount in income on a current basis as it accrues (on either a ratable or constant-yield basis), in lieu of treating a portion of any gain realized on a sale of a debt security as ordinary income. If a U.S. Holder elects to include market discount on a current basis, the interest deduction deferral rule described above will not apply. Any such election, if made, applies to all market discount bonds acquired by the U.S. Holder on or after the first day of the first taxable year to which such election applies and is revocable only with the consent of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present U.S. federal income tax law, and subject to the discussions below under “—Information Reporting, Backup Withholding and Foreign Account Withholding”: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withholding of U.S. federal income tax generally will be required with respect to the payment by us or any issuing and paying agent on a debt security owned by a Non-U.S. Holder, provided that (i) the beneficial owner does not actually or constructively own 10% or more of the total combined voting power of all classes of our stock entitled to vote within the meaning of Section 871(h)(3) of the Code and the regulations thereunder, (ii) the beneficial owner is not a CFC to which we are a “related person” within the meaning of Section 864(d)(4) of the Code, and (iii) the beneficial owner provides a statement signed under penalties of perjury that includes its name and address and certifies that it is a Non-U.S. Holder in compliance with applicable requirements, generally made, under current procedures, on an applicable IRS Form W-8 (or satisfies certain documentary evidence requirements for establishing that it is a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Holder will generally not be subject to U.S. federal income tax on gain realized on the sale, exchange or redemption of a debt security, unless such gain is effectively connected with the conduct by the Non-U.S. Holder of a trade or business in the United States (and, if an income tax treaty applies, is attributable to a U.S. “permanent establishment” or “fixed base” maintained by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Non-U.S. Holder is subject to withholding at a rate in excess of a reduced rate for which such holder is eligible under a tax treaty or otherwise, such Non-U.S. Holder may be able to obtain a refund of or credit for any amounts withheld in excess of the applicable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Non-U.S. Holder generally will be taxed in the same manner as a U.S. Holder with respect to interest income that is effectively connected with its U.S. trade or business (and, if an income tax treaty applies, is attributable to a U.S. “permanent establishment” or “fixed base” maintained by the Non-U.S. Holder). In addition, under certain circumstances, effectively connected interest income of a corporate Non-U.S. Holder may be subject to a “branch profits” tax imposed at a 30% rate (as reduced by an applicable treaty). A Non-U.S. Holder with effectively connected income will, however, generally not be subject to withholding tax on interest income if, under current procedures, it delivers a properly completed IRS Form W-8ECI.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on our debt securities made to, and proceeds of dispositions of our debt securities effected by, certain holders. In addition, certain U.S. Holders may be subject to backup withholding in respect of such amounts if they do not provide their taxpayer identification numbers to the person from whom they receive payments. Non-U.S. Holders may be required to comply with applicable certification procedures to establish that they are not U.S. Holders in order to obtain exemption from backup withholding and any available exemption from information reporting requirements. The amount of any backup withholding from a payment to a U.S. or non-U.S. Holder will be allowed as a credit against the holder’s U.S. federal income tax liability and may entitle the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interest on our debt securities. In general, to avoid withholding, any non-U.S. intermediary through which a holder owns our debt securities must establish its compliance with the foregoing regime, and a Non-U.S. Holder must provide specified documentation (usually an applicable IRS Form W-8) containing information about its identity, its status, and if required its direct and indirect U.S. owners. Non-U.S. Holders and holders who hold our debt securities through a non-U.S. intermediary are urged to consult their own tax advisor regarding foreign account tax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116122_20"/>
      <w:bookmarkEnd w:id="34"/>
      <w:r>
        <w:rPr>
          <w:rFonts w:ascii="Times New Roman" w:hAnsi="Times New Roman"/>
          <w:b/>
          <w:sz w:val="20"/>
        </w:rPr>
        <w:t xml:space="preserve">VALIDITY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described in this prospectus will be passed upon for American Tower by Cleary Gottlieb Steen &amp; Hamilton LLP, New York, New York. Certain legal matters will be passed upon for American Tower by Ruth T. Dowling, Esq., Executive Vice President, Chief Administrative Officer, General Counsel and Secretary of American Tower. The validity of the securities described in this prospectus will be passed upon for any underwriters or agents, as the case may be, by Gibson, Dunn &amp; Crutcher LLP, New York, New York. Our qualification and taxation as a REIT, and the associated consequences to holders of our stock, have been passed upon by Sullivan &amp; Worcester LLP, Boston, Massachusetts. </w:t>
      </w:r>
    </w:p>
    <w:p>
      <w:pPr>
        <w:pStyle w:val="TextBody"/>
        <w:bidi w:val="0"/>
        <w:spacing w:before="480" w:after="0"/>
        <w:jc w:val="center"/>
        <w:rPr>
          <w:rFonts w:ascii="Times New Roman" w:hAnsi="Times New Roman"/>
          <w:b/>
          <w:sz w:val="20"/>
        </w:rPr>
      </w:pPr>
      <w:bookmarkStart w:id="35" w:name="tx116122_21"/>
      <w:bookmarkEnd w:id="3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by reference from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x116122_22"/>
      <w:bookmarkEnd w:id="3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You may also access the information we file electronically with the SEC through our website at www.americantower.com. Please note that the SEC’s website is included in this prospectus and any applicable prospectus supplement as an inactive textual reference only. The information contained on the SEC’s website and our website is not incorporated by reference into this prospectus and should not be considered to be part of this prospectus, except as described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and any applicable prospectus supplement certain information we file with the SEC, which means that we can disclose important information to you by referring you to those documents. The information incorporated by reference is an important part of this prospectus. Certain information that we subsequently file with the SEC will automatically update and supersede information in this prospectus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a reference in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0">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February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21">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April 29,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portions of our </w:t>
            </w:r>
            <w:hyperlink r:id="rId22">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2, 2025 that are incorporated by reference into Part III of our Annual Report on Form 10-K for the year ended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3">
              <w:r>
                <w:rPr>
                  <w:rStyle w:val="InternetLink"/>
                  <w:rFonts w:ascii="Times New Roman" w:hAnsi="Times New Roman"/>
                  <w:sz w:val="20"/>
                </w:rPr>
                <w:t>January 7, 2025</w:t>
              </w:r>
            </w:hyperlink>
            <w:r>
              <w:rPr>
                <w:rFonts w:ascii="Times New Roman" w:hAnsi="Times New Roman"/>
                <w:sz w:val="20"/>
              </w:rPr>
              <w:t xml:space="preserve">, </w:t>
            </w:r>
            <w:hyperlink r:id="rId24">
              <w:r>
                <w:rPr>
                  <w:rStyle w:val="InternetLink"/>
                  <w:rFonts w:ascii="Times New Roman" w:hAnsi="Times New Roman"/>
                  <w:sz w:val="20"/>
                </w:rPr>
                <w:t>January  28, 2025</w:t>
              </w:r>
            </w:hyperlink>
            <w:r>
              <w:rPr>
                <w:rFonts w:ascii="Times New Roman" w:hAnsi="Times New Roman"/>
                <w:sz w:val="20"/>
              </w:rPr>
              <w:t xml:space="preserve">, </w:t>
            </w:r>
            <w:hyperlink r:id="rId25">
              <w:r>
                <w:rPr>
                  <w:rStyle w:val="InternetLink"/>
                  <w:rFonts w:ascii="Times New Roman" w:hAnsi="Times New Roman"/>
                  <w:sz w:val="20"/>
                </w:rPr>
                <w:t>February  5, 2025</w:t>
              </w:r>
            </w:hyperlink>
            <w:r>
              <w:rPr>
                <w:rFonts w:ascii="Times New Roman" w:hAnsi="Times New Roman"/>
                <w:sz w:val="20"/>
              </w:rPr>
              <w:t xml:space="preserve">, </w:t>
            </w:r>
            <w:hyperlink r:id="rId26">
              <w:r>
                <w:rPr>
                  <w:rStyle w:val="InternetLink"/>
                  <w:rFonts w:ascii="Times New Roman" w:hAnsi="Times New Roman"/>
                  <w:sz w:val="20"/>
                </w:rPr>
                <w:t>March  5, 2025</w:t>
              </w:r>
            </w:hyperlink>
            <w:r>
              <w:rPr>
                <w:rFonts w:ascii="Times New Roman" w:hAnsi="Times New Roman"/>
                <w:sz w:val="20"/>
              </w:rPr>
              <w:t xml:space="preserve">, </w:t>
            </w:r>
            <w:hyperlink r:id="rId27">
              <w:r>
                <w:rPr>
                  <w:rStyle w:val="InternetLink"/>
                  <w:rFonts w:ascii="Times New Roman" w:hAnsi="Times New Roman"/>
                  <w:sz w:val="20"/>
                </w:rPr>
                <w:t>March  6, 2025</w:t>
              </w:r>
            </w:hyperlink>
            <w:r>
              <w:rPr>
                <w:rFonts w:ascii="Times New Roman" w:hAnsi="Times New Roman"/>
                <w:sz w:val="20"/>
              </w:rPr>
              <w:t xml:space="preserve">, </w:t>
            </w:r>
            <w:hyperlink r:id="rId28">
              <w:r>
                <w:rPr>
                  <w:rStyle w:val="InternetLink"/>
                  <w:rFonts w:ascii="Times New Roman" w:hAnsi="Times New Roman"/>
                  <w:sz w:val="20"/>
                </w:rPr>
                <w:t>March  11, 2025</w:t>
              </w:r>
            </w:hyperlink>
            <w:r>
              <w:rPr>
                <w:rFonts w:ascii="Times New Roman" w:hAnsi="Times New Roman"/>
                <w:sz w:val="20"/>
              </w:rPr>
              <w:t xml:space="preserve">, </w:t>
            </w:r>
            <w:hyperlink r:id="rId29">
              <w:r>
                <w:rPr>
                  <w:rStyle w:val="InternetLink"/>
                  <w:rFonts w:ascii="Times New Roman" w:hAnsi="Times New Roman"/>
                  <w:sz w:val="20"/>
                </w:rPr>
                <w:t>March  14, 2025</w:t>
              </w:r>
            </w:hyperlink>
            <w:r>
              <w:rPr>
                <w:rFonts w:ascii="Times New Roman" w:hAnsi="Times New Roman"/>
                <w:sz w:val="20"/>
              </w:rPr>
              <w:t xml:space="preserve">, </w:t>
            </w:r>
            <w:hyperlink r:id="rId30">
              <w:r>
                <w:rPr>
                  <w:rStyle w:val="InternetLink"/>
                  <w:rFonts w:ascii="Times New Roman" w:hAnsi="Times New Roman"/>
                  <w:sz w:val="20"/>
                </w:rPr>
                <w:t>March  20, 2025</w:t>
              </w:r>
            </w:hyperlink>
            <w:r>
              <w:rPr>
                <w:rFonts w:ascii="Times New Roman" w:hAnsi="Times New Roman"/>
                <w:sz w:val="20"/>
              </w:rPr>
              <w:t xml:space="preserve">, </w:t>
            </w:r>
            <w:hyperlink r:id="rId31">
              <w:r>
                <w:rPr>
                  <w:rStyle w:val="InternetLink"/>
                  <w:rFonts w:ascii="Times New Roman" w:hAnsi="Times New Roman"/>
                  <w:sz w:val="20"/>
                </w:rPr>
                <w:t>May  15, 2025</w:t>
              </w:r>
            </w:hyperlink>
            <w:r>
              <w:rPr>
                <w:rFonts w:ascii="Times New Roman" w:hAnsi="Times New Roman"/>
                <w:sz w:val="20"/>
              </w:rPr>
              <w:t xml:space="preserve">, </w:t>
            </w:r>
            <w:hyperlink r:id="rId32">
              <w:r>
                <w:rPr>
                  <w:rStyle w:val="InternetLink"/>
                  <w:rFonts w:ascii="Times New Roman" w:hAnsi="Times New Roman"/>
                  <w:sz w:val="20"/>
                </w:rPr>
                <w:t>May  21, 2025</w:t>
              </w:r>
            </w:hyperlink>
            <w:r>
              <w:rPr>
                <w:rFonts w:ascii="Times New Roman" w:hAnsi="Times New Roman"/>
                <w:sz w:val="20"/>
              </w:rPr>
              <w:t xml:space="preserve"> and </w:t>
            </w:r>
            <w:hyperlink r:id="rId33">
              <w:r>
                <w:rPr>
                  <w:rStyle w:val="InternetLink"/>
                  <w:rFonts w:ascii="Times New Roman" w:hAnsi="Times New Roman"/>
                  <w:sz w:val="20"/>
                </w:rPr>
                <w:t>May 30,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116 Huntington Avenue, Boston, Massachusetts 02116, Telephone: +1 (617) 375-7500,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053507/000105350726000035/amt-20251231.htm" TargetMode="External"/><Relationship Id="rId4" Type="http://schemas.openxmlformats.org/officeDocument/2006/relationships/hyperlink" Target="http://www.sec.gov/Archives/edgar/data/../../../ix?doc=/Archives/edgar/data/0001053507/000105350726000099/amt-20260331.htm" TargetMode="External"/><Relationship Id="rId5" Type="http://schemas.openxmlformats.org/officeDocument/2006/relationships/hyperlink" Target="http://www.sec.gov/Archives/edgar/data/../../../ix?doc=/Archives/edgar/data/0001053507/000105350726000133/amt-20260630.htm" TargetMode="External"/><Relationship Id="rId6" Type="http://schemas.openxmlformats.org/officeDocument/2006/relationships/hyperlink" Target="http://www.sec.gov/Archives/edgar/data/../../../ix?doc=/Archives/edgar/data/0001053507/000105350726000088/amt-20260406.htm" TargetMode="External"/><Relationship Id="rId7" Type="http://schemas.openxmlformats.org/officeDocument/2006/relationships/hyperlink" Target="http://www.sec.gov/Archives/edgar/data/1053507/000105350726000101/defa14a-proxysupplementatt.htm" TargetMode="External"/><Relationship Id="rId8" Type="http://schemas.openxmlformats.org/officeDocument/2006/relationships/hyperlink" Target="http://www.sec.gov/Archives/edgar/data/../../../ix?doc=/Archives/edgar/data/0001053507/000105350726000026/amt-20260128.htm" TargetMode="External"/><Relationship Id="rId9" Type="http://schemas.openxmlformats.org/officeDocument/2006/relationships/hyperlink" Target="http://www.sec.gov/Archives/edgar/data/../../../ix?doc=/Archives/edgar/data/0001053507/000105350726000028/amt-20260126.htm" TargetMode="External"/><Relationship Id="rId10" Type="http://schemas.openxmlformats.org/officeDocument/2006/relationships/hyperlink" Target="http://www.sec.gov/Archives/edgar/data/../../../ix?doc=/Archives/edgar/data/0001053507/000105350726000038/amt-20260225.htm" TargetMode="External"/><Relationship Id="rId11" Type="http://schemas.openxmlformats.org/officeDocument/2006/relationships/hyperlink" Target="http://www.sec.gov/Archives/edgar/data/../../../ix?doc=/Archives/edgar/data/0001053507/000105350726000041/amt-20260305.htm" TargetMode="External"/><Relationship Id="rId12" Type="http://schemas.openxmlformats.org/officeDocument/2006/relationships/hyperlink" Target="http://www.sec.gov/Archives/edgar/data/../../../ix?doc=/Archives/edgar/data/0001053507/000105350726000048/amt-20260306.htm" TargetMode="External"/><Relationship Id="rId13" Type="http://schemas.openxmlformats.org/officeDocument/2006/relationships/hyperlink" Target="http://www.sec.gov/Archives/edgar/data/../../../ix?doc=/Archives/edgar/data/0001053507/000105350726000108/amt-20260507.htm" TargetMode="External"/><Relationship Id="rId14" Type="http://schemas.openxmlformats.org/officeDocument/2006/relationships/hyperlink" Target="http://www.sec.gov/Archives/edgar/data/../../../ix?doc=/Archives/edgar/data/0001053507/000105350726000111/amt-20260519.htm" TargetMode="External"/><Relationship Id="rId15" Type="http://schemas.openxmlformats.org/officeDocument/2006/relationships/hyperlink" Target="http://www.sec.gov/Archives/edgar/data/../../../ix?doc=/Archives/edgar/data/0001053507/000105350726000116/amt-20260520.htm" TargetMode="External"/><Relationship Id="rId16" Type="http://schemas.openxmlformats.org/officeDocument/2006/relationships/hyperlink" Target="http://www.sec.gov/Archives/edgar/data/../../../ix?doc=/Archives/edgar/data/0001053507/000119312526240535/d913919d8k.htm" TargetMode="External"/><Relationship Id="rId17" Type="http://schemas.openxmlformats.org/officeDocument/2006/relationships/hyperlink" Target="http://www.sec.gov/Archives/edgar/data/../../../ix?doc=/Archives/edgar/data/0001053507/000105350726000123/amt-20260602.htm" TargetMode="External"/><Relationship Id="rId18" Type="http://schemas.openxmlformats.org/officeDocument/2006/relationships/hyperlink" Target="http://www.sec.gov/Archives/edgar/data/../../../ix?doc=/Archives/edgar/data/0001053507/000105350726000127/amt-20260602.htm" TargetMode="External"/><Relationship Id="rId19" Type="http://schemas.openxmlformats.org/officeDocument/2006/relationships/image" Target="media/image1.jpeg"/><Relationship Id="rId20" Type="http://schemas.openxmlformats.org/officeDocument/2006/relationships/hyperlink" Target="http://www.sec.gov/Archives/edgar/data/../../../ix?doc=/Archives/edgar/data/1053507/000105350725000025/amt-20241231.htm" TargetMode="External"/><Relationship Id="rId21" Type="http://schemas.openxmlformats.org/officeDocument/2006/relationships/hyperlink" Target="http://www.sec.gov/Archives/edgar/data/../../../ix?doc=/Archives/edgar/data/1053507/000105350725000102/amt-20250331.htm" TargetMode="External"/><Relationship Id="rId22" Type="http://schemas.openxmlformats.org/officeDocument/2006/relationships/hyperlink" Target="http://www.sec.gov/Archives/edgar/data/../../../ix?doc=/Archives/edgar/data/1053507/000105350725000092/amt-20250401.htm" TargetMode="External"/><Relationship Id="rId23" Type="http://schemas.openxmlformats.org/officeDocument/2006/relationships/hyperlink" Target="http://www.sec.gov/Archives/edgar/data/../../../ix?doc=/Archives/edgar/data/1053507/000105350725000002/amt-20250102.htm" TargetMode="External"/><Relationship Id="rId24" Type="http://schemas.openxmlformats.org/officeDocument/2006/relationships/hyperlink" Target="http://www.sec.gov/Archives/edgar/data/../../../ix?doc=/Archives/edgar/data/1053507/000105350725000010/amt-20250128.htm" TargetMode="External"/><Relationship Id="rId25" Type="http://schemas.openxmlformats.org/officeDocument/2006/relationships/hyperlink" Target="http://www.sec.gov/Archives/edgar/data/../../../ix?doc=/Archives/edgar/data/1053507/000105350725000012/amt-20250205.htm" TargetMode="External"/><Relationship Id="rId26" Type="http://schemas.openxmlformats.org/officeDocument/2006/relationships/hyperlink" Target="http://www.sec.gov/Archives/edgar/data/../../../ix?doc=/Archives/edgar/data/1053507/000105350725000039/amt-20250227.htm" TargetMode="External"/><Relationship Id="rId27" Type="http://schemas.openxmlformats.org/officeDocument/2006/relationships/hyperlink" Target="http://www.sec.gov/Archives/edgar/data/../../../ix?doc=/Archives/edgar/data/1053507/000105350725000042/amt-20250306.htm" TargetMode="External"/><Relationship Id="rId28" Type="http://schemas.openxmlformats.org/officeDocument/2006/relationships/hyperlink" Target="http://www.sec.gov/Archives/edgar/data/../../../ix?doc=/Archives/edgar/data/1053507/000105350725000044/amt-20250311.htm" TargetMode="External"/><Relationship Id="rId29" Type="http://schemas.openxmlformats.org/officeDocument/2006/relationships/hyperlink" Target="http://www.sec.gov/Archives/edgar/data/../../../ix?doc=/Archives/edgar/data/1053507/000119312525054806/d904653d8k.htm" TargetMode="External"/><Relationship Id="rId30" Type="http://schemas.openxmlformats.org/officeDocument/2006/relationships/hyperlink" Target="http://www.sec.gov/Archives/edgar/data/../../../ix?doc=/Archives/edgar/data/1053507/000105350725000087/amt-20250317.htm" TargetMode="External"/><Relationship Id="rId31" Type="http://schemas.openxmlformats.org/officeDocument/2006/relationships/hyperlink" Target="http://www.sec.gov/Archives/edgar/data/../../../ix?doc=/Archives/edgar/data/0001053507/000105350725000105/amt-20250514.htm" TargetMode="External"/><Relationship Id="rId32" Type="http://schemas.openxmlformats.org/officeDocument/2006/relationships/hyperlink" Target="http://www.sec.gov/Archives/edgar/data/../../../ix?doc=/Archives/edgar/data/0001053507/000105350725000109/amt-20250521.htm" TargetMode="External"/><Relationship Id="rId33" Type="http://schemas.openxmlformats.org/officeDocument/2006/relationships/hyperlink" Target="http://www.sec.gov/Archives/edgar/data/../../../ix?doc=/Archives/edgar/data/1053507/000119312525131504/d34761d8k.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106</Pages>
  <Words>60090</Words>
  <Characters>309388</Characters>
  <CharactersWithSpaces>370956</CharactersWithSpaces>
  <Paragraphs>3767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